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rPr>
          <w:rFonts w:hint="default" w:ascii="Times New Roman" w:hAnsi="Times New Roman" w:cs="Times New Roman"/>
          <w:color w:val="000000" w:themeColor="text1"/>
          <w:highlight w:val="none"/>
          <w14:textFill>
            <w14:solidFill>
              <w14:schemeClr w14:val="tx1"/>
            </w14:solidFill>
          </w14:textFill>
        </w:rPr>
      </w:pPr>
      <w:bookmarkStart w:id="0" w:name="_Hlk143245390"/>
      <w:bookmarkEnd w:id="0"/>
    </w:p>
    <w:p>
      <w:pPr>
        <w:ind w:firstLine="400"/>
        <w:rPr>
          <w:rFonts w:hint="default" w:ascii="Times New Roman" w:hAnsi="Times New Roman" w:cs="Times New Roman"/>
          <w:color w:val="000000" w:themeColor="text1"/>
          <w:sz w:val="20"/>
          <w:szCs w:val="20"/>
          <w:highlight w:val="none"/>
          <w14:textFill>
            <w14:solidFill>
              <w14:schemeClr w14:val="tx1"/>
            </w14:solidFill>
          </w14:textFill>
        </w:rPr>
      </w:pPr>
    </w:p>
    <w:p>
      <w:pPr>
        <w:ind w:firstLine="480"/>
        <w:rPr>
          <w:rFonts w:hint="default" w:ascii="Times New Roman" w:hAnsi="Times New Roman" w:eastAsia="Times New Roman" w:cs="Times New Roman"/>
          <w:color w:val="000000" w:themeColor="text1"/>
          <w:szCs w:val="24"/>
          <w:highlight w:val="none"/>
          <w14:textFill>
            <w14:solidFill>
              <w14:schemeClr w14:val="tx1"/>
            </w14:solidFill>
          </w14:textFill>
        </w:rPr>
      </w:pPr>
    </w:p>
    <w:p>
      <w:pPr>
        <w:ind w:firstLine="909"/>
        <w:jc w:val="center"/>
        <w:rPr>
          <w:rFonts w:hint="default" w:ascii="Times New Roman" w:hAnsi="Times New Roman" w:eastAsia="黑体" w:cs="Times New Roman"/>
          <w:color w:val="000000" w:themeColor="text1"/>
          <w:spacing w:val="-37"/>
          <w:w w:val="95"/>
          <w:sz w:val="52"/>
          <w:szCs w:val="52"/>
          <w:highlight w:val="none"/>
          <w14:textFill>
            <w14:solidFill>
              <w14:schemeClr w14:val="tx1"/>
            </w14:solidFill>
          </w14:textFill>
        </w:rPr>
      </w:pPr>
      <w:r>
        <w:rPr>
          <w:rFonts w:hint="default" w:ascii="Times New Roman" w:hAnsi="Times New Roman" w:eastAsia="黑体" w:cs="Times New Roman"/>
          <w:color w:val="000000" w:themeColor="text1"/>
          <w:spacing w:val="-37"/>
          <w:w w:val="95"/>
          <w:sz w:val="52"/>
          <w:szCs w:val="52"/>
          <w:highlight w:val="none"/>
          <w14:textFill>
            <w14:solidFill>
              <w14:schemeClr w14:val="tx1"/>
            </w14:solidFill>
          </w14:textFill>
        </w:rPr>
        <w:t>普光气田P106-2H侧井钻井及试采工程</w:t>
      </w:r>
    </w:p>
    <w:p>
      <w:pPr>
        <w:ind w:firstLine="1040"/>
        <w:jc w:val="center"/>
        <w:rPr>
          <w:rFonts w:hint="default" w:ascii="Times New Roman" w:hAnsi="Times New Roman" w:eastAsia="黑体" w:cs="Times New Roman"/>
          <w:color w:val="000000" w:themeColor="text1"/>
          <w:sz w:val="52"/>
          <w:szCs w:val="52"/>
          <w:highlight w:val="none"/>
          <w14:textFill>
            <w14:solidFill>
              <w14:schemeClr w14:val="tx1"/>
            </w14:solidFill>
          </w14:textFill>
        </w:rPr>
      </w:pPr>
      <w:r>
        <w:rPr>
          <w:rFonts w:hint="default" w:ascii="Times New Roman" w:hAnsi="Times New Roman" w:eastAsia="黑体" w:cs="Times New Roman"/>
          <w:color w:val="000000" w:themeColor="text1"/>
          <w:sz w:val="52"/>
          <w:szCs w:val="52"/>
          <w:highlight w:val="none"/>
          <w14:textFill>
            <w14:solidFill>
              <w14:schemeClr w14:val="tx1"/>
            </w14:solidFill>
          </w14:textFill>
        </w:rPr>
        <w:t>环境影响报告书</w:t>
      </w:r>
    </w:p>
    <w:p>
      <w:pPr>
        <w:ind w:firstLine="880"/>
        <w:jc w:val="center"/>
        <w:rPr>
          <w:rFonts w:hint="default" w:ascii="Times New Roman" w:hAnsi="Times New Roman" w:eastAsia="楷体" w:cs="Times New Roman"/>
          <w:color w:val="000000" w:themeColor="text1"/>
          <w:sz w:val="44"/>
          <w:szCs w:val="44"/>
          <w:highlight w:val="none"/>
          <w14:textFill>
            <w14:solidFill>
              <w14:schemeClr w14:val="tx1"/>
            </w14:solidFill>
          </w14:textFill>
        </w:rPr>
      </w:pPr>
      <w:r>
        <w:rPr>
          <w:rFonts w:hint="default" w:ascii="Times New Roman" w:hAnsi="Times New Roman" w:eastAsia="楷体" w:cs="Times New Roman"/>
          <w:color w:val="000000" w:themeColor="text1"/>
          <w:sz w:val="44"/>
          <w:szCs w:val="44"/>
          <w:highlight w:val="none"/>
          <w14:textFill>
            <w14:solidFill>
              <w14:schemeClr w14:val="tx1"/>
            </w14:solidFill>
          </w14:textFill>
        </w:rPr>
        <w:t>（</w:t>
      </w:r>
      <w:r>
        <w:rPr>
          <w:rFonts w:hint="eastAsia" w:eastAsia="楷体" w:cs="Times New Roman"/>
          <w:color w:val="000000" w:themeColor="text1"/>
          <w:sz w:val="44"/>
          <w:szCs w:val="44"/>
          <w:highlight w:val="none"/>
          <w:lang w:val="en-US" w:eastAsia="zh-CN"/>
          <w14:textFill>
            <w14:solidFill>
              <w14:schemeClr w14:val="tx1"/>
            </w14:solidFill>
          </w14:textFill>
        </w:rPr>
        <w:t>公示</w:t>
      </w:r>
      <w:r>
        <w:rPr>
          <w:rFonts w:hint="default" w:ascii="Times New Roman" w:hAnsi="Times New Roman" w:eastAsia="楷体" w:cs="Times New Roman"/>
          <w:color w:val="000000" w:themeColor="text1"/>
          <w:sz w:val="44"/>
          <w:szCs w:val="44"/>
          <w:highlight w:val="none"/>
          <w14:textFill>
            <w14:solidFill>
              <w14:schemeClr w14:val="tx1"/>
            </w14:solidFill>
          </w14:textFill>
        </w:rPr>
        <w:t>本）</w:t>
      </w: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400"/>
        <w:rPr>
          <w:rFonts w:hint="default" w:ascii="Times New Roman" w:hAnsi="Times New Roman" w:eastAsia="隶书" w:cs="Times New Roman"/>
          <w:color w:val="000000" w:themeColor="text1"/>
          <w:sz w:val="20"/>
          <w:szCs w:val="20"/>
          <w:highlight w:val="none"/>
          <w14:textFill>
            <w14:solidFill>
              <w14:schemeClr w14:val="tx1"/>
            </w14:solidFill>
          </w14:textFill>
        </w:rPr>
      </w:pPr>
    </w:p>
    <w:p>
      <w:pPr>
        <w:ind w:firstLine="321"/>
        <w:rPr>
          <w:rFonts w:hint="default" w:ascii="Times New Roman" w:hAnsi="Times New Roman" w:eastAsia="隶书" w:cs="Times New Roman"/>
          <w:b/>
          <w:bCs/>
          <w:color w:val="000000" w:themeColor="text1"/>
          <w:sz w:val="16"/>
          <w:szCs w:val="16"/>
          <w:highlight w:val="none"/>
          <w14:textFill>
            <w14:solidFill>
              <w14:schemeClr w14:val="tx1"/>
            </w14:solidFill>
          </w14:textFill>
        </w:rPr>
      </w:pPr>
    </w:p>
    <w:p>
      <w:pPr>
        <w:ind w:firstLine="321"/>
        <w:rPr>
          <w:rFonts w:hint="default" w:ascii="Times New Roman" w:hAnsi="Times New Roman" w:eastAsia="隶书" w:cs="Times New Roman"/>
          <w:b/>
          <w:bCs/>
          <w:color w:val="000000" w:themeColor="text1"/>
          <w:sz w:val="16"/>
          <w:szCs w:val="16"/>
          <w:highlight w:val="none"/>
          <w14:textFill>
            <w14:solidFill>
              <w14:schemeClr w14:val="tx1"/>
            </w14:solidFill>
          </w14:textFill>
        </w:rPr>
      </w:pPr>
    </w:p>
    <w:p>
      <w:pPr>
        <w:ind w:firstLine="321"/>
        <w:rPr>
          <w:rFonts w:hint="default" w:ascii="Times New Roman" w:hAnsi="Times New Roman" w:eastAsia="隶书" w:cs="Times New Roman"/>
          <w:b/>
          <w:bCs/>
          <w:color w:val="000000" w:themeColor="text1"/>
          <w:sz w:val="16"/>
          <w:szCs w:val="16"/>
          <w:highlight w:val="none"/>
          <w14:textFill>
            <w14:solidFill>
              <w14:schemeClr w14:val="tx1"/>
            </w14:solidFill>
          </w14:textFill>
        </w:rPr>
      </w:pPr>
    </w:p>
    <w:p>
      <w:pPr>
        <w:ind w:firstLine="321"/>
        <w:rPr>
          <w:rFonts w:hint="default" w:ascii="Times New Roman" w:hAnsi="Times New Roman" w:eastAsia="隶书" w:cs="Times New Roman"/>
          <w:b/>
          <w:bCs/>
          <w:color w:val="000000" w:themeColor="text1"/>
          <w:sz w:val="16"/>
          <w:szCs w:val="16"/>
          <w:highlight w:val="none"/>
          <w14:textFill>
            <w14:solidFill>
              <w14:schemeClr w14:val="tx1"/>
            </w14:solidFill>
          </w14:textFill>
        </w:rPr>
      </w:pPr>
    </w:p>
    <w:p>
      <w:pPr>
        <w:ind w:firstLine="321"/>
        <w:rPr>
          <w:rFonts w:hint="default" w:ascii="Times New Roman" w:hAnsi="Times New Roman" w:eastAsia="隶书" w:cs="Times New Roman"/>
          <w:b/>
          <w:bCs/>
          <w:color w:val="000000" w:themeColor="text1"/>
          <w:sz w:val="16"/>
          <w:szCs w:val="16"/>
          <w:highlight w:val="none"/>
          <w14:textFill>
            <w14:solidFill>
              <w14:schemeClr w14:val="tx1"/>
            </w14:solidFill>
          </w14:textFill>
        </w:rPr>
      </w:pPr>
    </w:p>
    <w:p>
      <w:pPr>
        <w:ind w:firstLine="321"/>
        <w:rPr>
          <w:rFonts w:hint="default" w:ascii="Times New Roman" w:hAnsi="Times New Roman" w:eastAsia="隶书" w:cs="Times New Roman"/>
          <w:b/>
          <w:bCs/>
          <w:color w:val="000000" w:themeColor="text1"/>
          <w:sz w:val="16"/>
          <w:szCs w:val="16"/>
          <w:highlight w:val="none"/>
          <w14:textFill>
            <w14:solidFill>
              <w14:schemeClr w14:val="tx1"/>
            </w14:solidFill>
          </w14:textFill>
        </w:rPr>
      </w:pPr>
    </w:p>
    <w:p>
      <w:pPr>
        <w:tabs>
          <w:tab w:val="left" w:pos="567"/>
        </w:tabs>
        <w:ind w:firstLine="0" w:firstLineChars="0"/>
        <w:rPr>
          <w:rFonts w:hint="default" w:ascii="Times New Roman" w:hAnsi="Times New Roman" w:eastAsia="黑体" w:cs="Times New Roman"/>
          <w:bCs/>
          <w:color w:val="000000" w:themeColor="text1"/>
          <w:sz w:val="32"/>
          <w:szCs w:val="32"/>
          <w:highlight w:val="none"/>
          <w:u w:val="single"/>
          <w14:textFill>
            <w14:solidFill>
              <w14:schemeClr w14:val="tx1"/>
            </w14:solidFill>
          </w14:textFill>
        </w:rPr>
      </w:pPr>
      <w:r>
        <w:rPr>
          <w:rFonts w:hint="default" w:ascii="Times New Roman" w:hAnsi="Times New Roman" w:eastAsia="黑体" w:cs="Times New Roman"/>
          <w:bCs/>
          <w:color w:val="000000" w:themeColor="text1"/>
          <w:sz w:val="32"/>
          <w:szCs w:val="32"/>
          <w:highlight w:val="none"/>
          <w:u w:val="single"/>
          <w14:textFill>
            <w14:solidFill>
              <w14:schemeClr w14:val="tx1"/>
            </w14:solidFill>
          </w14:textFill>
        </w:rPr>
        <w:t>建设单位：中国石油化工股份有限公司中原油田</w:t>
      </w:r>
      <w:bookmarkStart w:id="1" w:name="_Hlk107154433"/>
      <w:r>
        <w:rPr>
          <w:rFonts w:hint="default" w:ascii="Times New Roman" w:hAnsi="Times New Roman" w:eastAsia="黑体" w:cs="Times New Roman"/>
          <w:bCs/>
          <w:color w:val="000000" w:themeColor="text1"/>
          <w:sz w:val="32"/>
          <w:szCs w:val="32"/>
          <w:highlight w:val="none"/>
          <w:u w:val="single"/>
          <w14:textFill>
            <w14:solidFill>
              <w14:schemeClr w14:val="tx1"/>
            </w14:solidFill>
          </w14:textFill>
        </w:rPr>
        <w:t>普光分公司</w:t>
      </w:r>
      <w:bookmarkEnd w:id="1"/>
    </w:p>
    <w:p>
      <w:pPr>
        <w:ind w:firstLine="0" w:firstLineChars="0"/>
        <w:rPr>
          <w:rFonts w:hint="default" w:ascii="Times New Roman" w:hAnsi="Times New Roman" w:eastAsia="黑体" w:cs="Times New Roman"/>
          <w:bCs/>
          <w:color w:val="000000" w:themeColor="text1"/>
          <w:sz w:val="32"/>
          <w:szCs w:val="32"/>
          <w:highlight w:val="none"/>
          <w:u w:val="single"/>
          <w14:textFill>
            <w14:solidFill>
              <w14:schemeClr w14:val="tx1"/>
            </w14:solidFill>
          </w14:textFill>
        </w:rPr>
      </w:pPr>
      <w:r>
        <w:rPr>
          <w:rFonts w:hint="default" w:ascii="Times New Roman" w:hAnsi="Times New Roman" w:eastAsia="黑体" w:cs="Times New Roman"/>
          <w:bCs/>
          <w:color w:val="000000" w:themeColor="text1"/>
          <w:sz w:val="32"/>
          <w:szCs w:val="32"/>
          <w:highlight w:val="none"/>
          <w:u w:val="single"/>
          <w14:textFill>
            <w14:solidFill>
              <w14:schemeClr w14:val="tx1"/>
            </w14:solidFill>
          </w14:textFill>
        </w:rPr>
        <w:t xml:space="preserve">环评单位：       成都维清环保科技有限公司                   </w:t>
      </w:r>
    </w:p>
    <w:p>
      <w:pPr>
        <w:ind w:firstLine="640"/>
        <w:jc w:val="center"/>
        <w:rPr>
          <w:rFonts w:hint="default" w:ascii="Times New Roman" w:hAnsi="Times New Roman" w:eastAsia="黑体" w:cs="Times New Roman"/>
          <w:bCs/>
          <w:color w:val="000000" w:themeColor="text1"/>
          <w:sz w:val="32"/>
          <w:szCs w:val="32"/>
          <w:highlight w:val="none"/>
          <w14:textFill>
            <w14:solidFill>
              <w14:schemeClr w14:val="tx1"/>
            </w14:solidFill>
          </w14:textFill>
        </w:rPr>
      </w:pPr>
      <w:r>
        <w:rPr>
          <w:rFonts w:hint="default" w:ascii="Times New Roman" w:hAnsi="Times New Roman" w:eastAsia="黑体" w:cs="Times New Roman"/>
          <w:bCs/>
          <w:color w:val="000000" w:themeColor="text1"/>
          <w:sz w:val="32"/>
          <w:szCs w:val="32"/>
          <w:highlight w:val="none"/>
          <w14:textFill>
            <w14:solidFill>
              <w14:schemeClr w14:val="tx1"/>
            </w14:solidFill>
          </w14:textFill>
        </w:rPr>
        <w:t>二〇二四年</w:t>
      </w:r>
      <w:r>
        <w:rPr>
          <w:rFonts w:hint="default" w:ascii="Times New Roman" w:hAnsi="Times New Roman" w:eastAsia="黑体" w:cs="Times New Roman"/>
          <w:bCs/>
          <w:color w:val="000000" w:themeColor="text1"/>
          <w:sz w:val="32"/>
          <w:szCs w:val="32"/>
          <w:highlight w:val="none"/>
          <w:lang w:val="en-US" w:eastAsia="zh-CN"/>
          <w14:textFill>
            <w14:solidFill>
              <w14:schemeClr w14:val="tx1"/>
            </w14:solidFill>
          </w14:textFill>
        </w:rPr>
        <w:t>四</w:t>
      </w:r>
      <w:r>
        <w:rPr>
          <w:rFonts w:hint="default" w:ascii="Times New Roman" w:hAnsi="Times New Roman" w:eastAsia="黑体" w:cs="Times New Roman"/>
          <w:bCs/>
          <w:color w:val="000000" w:themeColor="text1"/>
          <w:sz w:val="32"/>
          <w:szCs w:val="32"/>
          <w:highlight w:val="none"/>
          <w14:textFill>
            <w14:solidFill>
              <w14:schemeClr w14:val="tx1"/>
            </w14:solidFill>
          </w14:textFill>
        </w:rPr>
        <w:t>月</w:t>
      </w:r>
    </w:p>
    <w:p>
      <w:pPr>
        <w:ind w:firstLine="480"/>
        <w:rPr>
          <w:rFonts w:hint="default" w:ascii="Times New Roman" w:hAnsi="Times New Roman" w:cs="Times New Roman"/>
          <w:color w:val="000000" w:themeColor="text1"/>
          <w:highlight w:val="none"/>
          <w14:textFill>
            <w14:solidFill>
              <w14:schemeClr w14:val="tx1"/>
            </w14:solidFill>
          </w14:textFill>
        </w:rPr>
      </w:pPr>
    </w:p>
    <w:p>
      <w:pPr>
        <w:ind w:firstLine="480"/>
        <w:rPr>
          <w:rFonts w:hint="default" w:ascii="Times New Roman" w:hAnsi="Times New Roman" w:cs="Times New Roman"/>
          <w:color w:val="000000" w:themeColor="text1"/>
          <w:highlight w:val="none"/>
          <w14:textFill>
            <w14:solidFill>
              <w14:schemeClr w14:val="tx1"/>
            </w14:solidFill>
          </w14:textFill>
        </w:rPr>
        <w:sectPr>
          <w:headerReference r:id="rId7" w:type="first"/>
          <w:footerReference r:id="rId8" w:type="first"/>
          <w:headerReference r:id="rId5" w:type="default"/>
          <w:headerReference r:id="rId6" w:type="even"/>
          <w:type w:val="nextColumn"/>
          <w:pgSz w:w="11910" w:h="16840"/>
          <w:pgMar w:top="1440" w:right="1644" w:bottom="1440" w:left="1644" w:header="1020" w:footer="964" w:gutter="0"/>
          <w:pgBorders>
            <w:top w:val="none" w:sz="0" w:space="0"/>
            <w:left w:val="none" w:sz="0" w:space="0"/>
            <w:bottom w:val="none" w:sz="0" w:space="0"/>
            <w:right w:val="none" w:sz="0" w:space="0"/>
          </w:pgBorders>
          <w:pgNumType w:fmt="upperRoman"/>
          <w:cols w:space="720" w:num="1"/>
          <w:docGrid w:linePitch="326" w:charSpace="0"/>
        </w:sectPr>
      </w:pPr>
    </w:p>
    <w:p>
      <w:pPr>
        <w:tabs>
          <w:tab w:val="left" w:pos="583"/>
        </w:tabs>
        <w:spacing w:before="240" w:beforeLines="100"/>
        <w:ind w:firstLine="608"/>
        <w:jc w:val="center"/>
        <w:rPr>
          <w:rFonts w:hint="default" w:ascii="Times New Roman" w:hAnsi="Times New Roman" w:cs="Times New Roman"/>
          <w:b/>
          <w:bCs/>
          <w:color w:val="000000" w:themeColor="text1"/>
          <w:sz w:val="32"/>
          <w:szCs w:val="32"/>
          <w:highlight w:val="none"/>
          <w14:textFill>
            <w14:solidFill>
              <w14:schemeClr w14:val="tx1"/>
            </w14:solidFill>
          </w14:textFill>
        </w:rPr>
      </w:pPr>
      <w:r>
        <w:rPr>
          <w:rFonts w:hint="default" w:ascii="Times New Roman" w:hAnsi="Times New Roman" w:cs="Times New Roman"/>
          <w:b/>
          <w:bCs/>
          <w:color w:val="000000" w:themeColor="text1"/>
          <w:w w:val="95"/>
          <w:sz w:val="32"/>
          <w:szCs w:val="32"/>
          <w:highlight w:val="none"/>
          <w14:textFill>
            <w14:solidFill>
              <w14:schemeClr w14:val="tx1"/>
            </w14:solidFill>
          </w14:textFill>
        </w:rPr>
        <w:t>目</w:t>
      </w:r>
      <w:r>
        <w:rPr>
          <w:rFonts w:hint="default" w:ascii="Times New Roman" w:hAnsi="Times New Roman" w:cs="Times New Roman"/>
          <w:b/>
          <w:bCs/>
          <w:color w:val="000000" w:themeColor="text1"/>
          <w:sz w:val="32"/>
          <w:szCs w:val="32"/>
          <w:highlight w:val="none"/>
          <w14:textFill>
            <w14:solidFill>
              <w14:schemeClr w14:val="tx1"/>
            </w14:solidFill>
          </w14:textFill>
        </w:rPr>
        <w:t>录</w:t>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cs="Times New Roman"/>
          <w:color w:val="000000" w:themeColor="text1"/>
          <w:sz w:val="24"/>
          <w:szCs w:val="24"/>
          <w:highlight w:val="none"/>
          <w14:textFill>
            <w14:solidFill>
              <w14:schemeClr w14:val="tx1"/>
            </w14:solidFill>
          </w14:textFill>
        </w:rPr>
        <w:instrText xml:space="preserve"> TOC \o "1-2" \h \z \u </w:instrText>
      </w:r>
      <w:r>
        <w:rPr>
          <w:rFonts w:hint="default" w:ascii="Times New Roman" w:hAnsi="Times New Roman"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HYPERLINK \l _Toc11117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14:textFill>
            <w14:solidFill>
              <w14:schemeClr w14:val="tx1"/>
            </w14:solidFill>
          </w14:textFill>
        </w:rPr>
        <w:t xml:space="preserve">1、 </w:t>
      </w:r>
      <w:r>
        <w:rPr>
          <w:rFonts w:hint="default" w:ascii="Times New Roman" w:hAnsi="Times New Roman" w:cs="Times New Roman"/>
          <w:color w:val="000000" w:themeColor="text1"/>
          <w:highlight w:val="none"/>
          <w14:textFill>
            <w14:solidFill>
              <w14:schemeClr w14:val="tx1"/>
            </w14:solidFill>
          </w14:textFill>
        </w:rPr>
        <w:t>概述</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_Toc11117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_Toc6138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14:textFill>
            <w14:solidFill>
              <w14:schemeClr w14:val="tx1"/>
            </w14:solidFill>
          </w14:textFill>
        </w:rPr>
        <w:t xml:space="preserve">1.1 </w:t>
      </w:r>
      <w:r>
        <w:rPr>
          <w:rFonts w:hint="default" w:ascii="Times New Roman" w:hAnsi="Times New Roman" w:cs="Times New Roman"/>
          <w:color w:val="000000" w:themeColor="text1"/>
          <w:highlight w:val="none"/>
          <w14:textFill>
            <w14:solidFill>
              <w14:schemeClr w14:val="tx1"/>
            </w14:solidFill>
          </w14:textFill>
        </w:rPr>
        <w:t>项目背景</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_Toc6138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_Toc26819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14:textFill>
            <w14:solidFill>
              <w14:schemeClr w14:val="tx1"/>
            </w14:solidFill>
          </w14:textFill>
        </w:rPr>
        <w:t xml:space="preserve">1.2 </w:t>
      </w:r>
      <w:r>
        <w:rPr>
          <w:rFonts w:hint="default" w:ascii="Times New Roman" w:hAnsi="Times New Roman" w:cs="Times New Roman"/>
          <w:color w:val="000000" w:themeColor="text1"/>
          <w:highlight w:val="none"/>
          <w14:textFill>
            <w14:solidFill>
              <w14:schemeClr w14:val="tx1"/>
            </w14:solidFill>
          </w14:textFill>
        </w:rPr>
        <w:t>建设项目特点</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_Toc26819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_Toc23434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szCs w:val="24"/>
          <w:highlight w:val="none"/>
          <w:lang w:eastAsia="zh-CN"/>
          <w14:textFill>
            <w14:solidFill>
              <w14:schemeClr w14:val="tx1"/>
            </w14:solidFill>
          </w14:textFill>
        </w:rPr>
        <w:t xml:space="preserve">1.3 </w:t>
      </w:r>
      <w:r>
        <w:rPr>
          <w:rFonts w:hint="default" w:ascii="Times New Roman" w:hAnsi="Times New Roman" w:cs="Times New Roman"/>
          <w:color w:val="000000" w:themeColor="text1"/>
          <w:highlight w:val="none"/>
          <w:lang w:eastAsia="zh-CN"/>
          <w14:textFill>
            <w14:solidFill>
              <w14:schemeClr w14:val="tx1"/>
            </w14:solidFill>
          </w14:textFill>
        </w:rPr>
        <w:t>环境影响评价的工作过程</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_Toc23434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_Toc6785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1.4 </w:t>
      </w:r>
      <w:r>
        <w:rPr>
          <w:rFonts w:hint="default" w:ascii="Times New Roman" w:hAnsi="Times New Roman" w:cs="Times New Roman"/>
          <w:color w:val="000000" w:themeColor="text1"/>
          <w:highlight w:val="none"/>
          <w:lang w:eastAsia="zh-CN"/>
          <w14:textFill>
            <w14:solidFill>
              <w14:schemeClr w14:val="tx1"/>
            </w14:solidFill>
          </w14:textFill>
        </w:rPr>
        <w:t>分析判定相关情况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_Toc6785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_Toc941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1.5 </w:t>
      </w:r>
      <w:r>
        <w:rPr>
          <w:rFonts w:hint="default" w:ascii="Times New Roman" w:hAnsi="Times New Roman" w:cs="Times New Roman"/>
          <w:color w:val="000000" w:themeColor="text1"/>
          <w:highlight w:val="none"/>
          <w:lang w:eastAsia="zh-CN"/>
          <w14:textFill>
            <w14:solidFill>
              <w14:schemeClr w14:val="tx1"/>
            </w14:solidFill>
          </w14:textFill>
        </w:rPr>
        <w:t>关注的主要环境问题</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_Toc941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_Toc21027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1.6 </w:t>
      </w:r>
      <w:r>
        <w:rPr>
          <w:rFonts w:hint="default" w:ascii="Times New Roman" w:hAnsi="Times New Roman" w:cs="Times New Roman"/>
          <w:color w:val="000000" w:themeColor="text1"/>
          <w:highlight w:val="none"/>
          <w:lang w:eastAsia="zh-CN"/>
          <w14:textFill>
            <w14:solidFill>
              <w14:schemeClr w14:val="tx1"/>
            </w14:solidFill>
          </w14:textFill>
        </w:rPr>
        <w:t>环境影响评价的主要结论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_Toc21027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_Toc5181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14:textFill>
            <w14:solidFill>
              <w14:schemeClr w14:val="tx1"/>
            </w14:solidFill>
          </w14:textFill>
        </w:rPr>
        <w:t xml:space="preserve">2、 </w:t>
      </w:r>
      <w:r>
        <w:rPr>
          <w:rFonts w:hint="default" w:ascii="Times New Roman" w:hAnsi="Times New Roman" w:cs="Times New Roman"/>
          <w:color w:val="000000" w:themeColor="text1"/>
          <w:highlight w:val="none"/>
          <w14:textFill>
            <w14:solidFill>
              <w14:schemeClr w14:val="tx1"/>
            </w14:solidFill>
          </w14:textFill>
        </w:rPr>
        <w:t>总则</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_Toc5181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_Toc9005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2.1 </w:t>
      </w:r>
      <w:r>
        <w:rPr>
          <w:rFonts w:hint="default" w:ascii="Times New Roman" w:hAnsi="Times New Roman" w:cs="Times New Roman"/>
          <w:color w:val="000000" w:themeColor="text1"/>
          <w:highlight w:val="none"/>
          <w:lang w:eastAsia="zh-CN"/>
          <w14:textFill>
            <w14:solidFill>
              <w14:schemeClr w14:val="tx1"/>
            </w14:solidFill>
          </w14:textFill>
        </w:rPr>
        <w:t>评价目的</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_Toc9005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_Toc7575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2.2 </w:t>
      </w:r>
      <w:r>
        <w:rPr>
          <w:rFonts w:hint="default" w:ascii="Times New Roman" w:hAnsi="Times New Roman" w:cs="Times New Roman"/>
          <w:color w:val="000000" w:themeColor="text1"/>
          <w:highlight w:val="none"/>
          <w:lang w:eastAsia="zh-CN"/>
          <w14:textFill>
            <w14:solidFill>
              <w14:schemeClr w14:val="tx1"/>
            </w14:solidFill>
          </w14:textFill>
        </w:rPr>
        <w:t>评价原则</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_Toc7575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_Toc988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2.3 </w:t>
      </w:r>
      <w:r>
        <w:rPr>
          <w:rFonts w:hint="default" w:ascii="Times New Roman" w:hAnsi="Times New Roman" w:cs="Times New Roman"/>
          <w:color w:val="000000" w:themeColor="text1"/>
          <w:highlight w:val="none"/>
          <w:lang w:eastAsia="zh-CN"/>
          <w14:textFill>
            <w14:solidFill>
              <w14:schemeClr w14:val="tx1"/>
            </w14:solidFill>
          </w14:textFill>
        </w:rPr>
        <w:t>编制依据</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_Toc988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_Toc12014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2.4 </w:t>
      </w:r>
      <w:r>
        <w:rPr>
          <w:rFonts w:hint="default" w:ascii="Times New Roman" w:hAnsi="Times New Roman" w:cs="Times New Roman"/>
          <w:color w:val="000000" w:themeColor="text1"/>
          <w:highlight w:val="none"/>
          <w:lang w:eastAsia="zh-CN"/>
          <w14:textFill>
            <w14:solidFill>
              <w14:schemeClr w14:val="tx1"/>
            </w14:solidFill>
          </w14:textFill>
        </w:rPr>
        <w:t>环境影响识别与评价因子筛选</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_Toc12014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_Toc14533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2.5 </w:t>
      </w:r>
      <w:r>
        <w:rPr>
          <w:rFonts w:hint="default" w:ascii="Times New Roman" w:hAnsi="Times New Roman" w:cs="Times New Roman"/>
          <w:color w:val="000000" w:themeColor="text1"/>
          <w:highlight w:val="none"/>
          <w:lang w:eastAsia="zh-CN"/>
          <w14:textFill>
            <w14:solidFill>
              <w14:schemeClr w14:val="tx1"/>
            </w14:solidFill>
          </w14:textFill>
        </w:rPr>
        <w:t>环境功能区划与评价标准</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_Toc14533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_Toc19468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2.6 </w:t>
      </w:r>
      <w:r>
        <w:rPr>
          <w:rFonts w:hint="default" w:ascii="Times New Roman" w:hAnsi="Times New Roman" w:cs="Times New Roman"/>
          <w:color w:val="000000" w:themeColor="text1"/>
          <w:highlight w:val="none"/>
          <w:lang w:eastAsia="zh-CN"/>
          <w14:textFill>
            <w14:solidFill>
              <w14:schemeClr w14:val="tx1"/>
            </w14:solidFill>
          </w14:textFill>
        </w:rPr>
        <w:t>评价工作等级和评价范围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_Toc19468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_Toc18945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2.7 </w:t>
      </w:r>
      <w:r>
        <w:rPr>
          <w:rFonts w:hint="default" w:ascii="Times New Roman" w:hAnsi="Times New Roman" w:cs="Times New Roman"/>
          <w:color w:val="000000" w:themeColor="text1"/>
          <w:highlight w:val="none"/>
          <w:lang w:eastAsia="zh-CN"/>
          <w14:textFill>
            <w14:solidFill>
              <w14:schemeClr w14:val="tx1"/>
            </w14:solidFill>
          </w14:textFill>
        </w:rPr>
        <w:t>相关政策、规范符合性分析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_Toc18945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_Toc2613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szCs w:val="26"/>
          <w:highlight w:val="none"/>
          <w:lang w:eastAsia="zh-CN"/>
          <w14:textFill>
            <w14:solidFill>
              <w14:schemeClr w14:val="tx1"/>
            </w14:solidFill>
          </w14:textFill>
        </w:rPr>
        <w:t xml:space="preserve">2.8 </w:t>
      </w:r>
      <w:r>
        <w:rPr>
          <w:rFonts w:hint="default" w:ascii="Times New Roman" w:hAnsi="Times New Roman" w:cs="Times New Roman"/>
          <w:color w:val="000000" w:themeColor="text1"/>
          <w:highlight w:val="none"/>
          <w:lang w:eastAsia="zh-CN"/>
          <w14:textFill>
            <w14:solidFill>
              <w14:schemeClr w14:val="tx1"/>
            </w14:solidFill>
          </w14:textFill>
        </w:rPr>
        <w:t>评价内容及时段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_Toc2613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82</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_Toc14096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2.9 </w:t>
      </w:r>
      <w:r>
        <w:rPr>
          <w:rFonts w:hint="default" w:ascii="Times New Roman" w:hAnsi="Times New Roman" w:cs="Times New Roman"/>
          <w:color w:val="000000" w:themeColor="text1"/>
          <w:highlight w:val="none"/>
          <w:lang w:eastAsia="zh-CN"/>
          <w14:textFill>
            <w14:solidFill>
              <w14:schemeClr w14:val="tx1"/>
            </w14:solidFill>
          </w14:textFill>
        </w:rPr>
        <w:t>环境保护目标</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_Toc14096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83</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_Toc21770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2.10 </w:t>
      </w:r>
      <w:r>
        <w:rPr>
          <w:rFonts w:hint="default" w:ascii="Times New Roman" w:hAnsi="Times New Roman" w:cs="Times New Roman"/>
          <w:color w:val="000000" w:themeColor="text1"/>
          <w:highlight w:val="none"/>
          <w:lang w:eastAsia="zh-CN"/>
          <w14:textFill>
            <w14:solidFill>
              <w14:schemeClr w14:val="tx1"/>
            </w14:solidFill>
          </w14:textFill>
        </w:rPr>
        <w:t>工程方案的合理性分析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_Toc21770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87</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_Toc1704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lang w:eastAsia="zh-CN"/>
          <w14:textFill>
            <w14:solidFill>
              <w14:schemeClr w14:val="tx1"/>
            </w14:solidFill>
          </w14:textFill>
        </w:rPr>
        <w:t xml:space="preserve">3、 </w:t>
      </w:r>
      <w:r>
        <w:rPr>
          <w:rFonts w:hint="default" w:ascii="Times New Roman" w:hAnsi="Times New Roman" w:cs="Times New Roman"/>
          <w:color w:val="000000" w:themeColor="text1"/>
          <w:highlight w:val="none"/>
          <w:lang w:eastAsia="zh-CN"/>
          <w14:textFill>
            <w14:solidFill>
              <w14:schemeClr w14:val="tx1"/>
            </w14:solidFill>
          </w14:textFill>
        </w:rPr>
        <w:t>工程分析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_Toc1704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_Toc9118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3.1 </w:t>
      </w:r>
      <w:r>
        <w:rPr>
          <w:rFonts w:hint="default" w:ascii="Times New Roman" w:hAnsi="Times New Roman" w:cs="Times New Roman"/>
          <w:color w:val="000000" w:themeColor="text1"/>
          <w:szCs w:val="24"/>
          <w:highlight w:val="none"/>
          <w:lang w:eastAsia="zh-CN"/>
          <w14:textFill>
            <w14:solidFill>
              <w14:schemeClr w14:val="tx1"/>
            </w14:solidFill>
          </w14:textFill>
        </w:rPr>
        <w:t>现有工程建设情况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_Toc9118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_Toc31227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3.2 </w:t>
      </w:r>
      <w:r>
        <w:rPr>
          <w:rFonts w:hint="default" w:ascii="Times New Roman" w:hAnsi="Times New Roman" w:cs="Times New Roman"/>
          <w:color w:val="000000" w:themeColor="text1"/>
          <w:highlight w:val="none"/>
          <w:lang w:eastAsia="zh-CN"/>
          <w14:textFill>
            <w14:solidFill>
              <w14:schemeClr w14:val="tx1"/>
            </w14:solidFill>
          </w14:textFill>
        </w:rPr>
        <w:t>项目概况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_Toc31227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93</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_Toc26395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3.3 </w:t>
      </w:r>
      <w:r>
        <w:rPr>
          <w:rFonts w:hint="default" w:ascii="Times New Roman" w:hAnsi="Times New Roman" w:cs="Times New Roman"/>
          <w:color w:val="000000" w:themeColor="text1"/>
          <w:highlight w:val="none"/>
          <w:lang w:eastAsia="zh-CN"/>
          <w14:textFill>
            <w14:solidFill>
              <w14:schemeClr w14:val="tx1"/>
            </w14:solidFill>
          </w14:textFill>
        </w:rPr>
        <w:t>建设项目工程分析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_Toc26395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117</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_Toc10049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3.4 </w:t>
      </w:r>
      <w:r>
        <w:rPr>
          <w:rFonts w:hint="default" w:ascii="Times New Roman" w:hAnsi="Times New Roman" w:cs="Times New Roman"/>
          <w:color w:val="000000" w:themeColor="text1"/>
          <w:highlight w:val="none"/>
          <w:lang w:eastAsia="zh-CN"/>
          <w14:textFill>
            <w14:solidFill>
              <w14:schemeClr w14:val="tx1"/>
            </w14:solidFill>
          </w14:textFill>
        </w:rPr>
        <w:t>污染源源强核算</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_Toc10049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132</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_Toc1964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lang w:eastAsia="zh-CN"/>
          <w14:textFill>
            <w14:solidFill>
              <w14:schemeClr w14:val="tx1"/>
            </w14:solidFill>
          </w14:textFill>
        </w:rPr>
        <w:t xml:space="preserve">4、 </w:t>
      </w:r>
      <w:r>
        <w:rPr>
          <w:rFonts w:hint="default" w:ascii="Times New Roman" w:hAnsi="Times New Roman" w:cs="Times New Roman"/>
          <w:color w:val="000000" w:themeColor="text1"/>
          <w:highlight w:val="none"/>
          <w:lang w:eastAsia="zh-CN"/>
          <w14:textFill>
            <w14:solidFill>
              <w14:schemeClr w14:val="tx1"/>
            </w14:solidFill>
          </w14:textFill>
        </w:rPr>
        <w:t>环境现状调查与评价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_Toc1964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157</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_Toc7563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4.1 </w:t>
      </w:r>
      <w:r>
        <w:rPr>
          <w:rFonts w:hint="default" w:ascii="Times New Roman" w:hAnsi="Times New Roman" w:cs="Times New Roman"/>
          <w:color w:val="000000" w:themeColor="text1"/>
          <w:highlight w:val="none"/>
          <w:lang w:eastAsia="zh-CN"/>
          <w14:textFill>
            <w14:solidFill>
              <w14:schemeClr w14:val="tx1"/>
            </w14:solidFill>
          </w14:textFill>
        </w:rPr>
        <w:t>自然环境现状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_Toc7563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157</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_Toc10621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4.2 </w:t>
      </w:r>
      <w:r>
        <w:rPr>
          <w:rFonts w:hint="default" w:ascii="Times New Roman" w:hAnsi="Times New Roman" w:cs="Times New Roman"/>
          <w:color w:val="000000" w:themeColor="text1"/>
          <w:highlight w:val="none"/>
          <w:lang w:eastAsia="zh-CN"/>
          <w14:textFill>
            <w14:solidFill>
              <w14:schemeClr w14:val="tx1"/>
            </w14:solidFill>
          </w14:textFill>
        </w:rPr>
        <w:t>环境质量现状评价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_Toc10621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161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_Toc1062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val="en-US" w:eastAsia="zh-CN"/>
          <w14:textFill>
            <w14:solidFill>
              <w14:schemeClr w14:val="tx1"/>
            </w14:solidFill>
          </w14:textFill>
        </w:rPr>
        <w:t xml:space="preserve">4.3 </w:t>
      </w:r>
      <w:r>
        <w:rPr>
          <w:rFonts w:hint="default" w:ascii="Times New Roman" w:hAnsi="Times New Roman" w:cs="Times New Roman"/>
          <w:color w:val="000000" w:themeColor="text1"/>
          <w:highlight w:val="none"/>
          <w:lang w:val="en-US" w:eastAsia="zh-CN"/>
          <w14:textFill>
            <w14:solidFill>
              <w14:schemeClr w14:val="tx1"/>
            </w14:solidFill>
          </w14:textFill>
        </w:rPr>
        <w:t>生态环境调查与评价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_Toc1062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175</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_Toc797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lang w:eastAsia="zh-CN"/>
          <w14:textFill>
            <w14:solidFill>
              <w14:schemeClr w14:val="tx1"/>
            </w14:solidFill>
          </w14:textFill>
        </w:rPr>
        <w:t xml:space="preserve">5、 </w:t>
      </w:r>
      <w:r>
        <w:rPr>
          <w:rFonts w:hint="default" w:ascii="Times New Roman" w:hAnsi="Times New Roman" w:cs="Times New Roman"/>
          <w:color w:val="000000" w:themeColor="text1"/>
          <w:highlight w:val="none"/>
          <w:lang w:eastAsia="zh-CN"/>
          <w14:textFill>
            <w14:solidFill>
              <w14:schemeClr w14:val="tx1"/>
            </w14:solidFill>
          </w14:textFill>
        </w:rPr>
        <w:t>环境影响预测与评价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_Toc797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216</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_Toc31253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5.1 </w:t>
      </w:r>
      <w:r>
        <w:rPr>
          <w:rFonts w:hint="default" w:ascii="Times New Roman" w:hAnsi="Times New Roman" w:cs="Times New Roman"/>
          <w:color w:val="000000" w:themeColor="text1"/>
          <w:highlight w:val="none"/>
          <w:lang w:eastAsia="zh-CN"/>
          <w14:textFill>
            <w14:solidFill>
              <w14:schemeClr w14:val="tx1"/>
            </w14:solidFill>
          </w14:textFill>
        </w:rPr>
        <w:t>施工期环境影响分析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_Toc31253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216</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_Toc6017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5.2 </w:t>
      </w:r>
      <w:r>
        <w:rPr>
          <w:rFonts w:hint="default" w:ascii="Times New Roman" w:hAnsi="Times New Roman" w:cs="Times New Roman"/>
          <w:color w:val="000000" w:themeColor="text1"/>
          <w:highlight w:val="none"/>
          <w:lang w:eastAsia="zh-CN"/>
          <w14:textFill>
            <w14:solidFill>
              <w14:schemeClr w14:val="tx1"/>
            </w14:solidFill>
          </w14:textFill>
        </w:rPr>
        <w:t>试采期环境影响分析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_Toc6017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246</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_Toc24179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szCs w:val="24"/>
          <w:highlight w:val="none"/>
          <w:lang w:eastAsia="zh-CN"/>
          <w14:textFill>
            <w14:solidFill>
              <w14:schemeClr w14:val="tx1"/>
            </w14:solidFill>
          </w14:textFill>
        </w:rPr>
        <w:t xml:space="preserve">5.3 </w:t>
      </w:r>
      <w:r>
        <w:rPr>
          <w:rFonts w:hint="default" w:ascii="Times New Roman" w:hAnsi="Times New Roman" w:cs="Times New Roman"/>
          <w:color w:val="000000" w:themeColor="text1"/>
          <w:szCs w:val="24"/>
          <w:highlight w:val="none"/>
          <w:lang w:eastAsia="zh-CN"/>
          <w14:textFill>
            <w14:solidFill>
              <w14:schemeClr w14:val="tx1"/>
            </w14:solidFill>
          </w14:textFill>
        </w:rPr>
        <w:t>地下水环境影响分析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_Toc24179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_Toc12465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lang w:eastAsia="zh-CN"/>
          <w14:textFill>
            <w14:solidFill>
              <w14:schemeClr w14:val="tx1"/>
            </w14:solidFill>
          </w14:textFill>
        </w:rPr>
        <w:t xml:space="preserve">6、 </w:t>
      </w:r>
      <w:r>
        <w:rPr>
          <w:rFonts w:hint="default" w:ascii="Times New Roman" w:hAnsi="Times New Roman" w:cs="Times New Roman"/>
          <w:color w:val="000000" w:themeColor="text1"/>
          <w:highlight w:val="none"/>
          <w:lang w:eastAsia="zh-CN"/>
          <w14:textFill>
            <w14:solidFill>
              <w14:schemeClr w14:val="tx1"/>
            </w14:solidFill>
          </w14:textFill>
        </w:rPr>
        <w:t>环境风险分析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_Toc12465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_Toc11057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6.1 </w:t>
      </w:r>
      <w:r>
        <w:rPr>
          <w:rFonts w:hint="default" w:ascii="Times New Roman" w:hAnsi="Times New Roman" w:cs="Times New Roman"/>
          <w:color w:val="000000" w:themeColor="text1"/>
          <w:highlight w:val="none"/>
          <w:lang w:eastAsia="zh-CN"/>
          <w14:textFill>
            <w14:solidFill>
              <w14:schemeClr w14:val="tx1"/>
            </w14:solidFill>
          </w14:textFill>
        </w:rPr>
        <w:t>评价依据</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_Toc11057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_Toc28695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6.2 </w:t>
      </w:r>
      <w:r>
        <w:rPr>
          <w:rFonts w:hint="default" w:ascii="Times New Roman" w:hAnsi="Times New Roman" w:cs="Times New Roman"/>
          <w:color w:val="000000" w:themeColor="text1"/>
          <w:highlight w:val="none"/>
          <w:lang w:eastAsia="zh-CN"/>
          <w14:textFill>
            <w14:solidFill>
              <w14:schemeClr w14:val="tx1"/>
            </w14:solidFill>
          </w14:textFill>
        </w:rPr>
        <w:t>环境敏感目标概况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_Toc28695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283</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_Toc1189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6.3 </w:t>
      </w:r>
      <w:r>
        <w:rPr>
          <w:rFonts w:hint="default" w:ascii="Times New Roman" w:hAnsi="Times New Roman" w:cs="Times New Roman"/>
          <w:color w:val="000000" w:themeColor="text1"/>
          <w:highlight w:val="none"/>
          <w:lang w:eastAsia="zh-CN"/>
          <w14:textFill>
            <w14:solidFill>
              <w14:schemeClr w14:val="tx1"/>
            </w14:solidFill>
          </w14:textFill>
        </w:rPr>
        <w:t>环境风险识别</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_Toc1189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283</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_Toc23532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6.4 </w:t>
      </w:r>
      <w:r>
        <w:rPr>
          <w:rFonts w:hint="default" w:ascii="Times New Roman" w:hAnsi="Times New Roman" w:cs="Times New Roman"/>
          <w:color w:val="000000" w:themeColor="text1"/>
          <w:highlight w:val="none"/>
          <w:lang w:eastAsia="zh-CN"/>
          <w14:textFill>
            <w14:solidFill>
              <w14:schemeClr w14:val="tx1"/>
            </w14:solidFill>
          </w14:textFill>
        </w:rPr>
        <w:t>环境风险分析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_Toc23532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286</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_Toc6965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6.5 </w:t>
      </w:r>
      <w:r>
        <w:rPr>
          <w:rFonts w:hint="default" w:ascii="Times New Roman" w:hAnsi="Times New Roman" w:cs="Times New Roman"/>
          <w:color w:val="000000" w:themeColor="text1"/>
          <w:highlight w:val="none"/>
          <w:lang w:eastAsia="zh-CN"/>
          <w14:textFill>
            <w14:solidFill>
              <w14:schemeClr w14:val="tx1"/>
            </w14:solidFill>
          </w14:textFill>
        </w:rPr>
        <w:t>环境风险防范措施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_Toc6965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303</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_Toc16939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6.6 </w:t>
      </w:r>
      <w:r>
        <w:rPr>
          <w:rFonts w:hint="default" w:ascii="Times New Roman" w:hAnsi="Times New Roman" w:cs="Times New Roman"/>
          <w:color w:val="000000" w:themeColor="text1"/>
          <w:highlight w:val="none"/>
          <w:lang w:eastAsia="zh-CN"/>
          <w14:textFill>
            <w14:solidFill>
              <w14:schemeClr w14:val="tx1"/>
            </w14:solidFill>
          </w14:textFill>
        </w:rPr>
        <w:t>应急措施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_Toc16939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312</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_Toc16964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6.7 </w:t>
      </w:r>
      <w:r>
        <w:rPr>
          <w:rFonts w:hint="default" w:ascii="Times New Roman" w:hAnsi="Times New Roman" w:cs="Times New Roman"/>
          <w:color w:val="000000" w:themeColor="text1"/>
          <w:highlight w:val="none"/>
          <w:lang w:eastAsia="zh-CN"/>
          <w14:textFill>
            <w14:solidFill>
              <w14:schemeClr w14:val="tx1"/>
            </w14:solidFill>
          </w14:textFill>
        </w:rPr>
        <w:t>分析结论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_Toc16964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329</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_Toc14525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lang w:eastAsia="zh-CN"/>
          <w14:textFill>
            <w14:solidFill>
              <w14:schemeClr w14:val="tx1"/>
            </w14:solidFill>
          </w14:textFill>
        </w:rPr>
        <w:t xml:space="preserve">7、 </w:t>
      </w:r>
      <w:r>
        <w:rPr>
          <w:rFonts w:hint="default" w:ascii="Times New Roman" w:hAnsi="Times New Roman" w:cs="Times New Roman"/>
          <w:color w:val="000000" w:themeColor="text1"/>
          <w:highlight w:val="none"/>
          <w:lang w:eastAsia="zh-CN"/>
          <w14:textFill>
            <w14:solidFill>
              <w14:schemeClr w14:val="tx1"/>
            </w14:solidFill>
          </w14:textFill>
        </w:rPr>
        <w:t>环境保护措施及其可行性论证</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_Toc14525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_Toc12280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7.1 </w:t>
      </w:r>
      <w:r>
        <w:rPr>
          <w:rFonts w:hint="default" w:ascii="Times New Roman" w:hAnsi="Times New Roman" w:cs="Times New Roman"/>
          <w:color w:val="000000" w:themeColor="text1"/>
          <w:highlight w:val="none"/>
          <w:lang w:eastAsia="zh-CN"/>
          <w14:textFill>
            <w14:solidFill>
              <w14:schemeClr w14:val="tx1"/>
            </w14:solidFill>
          </w14:textFill>
        </w:rPr>
        <w:t>施工期环境保护措施及可行性分析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_Toc12280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_Toc15747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7.2 </w:t>
      </w:r>
      <w:r>
        <w:rPr>
          <w:rFonts w:hint="default" w:ascii="Times New Roman" w:hAnsi="Times New Roman" w:cs="Times New Roman"/>
          <w:color w:val="000000" w:themeColor="text1"/>
          <w:highlight w:val="none"/>
          <w:lang w:eastAsia="zh-CN"/>
          <w14:textFill>
            <w14:solidFill>
              <w14:schemeClr w14:val="tx1"/>
            </w14:solidFill>
          </w14:textFill>
        </w:rPr>
        <w:t>试采期环境保护措施及可行性分析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_Toc15747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357</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_Toc29088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7.3 </w:t>
      </w:r>
      <w:r>
        <w:rPr>
          <w:rFonts w:hint="default" w:ascii="Times New Roman" w:hAnsi="Times New Roman" w:cs="Times New Roman"/>
          <w:color w:val="000000" w:themeColor="text1"/>
          <w:highlight w:val="none"/>
          <w:lang w:eastAsia="zh-CN"/>
          <w14:textFill>
            <w14:solidFill>
              <w14:schemeClr w14:val="tx1"/>
            </w14:solidFill>
          </w14:textFill>
        </w:rPr>
        <w:t>项目完工及试采结束后环境保护措施及可行性分析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_Toc29088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_Toc29702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lang w:eastAsia="zh-CN"/>
          <w14:textFill>
            <w14:solidFill>
              <w14:schemeClr w14:val="tx1"/>
            </w14:solidFill>
          </w14:textFill>
        </w:rPr>
        <w:t xml:space="preserve">8、 </w:t>
      </w:r>
      <w:r>
        <w:rPr>
          <w:rFonts w:hint="default" w:ascii="Times New Roman" w:hAnsi="Times New Roman" w:cs="Times New Roman"/>
          <w:color w:val="000000" w:themeColor="text1"/>
          <w:highlight w:val="none"/>
          <w:lang w:eastAsia="zh-CN"/>
          <w14:textFill>
            <w14:solidFill>
              <w14:schemeClr w14:val="tx1"/>
            </w14:solidFill>
          </w14:textFill>
        </w:rPr>
        <w:t>环境影响经济损益分析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_Toc29702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_Toc10627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8.1 </w:t>
      </w:r>
      <w:r>
        <w:rPr>
          <w:rFonts w:hint="default" w:ascii="Times New Roman" w:hAnsi="Times New Roman" w:cs="Times New Roman"/>
          <w:color w:val="000000" w:themeColor="text1"/>
          <w:highlight w:val="none"/>
          <w:lang w:eastAsia="zh-CN"/>
          <w14:textFill>
            <w14:solidFill>
              <w14:schemeClr w14:val="tx1"/>
            </w14:solidFill>
          </w14:textFill>
        </w:rPr>
        <w:t>环保投资估算</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_Toc10627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_Toc18269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8.2 </w:t>
      </w:r>
      <w:r>
        <w:rPr>
          <w:rFonts w:hint="default" w:ascii="Times New Roman" w:hAnsi="Times New Roman" w:cs="Times New Roman"/>
          <w:color w:val="000000" w:themeColor="text1"/>
          <w:highlight w:val="none"/>
          <w:lang w:eastAsia="zh-CN"/>
          <w14:textFill>
            <w14:solidFill>
              <w14:schemeClr w14:val="tx1"/>
            </w14:solidFill>
          </w14:textFill>
        </w:rPr>
        <w:t>“三效益”分析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_Toc18269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362</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_Toc18060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8.3 </w:t>
      </w:r>
      <w:r>
        <w:rPr>
          <w:rFonts w:hint="default" w:ascii="Times New Roman" w:hAnsi="Times New Roman" w:cs="Times New Roman"/>
          <w:color w:val="000000" w:themeColor="text1"/>
          <w:highlight w:val="none"/>
          <w:lang w:eastAsia="zh-CN"/>
          <w14:textFill>
            <w14:solidFill>
              <w14:schemeClr w14:val="tx1"/>
            </w14:solidFill>
          </w14:textFill>
        </w:rPr>
        <w:t>环境经济损益分析结论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_Toc18060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363</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_Toc3380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lang w:eastAsia="zh-CN"/>
          <w14:textFill>
            <w14:solidFill>
              <w14:schemeClr w14:val="tx1"/>
            </w14:solidFill>
          </w14:textFill>
        </w:rPr>
        <w:t xml:space="preserve">9、 </w:t>
      </w:r>
      <w:r>
        <w:rPr>
          <w:rFonts w:hint="default" w:ascii="Times New Roman" w:hAnsi="Times New Roman" w:cs="Times New Roman"/>
          <w:color w:val="000000" w:themeColor="text1"/>
          <w:highlight w:val="none"/>
          <w:lang w:eastAsia="zh-CN"/>
          <w14:textFill>
            <w14:solidFill>
              <w14:schemeClr w14:val="tx1"/>
            </w14:solidFill>
          </w14:textFill>
        </w:rPr>
        <w:t>清洁生产与总量控制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_Toc3380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364</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_Toc6704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9.1 </w:t>
      </w:r>
      <w:r>
        <w:rPr>
          <w:rFonts w:hint="default" w:ascii="Times New Roman" w:hAnsi="Times New Roman" w:cs="Times New Roman"/>
          <w:color w:val="000000" w:themeColor="text1"/>
          <w:highlight w:val="none"/>
          <w:lang w:eastAsia="zh-CN"/>
          <w14:textFill>
            <w14:solidFill>
              <w14:schemeClr w14:val="tx1"/>
            </w14:solidFill>
          </w14:textFill>
        </w:rPr>
        <w:t>清洁生产分析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_Toc6704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364</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_Toc29089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9.2 </w:t>
      </w:r>
      <w:r>
        <w:rPr>
          <w:rFonts w:hint="default" w:ascii="Times New Roman" w:hAnsi="Times New Roman" w:cs="Times New Roman"/>
          <w:color w:val="000000" w:themeColor="text1"/>
          <w:highlight w:val="none"/>
          <w:lang w:eastAsia="zh-CN"/>
          <w14:textFill>
            <w14:solidFill>
              <w14:schemeClr w14:val="tx1"/>
            </w14:solidFill>
          </w14:textFill>
        </w:rPr>
        <w:t>总量控制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_Toc29089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365</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_Toc20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lang w:eastAsia="zh-CN"/>
          <w14:textFill>
            <w14:solidFill>
              <w14:schemeClr w14:val="tx1"/>
            </w14:solidFill>
          </w14:textFill>
        </w:rPr>
        <w:t xml:space="preserve">10、 </w:t>
      </w:r>
      <w:r>
        <w:rPr>
          <w:rFonts w:hint="default" w:ascii="Times New Roman" w:hAnsi="Times New Roman" w:cs="Times New Roman"/>
          <w:color w:val="000000" w:themeColor="text1"/>
          <w:highlight w:val="none"/>
          <w:lang w:eastAsia="zh-CN"/>
          <w14:textFill>
            <w14:solidFill>
              <w14:schemeClr w14:val="tx1"/>
            </w14:solidFill>
          </w14:textFill>
        </w:rPr>
        <w:t>环境管理与环境监测</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367</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_Toc9879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10.1 </w:t>
      </w:r>
      <w:r>
        <w:rPr>
          <w:rFonts w:hint="default" w:ascii="Times New Roman" w:hAnsi="Times New Roman" w:cs="Times New Roman"/>
          <w:color w:val="000000" w:themeColor="text1"/>
          <w:highlight w:val="none"/>
          <w:lang w:eastAsia="zh-CN"/>
          <w14:textFill>
            <w14:solidFill>
              <w14:schemeClr w14:val="tx1"/>
            </w14:solidFill>
          </w14:textFill>
        </w:rPr>
        <w:t>环境管理</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_Toc9879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367</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_Toc19686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10.2 </w:t>
      </w:r>
      <w:r>
        <w:rPr>
          <w:rFonts w:hint="default" w:ascii="Times New Roman" w:hAnsi="Times New Roman" w:cs="Times New Roman"/>
          <w:color w:val="000000" w:themeColor="text1"/>
          <w:highlight w:val="none"/>
          <w:lang w:eastAsia="zh-CN"/>
          <w14:textFill>
            <w14:solidFill>
              <w14:schemeClr w14:val="tx1"/>
            </w14:solidFill>
          </w14:textFill>
        </w:rPr>
        <w:t>污染物排放清单</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_Toc19686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369</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_Toc26863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10.3 </w:t>
      </w:r>
      <w:r>
        <w:rPr>
          <w:rFonts w:hint="default" w:ascii="Times New Roman" w:hAnsi="Times New Roman" w:cs="Times New Roman"/>
          <w:color w:val="000000" w:themeColor="text1"/>
          <w:highlight w:val="none"/>
          <w:lang w:eastAsia="zh-CN"/>
          <w14:textFill>
            <w14:solidFill>
              <w14:schemeClr w14:val="tx1"/>
            </w14:solidFill>
          </w14:textFill>
        </w:rPr>
        <w:t>环境监测</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_Toc26863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372</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_Toc27706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10.4 </w:t>
      </w:r>
      <w:r>
        <w:rPr>
          <w:rFonts w:hint="default" w:ascii="Times New Roman" w:hAnsi="Times New Roman" w:cs="Times New Roman"/>
          <w:color w:val="000000" w:themeColor="text1"/>
          <w:highlight w:val="none"/>
          <w:lang w:eastAsia="zh-CN"/>
          <w14:textFill>
            <w14:solidFill>
              <w14:schemeClr w14:val="tx1"/>
            </w14:solidFill>
          </w14:textFill>
        </w:rPr>
        <w:t>排污许可申请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_Toc27706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374</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_Toc6568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10.5 </w:t>
      </w:r>
      <w:r>
        <w:rPr>
          <w:rFonts w:hint="default" w:ascii="Times New Roman" w:hAnsi="Times New Roman" w:cs="Times New Roman"/>
          <w:color w:val="000000" w:themeColor="text1"/>
          <w:highlight w:val="none"/>
          <w:lang w:eastAsia="zh-CN"/>
          <w14:textFill>
            <w14:solidFill>
              <w14:schemeClr w14:val="tx1"/>
            </w14:solidFill>
          </w14:textFill>
        </w:rPr>
        <w:t>竣工环保验收调查</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_Toc6568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374</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34"/>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_Toc25172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bCs w:val="0"/>
          <w:color w:val="000000" w:themeColor="text1"/>
          <w:highlight w:val="none"/>
          <w:lang w:eastAsia="zh-CN"/>
          <w14:textFill>
            <w14:solidFill>
              <w14:schemeClr w14:val="tx1"/>
            </w14:solidFill>
          </w14:textFill>
        </w:rPr>
        <w:t xml:space="preserve">11、 </w:t>
      </w:r>
      <w:r>
        <w:rPr>
          <w:rFonts w:hint="default" w:ascii="Times New Roman" w:hAnsi="Times New Roman" w:cs="Times New Roman"/>
          <w:color w:val="000000" w:themeColor="text1"/>
          <w:highlight w:val="none"/>
          <w:lang w:eastAsia="zh-CN"/>
          <w14:textFill>
            <w14:solidFill>
              <w14:schemeClr w14:val="tx1"/>
            </w14:solidFill>
          </w14:textFill>
        </w:rPr>
        <w:t>结论与建议</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_Toc25172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376</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_Toc19720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11.1 </w:t>
      </w:r>
      <w:r>
        <w:rPr>
          <w:rFonts w:hint="default" w:ascii="Times New Roman" w:hAnsi="Times New Roman" w:cs="Times New Roman"/>
          <w:color w:val="000000" w:themeColor="text1"/>
          <w:highlight w:val="none"/>
          <w:lang w:eastAsia="zh-CN"/>
          <w14:textFill>
            <w14:solidFill>
              <w14:schemeClr w14:val="tx1"/>
            </w14:solidFill>
          </w14:textFill>
        </w:rPr>
        <w:t>项目概况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_Toc19720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376</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_Toc8829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11.2 </w:t>
      </w:r>
      <w:r>
        <w:rPr>
          <w:rFonts w:hint="default" w:ascii="Times New Roman" w:hAnsi="Times New Roman" w:cs="Times New Roman"/>
          <w:color w:val="000000" w:themeColor="text1"/>
          <w:highlight w:val="none"/>
          <w:lang w:eastAsia="zh-CN"/>
          <w14:textFill>
            <w14:solidFill>
              <w14:schemeClr w14:val="tx1"/>
            </w14:solidFill>
          </w14:textFill>
        </w:rPr>
        <w:t>环境质量现状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_Toc8829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376</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_Toc12575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11.3 </w:t>
      </w:r>
      <w:r>
        <w:rPr>
          <w:rFonts w:hint="default" w:ascii="Times New Roman" w:hAnsi="Times New Roman" w:cs="Times New Roman"/>
          <w:color w:val="000000" w:themeColor="text1"/>
          <w:highlight w:val="none"/>
          <w:lang w:eastAsia="zh-CN"/>
          <w14:textFill>
            <w14:solidFill>
              <w14:schemeClr w14:val="tx1"/>
            </w14:solidFill>
          </w14:textFill>
        </w:rPr>
        <w:t>项目产业政策符合性分析与选址合理性分析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_Toc12575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377</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_Toc10538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11.4 </w:t>
      </w:r>
      <w:r>
        <w:rPr>
          <w:rFonts w:hint="default" w:ascii="Times New Roman" w:hAnsi="Times New Roman" w:cs="Times New Roman"/>
          <w:color w:val="000000" w:themeColor="text1"/>
          <w:highlight w:val="none"/>
          <w:lang w:eastAsia="zh-CN"/>
          <w14:textFill>
            <w14:solidFill>
              <w14:schemeClr w14:val="tx1"/>
            </w14:solidFill>
          </w14:textFill>
        </w:rPr>
        <w:t>环境影响评价结论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_Toc10538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378</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_Toc8805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11.5 </w:t>
      </w:r>
      <w:r>
        <w:rPr>
          <w:rFonts w:hint="default" w:ascii="Times New Roman" w:hAnsi="Times New Roman" w:cs="Times New Roman"/>
          <w:color w:val="000000" w:themeColor="text1"/>
          <w:highlight w:val="none"/>
          <w:lang w:eastAsia="zh-CN"/>
          <w14:textFill>
            <w14:solidFill>
              <w14:schemeClr w14:val="tx1"/>
            </w14:solidFill>
          </w14:textFill>
        </w:rPr>
        <w:t>环境风险分析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_Toc8805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380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_Toc27408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11.6 </w:t>
      </w:r>
      <w:r>
        <w:rPr>
          <w:rFonts w:hint="default" w:ascii="Times New Roman" w:hAnsi="Times New Roman" w:cs="Times New Roman"/>
          <w:color w:val="000000" w:themeColor="text1"/>
          <w:highlight w:val="none"/>
          <w:lang w:eastAsia="zh-CN"/>
          <w14:textFill>
            <w14:solidFill>
              <w14:schemeClr w14:val="tx1"/>
            </w14:solidFill>
          </w14:textFill>
        </w:rPr>
        <w:t>清洁生产和总量控制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_Toc27408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380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_Toc10918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11.7 </w:t>
      </w:r>
      <w:r>
        <w:rPr>
          <w:rFonts w:hint="default" w:ascii="Times New Roman" w:hAnsi="Times New Roman" w:cs="Times New Roman"/>
          <w:color w:val="000000" w:themeColor="text1"/>
          <w:highlight w:val="none"/>
          <w:lang w:eastAsia="zh-CN"/>
          <w14:textFill>
            <w14:solidFill>
              <w14:schemeClr w14:val="tx1"/>
            </w14:solidFill>
          </w14:textFill>
        </w:rPr>
        <w:t>环境经济损益分析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_Toc10918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380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_Toc15120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11.8 </w:t>
      </w:r>
      <w:r>
        <w:rPr>
          <w:rFonts w:hint="default" w:ascii="Times New Roman" w:hAnsi="Times New Roman" w:cs="Times New Roman"/>
          <w:color w:val="000000" w:themeColor="text1"/>
          <w:highlight w:val="none"/>
          <w:lang w:eastAsia="zh-CN"/>
          <w14:textFill>
            <w14:solidFill>
              <w14:schemeClr w14:val="tx1"/>
            </w14:solidFill>
          </w14:textFill>
        </w:rPr>
        <w:t>公众参与调查结论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_Toc15120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380</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_Toc2171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11.9 </w:t>
      </w:r>
      <w:r>
        <w:rPr>
          <w:rFonts w:hint="default" w:ascii="Times New Roman" w:hAnsi="Times New Roman" w:cs="Times New Roman"/>
          <w:color w:val="000000" w:themeColor="text1"/>
          <w:highlight w:val="none"/>
          <w:lang w:eastAsia="zh-CN"/>
          <w14:textFill>
            <w14:solidFill>
              <w14:schemeClr w14:val="tx1"/>
            </w14:solidFill>
          </w14:textFill>
        </w:rPr>
        <w:t>评价总结论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_Toc2171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381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pStyle w:val="42"/>
        <w:tabs>
          <w:tab w:val="right" w:leader="dot" w:pos="8310"/>
        </w:tabs>
        <w:rPr>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HYPERLINK \l _Toc8116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eastAsia" w:ascii="Times New Roman" w:hAnsi="Times New Roman" w:cs="Times New Roman"/>
          <w:color w:val="000000" w:themeColor="text1"/>
          <w:highlight w:val="none"/>
          <w:lang w:eastAsia="zh-CN"/>
          <w14:textFill>
            <w14:solidFill>
              <w14:schemeClr w14:val="tx1"/>
            </w14:solidFill>
          </w14:textFill>
        </w:rPr>
        <w:t xml:space="preserve">11.10 </w:t>
      </w:r>
      <w:r>
        <w:rPr>
          <w:rFonts w:hint="default" w:ascii="Times New Roman" w:hAnsi="Times New Roman" w:cs="Times New Roman"/>
          <w:color w:val="000000" w:themeColor="text1"/>
          <w:highlight w:val="none"/>
          <w:lang w:eastAsia="zh-CN"/>
          <w14:textFill>
            <w14:solidFill>
              <w14:schemeClr w14:val="tx1"/>
            </w14:solidFill>
          </w14:textFill>
        </w:rPr>
        <w:t>建议</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_Toc8116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381</w:t>
      </w:r>
      <w:r>
        <w:rPr>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p>
    <w:p>
      <w:pPr>
        <w:tabs>
          <w:tab w:val="left" w:pos="583"/>
        </w:tabs>
        <w:spacing w:line="240" w:lineRule="auto"/>
        <w:ind w:firstLine="480"/>
        <w:jc w:val="center"/>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bookmarkStart w:id="2" w:name="_Toc41290497"/>
      <w:bookmarkStart w:id="3" w:name="_Hlk51679438"/>
    </w:p>
    <w:p>
      <w:pPr>
        <w:keepNext w:val="0"/>
        <w:keepLines w:val="0"/>
        <w:pageBreakBefore w:val="0"/>
        <w:tabs>
          <w:tab w:val="left" w:pos="583"/>
        </w:tabs>
        <w:kinsoku/>
        <w:wordWrap/>
        <w:overflowPunct/>
        <w:topLinePunct w:val="0"/>
        <w:autoSpaceDE/>
        <w:autoSpaceDN/>
        <w:bidi w:val="0"/>
        <w:adjustRightInd w:val="0"/>
        <w:snapToGrid w:val="0"/>
        <w:spacing w:line="336" w:lineRule="auto"/>
        <w:ind w:firstLine="480"/>
        <w:textAlignment w:val="auto"/>
        <w:rPr>
          <w:rFonts w:hint="default" w:ascii="Times New Roman" w:hAnsi="Times New Roman" w:eastAsia="黑体" w:cs="Times New Roman"/>
          <w:color w:val="000000" w:themeColor="text1"/>
          <w:highlight w:val="none"/>
          <w14:textFill>
            <w14:solidFill>
              <w14:schemeClr w14:val="tx1"/>
            </w14:solidFill>
          </w14:textFill>
        </w:rPr>
      </w:pPr>
      <w:r>
        <w:rPr>
          <w:rFonts w:hint="default" w:ascii="Times New Roman" w:hAnsi="Times New Roman" w:eastAsia="黑体" w:cs="Times New Roman"/>
          <w:color w:val="000000" w:themeColor="text1"/>
          <w:highlight w:val="none"/>
          <w14:textFill>
            <w14:solidFill>
              <w14:schemeClr w14:val="tx1"/>
            </w14:solidFill>
          </w14:textFill>
        </w:rPr>
        <w:t>附表</w:t>
      </w:r>
      <w:bookmarkEnd w:id="2"/>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 w:name="_Toc41290498"/>
      <w:r>
        <w:rPr>
          <w:rFonts w:hint="default" w:ascii="Times New Roman" w:hAnsi="Times New Roman" w:cs="Times New Roman"/>
          <w:color w:val="000000" w:themeColor="text1"/>
          <w:highlight w:val="none"/>
          <w:lang w:eastAsia="zh-CN"/>
          <w14:textFill>
            <w14:solidFill>
              <w14:schemeClr w14:val="tx1"/>
            </w14:solidFill>
          </w14:textFill>
        </w:rPr>
        <w:t>附表1 大气环境影响评价自查表</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附表2 地表水环境影响评价自查表</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附表3 土壤环境影响评价自查表</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附表4 环境风险评价自查表</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附表</w:t>
      </w:r>
      <w:r>
        <w:rPr>
          <w:rFonts w:hint="default" w:ascii="Times New Roman" w:hAnsi="Times New Roman" w:cs="Times New Roman"/>
          <w:color w:val="000000" w:themeColor="text1"/>
          <w:highlight w:val="none"/>
          <w:lang w:val="en-US" w:eastAsia="zh-CN"/>
          <w14:textFill>
            <w14:solidFill>
              <w14:schemeClr w14:val="tx1"/>
            </w14:solidFill>
          </w14:textFill>
        </w:rPr>
        <w:t>5</w:t>
      </w:r>
      <w:r>
        <w:rPr>
          <w:rFonts w:hint="default" w:ascii="Times New Roman" w:hAnsi="Times New Roman" w:cs="Times New Roman"/>
          <w:color w:val="000000" w:themeColor="text1"/>
          <w:highlight w:val="none"/>
          <w:lang w:eastAsia="zh-CN"/>
          <w14:textFill>
            <w14:solidFill>
              <w14:schemeClr w14:val="tx1"/>
            </w14:solidFill>
          </w14:textFill>
        </w:rPr>
        <w:t xml:space="preserve"> 声环境影响评价自查表</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附表</w:t>
      </w:r>
      <w:r>
        <w:rPr>
          <w:rFonts w:hint="default" w:ascii="Times New Roman" w:hAnsi="Times New Roman" w:cs="Times New Roman"/>
          <w:color w:val="000000" w:themeColor="text1"/>
          <w:highlight w:val="none"/>
          <w:lang w:val="en-US" w:eastAsia="zh-CN"/>
          <w14:textFill>
            <w14:solidFill>
              <w14:schemeClr w14:val="tx1"/>
            </w14:solidFill>
          </w14:textFill>
        </w:rPr>
        <w:t>6</w:t>
      </w:r>
      <w:r>
        <w:rPr>
          <w:rFonts w:hint="default" w:ascii="Times New Roman" w:hAnsi="Times New Roman" w:cs="Times New Roman"/>
          <w:color w:val="000000" w:themeColor="text1"/>
          <w:highlight w:val="none"/>
          <w:lang w:eastAsia="zh-CN"/>
          <w14:textFill>
            <w14:solidFill>
              <w14:schemeClr w14:val="tx1"/>
            </w14:solidFill>
          </w14:textFill>
        </w:rPr>
        <w:t>生态影响评价自查表</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附表7 项目评价范围植物名录</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附表8 项目评价范围陆生野生动物名录</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附表</w:t>
      </w:r>
      <w:r>
        <w:rPr>
          <w:rFonts w:hint="default" w:ascii="Times New Roman" w:hAnsi="Times New Roman" w:cs="Times New Roman"/>
          <w:color w:val="000000" w:themeColor="text1"/>
          <w:highlight w:val="none"/>
          <w:lang w:val="en-US" w:eastAsia="zh-CN"/>
          <w14:textFill>
            <w14:solidFill>
              <w14:schemeClr w14:val="tx1"/>
            </w14:solidFill>
          </w14:textFill>
        </w:rPr>
        <w:t>9</w:t>
      </w:r>
      <w:r>
        <w:rPr>
          <w:rFonts w:hint="default" w:ascii="Times New Roman" w:hAnsi="Times New Roman" w:cs="Times New Roman"/>
          <w:color w:val="000000" w:themeColor="text1"/>
          <w:highlight w:val="none"/>
          <w:lang w:eastAsia="zh-CN"/>
          <w14:textFill>
            <w14:solidFill>
              <w14:schemeClr w14:val="tx1"/>
            </w14:solidFill>
          </w14:textFill>
        </w:rPr>
        <w:t xml:space="preserve"> 审批基础信息表</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附图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附图1</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项目地理位置图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附图2</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项目外环境关系及监测布点图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附图3  项目钻井期间平面布置及分区防渗图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附图4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试采期总平面布局图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附图5  项目所在区域植被类型图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附图6  项目所在区域土地利用图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附图7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项目所在区域生态系统类型图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附图8  项目所在区域植被覆盖度图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附图9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项目所在</w:t>
      </w:r>
      <w:r>
        <w:rPr>
          <w:rFonts w:hint="eastAsia" w:ascii="Times New Roman" w:hAnsi="Times New Roman" w:cs="Times New Roman"/>
          <w:color w:val="000000" w:themeColor="text1"/>
          <w:highlight w:val="none"/>
          <w:lang w:val="en-US" w:eastAsia="zh-CN"/>
          <w14:textFill>
            <w14:solidFill>
              <w14:schemeClr w14:val="tx1"/>
            </w14:solidFill>
          </w14:textFill>
        </w:rPr>
        <w:t>区域</w:t>
      </w:r>
      <w:r>
        <w:rPr>
          <w:rFonts w:hint="default" w:ascii="Times New Roman" w:hAnsi="Times New Roman" w:cs="Times New Roman"/>
          <w:color w:val="000000" w:themeColor="text1"/>
          <w:highlight w:val="none"/>
          <w:lang w:eastAsia="zh-CN"/>
          <w14:textFill>
            <w14:solidFill>
              <w14:schemeClr w14:val="tx1"/>
            </w14:solidFill>
          </w14:textFill>
        </w:rPr>
        <w:t>景观拼块图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附图10</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项目样方样线分布图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附图11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项目所在区域天然林分布图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附图12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项目所在区域公益林分布图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附图13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项目与基本农田相对位置关系图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附图14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项目与城镇开发边界套合图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附图15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项目与生态红线套合图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附图16</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项目施工平面布置及生态保护措施布局图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附图17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项目与宣汉县水土保持重点防治区位置关系图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附图18</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项目生态监测布点图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附图19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项目所在区域水系图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附图20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项目废水拉运路线图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 xml:space="preserve">附图21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项目所在区域水文地质图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w:t>
      </w:r>
      <w:r>
        <w:rPr>
          <w:rFonts w:hint="default" w:ascii="Times New Roman" w:hAnsi="Times New Roman" w:cs="Times New Roman"/>
          <w:color w:val="000000" w:themeColor="text1"/>
          <w:highlight w:val="none"/>
          <w:lang w:val="en-US" w:eastAsia="zh-CN"/>
          <w14:textFill>
            <w14:solidFill>
              <w14:schemeClr w14:val="tx1"/>
            </w14:solidFill>
          </w14:textFill>
        </w:rPr>
        <w:t>22</w:t>
      </w:r>
      <w:r>
        <w:rPr>
          <w:rFonts w:hint="default" w:ascii="Times New Roman" w:hAnsi="Times New Roman" w:cs="Times New Roman"/>
          <w:color w:val="000000" w:themeColor="text1"/>
          <w:highlight w:val="none"/>
          <w:lang w:eastAsia="zh-CN"/>
          <w14:textFill>
            <w14:solidFill>
              <w14:schemeClr w14:val="tx1"/>
            </w14:solidFill>
          </w14:textFill>
        </w:rPr>
        <w:t xml:space="preserve">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项目与管控单元位置关系图</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附图</w:t>
      </w:r>
      <w:r>
        <w:rPr>
          <w:rFonts w:hint="default" w:ascii="Times New Roman" w:hAnsi="Times New Roman" w:cs="Times New Roman"/>
          <w:color w:val="000000" w:themeColor="text1"/>
          <w:highlight w:val="none"/>
          <w:lang w:val="en-US" w:eastAsia="zh-CN"/>
          <w14:textFill>
            <w14:solidFill>
              <w14:schemeClr w14:val="tx1"/>
            </w14:solidFill>
          </w14:textFill>
        </w:rPr>
        <w:t>2</w:t>
      </w:r>
      <w:r>
        <w:rPr>
          <w:rFonts w:hint="eastAsia" w:ascii="Times New Roman" w:hAnsi="Times New Roman"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lang w:eastAsia="zh-CN"/>
          <w14:textFill>
            <w14:solidFill>
              <w14:schemeClr w14:val="tx1"/>
            </w14:solidFill>
          </w14:textFill>
        </w:rPr>
        <w:t xml:space="preserve">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现场照片</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eastAsia="黑体" w:cs="Times New Roman"/>
          <w:color w:val="000000" w:themeColor="text1"/>
          <w:highlight w:val="none"/>
          <w:lang w:eastAsia="zh-CN"/>
          <w14:textFill>
            <w14:solidFill>
              <w14:schemeClr w14:val="tx1"/>
            </w14:solidFill>
          </w14:textFill>
        </w:rPr>
      </w:pP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附件</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附件1 项目委托书</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附件2 中原油分投资〔2023〕126号 关于中原油田分公司普光气田P106-2H侧井钻井及试采工程可行性研究报告的批复</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附件3</w:t>
      </w:r>
      <w:r>
        <w:rPr>
          <w:rFonts w:hint="eastAsia" w:ascii="Times New Roman" w:hAnsi="Times New Roman"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lang w:eastAsia="zh-CN"/>
          <w14:textFill>
            <w14:solidFill>
              <w14:schemeClr w14:val="tx1"/>
            </w14:solidFill>
          </w14:textFill>
        </w:rPr>
        <w:t xml:space="preserve"> 普光气田原国家环保总局环评批复文件</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3-2</w:t>
      </w:r>
      <w:r>
        <w:rPr>
          <w:rFonts w:hint="default" w:ascii="Times New Roman" w:hAnsi="Times New Roman" w:cs="Times New Roman"/>
          <w:color w:val="000000" w:themeColor="text1"/>
          <w:highlight w:val="none"/>
          <w:lang w:eastAsia="zh-CN"/>
          <w14:textFill>
            <w14:solidFill>
              <w14:schemeClr w14:val="tx1"/>
            </w14:solidFill>
          </w14:textFill>
        </w:rPr>
        <w:t>关于中国石化普光气田开发及川气东送管道工程环境影响补充报告书的批复</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3-3</w:t>
      </w:r>
      <w:r>
        <w:rPr>
          <w:rFonts w:hint="default" w:ascii="Times New Roman" w:hAnsi="Times New Roman" w:cs="Times New Roman"/>
          <w:color w:val="000000" w:themeColor="text1"/>
          <w:highlight w:val="none"/>
          <w:lang w:eastAsia="zh-CN"/>
          <w14:textFill>
            <w14:solidFill>
              <w14:schemeClr w14:val="tx1"/>
            </w14:solidFill>
          </w14:textFill>
        </w:rPr>
        <w:t>关于中国石化普光气田开发及川气东送管道工程竣工环境保护验收意见的函</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4-1</w:t>
      </w:r>
      <w:r>
        <w:rPr>
          <w:rFonts w:hint="default" w:ascii="Times New Roman" w:hAnsi="Times New Roman" w:cs="Times New Roman"/>
          <w:color w:val="000000" w:themeColor="text1"/>
          <w:highlight w:val="none"/>
          <w:lang w:eastAsia="zh-CN"/>
          <w14:textFill>
            <w14:solidFill>
              <w14:schemeClr w14:val="tx1"/>
            </w14:solidFill>
          </w14:textFill>
        </w:rPr>
        <w:t>普光分公司危险化学品与危险废物贮存改造工程环评批复</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4-2</w:t>
      </w:r>
      <w:r>
        <w:rPr>
          <w:rFonts w:hint="default" w:ascii="Times New Roman" w:hAnsi="Times New Roman" w:cs="Times New Roman"/>
          <w:color w:val="000000" w:themeColor="text1"/>
          <w:highlight w:val="none"/>
          <w:lang w:eastAsia="zh-CN"/>
          <w14:textFill>
            <w14:solidFill>
              <w14:schemeClr w14:val="tx1"/>
            </w14:solidFill>
          </w14:textFill>
        </w:rPr>
        <w:t xml:space="preserve"> 普光分公司危险化学品与危险废物贮存改造工程竣工环境保护验收公示</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5</w:t>
      </w:r>
      <w:r>
        <w:rPr>
          <w:rFonts w:hint="default" w:ascii="Times New Roman" w:hAnsi="Times New Roman" w:cs="Times New Roman"/>
          <w:color w:val="000000" w:themeColor="text1"/>
          <w:highlight w:val="none"/>
          <w:lang w:eastAsia="zh-CN"/>
          <w14:textFill>
            <w14:solidFill>
              <w14:schemeClr w14:val="tx1"/>
            </w14:solidFill>
          </w14:textFill>
        </w:rPr>
        <w:t>普光分公司和合资公司应急预案备案表</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6-1</w:t>
      </w:r>
      <w:r>
        <w:rPr>
          <w:rFonts w:hint="default" w:ascii="Times New Roman" w:hAnsi="Times New Roman" w:cs="Times New Roman"/>
          <w:color w:val="000000" w:themeColor="text1"/>
          <w:highlight w:val="none"/>
          <w:lang w:eastAsia="zh-CN"/>
          <w14:textFill>
            <w14:solidFill>
              <w14:schemeClr w14:val="tx1"/>
            </w14:solidFill>
          </w14:textFill>
        </w:rPr>
        <w:t xml:space="preserve"> 1号气田水处理站（赵家坝污水处理站）改造工程环评批复</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6-2</w:t>
      </w:r>
      <w:r>
        <w:rPr>
          <w:rFonts w:hint="default" w:ascii="Times New Roman" w:hAnsi="Times New Roman" w:cs="Times New Roman"/>
          <w:color w:val="000000" w:themeColor="text1"/>
          <w:highlight w:val="none"/>
          <w:lang w:eastAsia="zh-CN"/>
          <w14:textFill>
            <w14:solidFill>
              <w14:schemeClr w14:val="tx1"/>
            </w14:solidFill>
          </w14:textFill>
        </w:rPr>
        <w:t xml:space="preserve"> 1号气田水处理站（赵家坝污水处理站）改造工程环评验收意见</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7-1</w:t>
      </w:r>
      <w:r>
        <w:rPr>
          <w:rFonts w:hint="default" w:ascii="Times New Roman" w:hAnsi="Times New Roman" w:cs="Times New Roman"/>
          <w:color w:val="000000" w:themeColor="text1"/>
          <w:highlight w:val="none"/>
          <w:lang w:eastAsia="zh-CN"/>
          <w14:textFill>
            <w14:solidFill>
              <w14:schemeClr w14:val="tx1"/>
            </w14:solidFill>
          </w14:textFill>
        </w:rPr>
        <w:t xml:space="preserve"> 普光11井污水回注站环评批复</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7-2</w:t>
      </w:r>
      <w:r>
        <w:rPr>
          <w:rFonts w:hint="default" w:ascii="Times New Roman" w:hAnsi="Times New Roman" w:cs="Times New Roman"/>
          <w:color w:val="000000" w:themeColor="text1"/>
          <w:highlight w:val="none"/>
          <w:lang w:eastAsia="zh-CN"/>
          <w14:textFill>
            <w14:solidFill>
              <w14:schemeClr w14:val="tx1"/>
            </w14:solidFill>
          </w14:textFill>
        </w:rPr>
        <w:t xml:space="preserve"> 普光11井污水回注站验收意见</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8</w:t>
      </w:r>
      <w:r>
        <w:rPr>
          <w:rFonts w:hint="default" w:ascii="Times New Roman" w:hAnsi="Times New Roman" w:cs="Times New Roman"/>
          <w:color w:val="000000" w:themeColor="text1"/>
          <w:highlight w:val="none"/>
          <w:lang w:eastAsia="zh-CN"/>
          <w14:textFill>
            <w14:solidFill>
              <w14:schemeClr w14:val="tx1"/>
            </w14:solidFill>
          </w14:textFill>
        </w:rPr>
        <w:t xml:space="preserve"> </w:t>
      </w:r>
      <w:r>
        <w:rPr>
          <w:rFonts w:hint="eastAsia" w:ascii="Times New Roman" w:hAnsi="Times New Roman" w:cs="Times New Roman"/>
          <w:color w:val="000000" w:themeColor="text1"/>
          <w:highlight w:val="none"/>
          <w:lang w:val="en-US" w:eastAsia="zh-CN"/>
          <w14:textFill>
            <w14:solidFill>
              <w14:schemeClr w14:val="tx1"/>
            </w14:solidFill>
          </w14:textFill>
        </w:rPr>
        <w:t>-1现状</w:t>
      </w:r>
      <w:r>
        <w:rPr>
          <w:rFonts w:hint="default" w:ascii="Times New Roman" w:hAnsi="Times New Roman" w:cs="Times New Roman"/>
          <w:color w:val="000000" w:themeColor="text1"/>
          <w:highlight w:val="none"/>
          <w:lang w:eastAsia="zh-CN"/>
          <w14:textFill>
            <w14:solidFill>
              <w14:schemeClr w14:val="tx1"/>
            </w14:solidFill>
          </w14:textFill>
        </w:rPr>
        <w:t>监测报告</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8-2</w:t>
      </w:r>
      <w:r>
        <w:rPr>
          <w:rFonts w:hint="default" w:ascii="Times New Roman" w:hAnsi="Times New Roman" w:cs="Times New Roman"/>
          <w:color w:val="000000" w:themeColor="text1"/>
          <w:highlight w:val="none"/>
          <w:lang w:eastAsia="zh-CN"/>
          <w14:textFill>
            <w14:solidFill>
              <w14:schemeClr w14:val="tx1"/>
            </w14:solidFill>
          </w14:textFill>
        </w:rPr>
        <w:t>项目所在地地下水水位</w:t>
      </w:r>
      <w:r>
        <w:rPr>
          <w:rFonts w:hint="eastAsia" w:ascii="Times New Roman" w:hAnsi="Times New Roman" w:cs="Times New Roman"/>
          <w:color w:val="000000" w:themeColor="text1"/>
          <w:highlight w:val="none"/>
          <w:lang w:val="en-US" w:eastAsia="zh-CN"/>
          <w14:textFill>
            <w14:solidFill>
              <w14:schemeClr w14:val="tx1"/>
            </w14:solidFill>
          </w14:textFill>
        </w:rPr>
        <w:t>及高程调查表</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eastAsia"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8-3</w:t>
      </w:r>
      <w:r>
        <w:rPr>
          <w:rFonts w:hint="default" w:ascii="Times New Roman" w:hAnsi="Times New Roman" w:cs="Times New Roman"/>
          <w:color w:val="000000" w:themeColor="text1"/>
          <w:highlight w:val="none"/>
          <w:lang w:eastAsia="zh-CN"/>
          <w14:textFill>
            <w14:solidFill>
              <w14:schemeClr w14:val="tx1"/>
            </w14:solidFill>
          </w14:textFill>
        </w:rPr>
        <w:t xml:space="preserve"> 项目所在地土壤</w:t>
      </w:r>
      <w:r>
        <w:rPr>
          <w:rFonts w:hint="eastAsia" w:ascii="Times New Roman" w:hAnsi="Times New Roman" w:cs="Times New Roman"/>
          <w:color w:val="000000" w:themeColor="text1"/>
          <w:highlight w:val="none"/>
          <w:lang w:val="en-US" w:eastAsia="zh-CN"/>
          <w14:textFill>
            <w14:solidFill>
              <w14:schemeClr w14:val="tx1"/>
            </w14:solidFill>
          </w14:textFill>
        </w:rPr>
        <w:t>理化性质</w:t>
      </w:r>
      <w:r>
        <w:rPr>
          <w:rFonts w:hint="default" w:ascii="Times New Roman" w:hAnsi="Times New Roman" w:cs="Times New Roman"/>
          <w:color w:val="000000" w:themeColor="text1"/>
          <w:highlight w:val="none"/>
          <w:lang w:eastAsia="zh-CN"/>
          <w14:textFill>
            <w14:solidFill>
              <w14:schemeClr w14:val="tx1"/>
            </w14:solidFill>
          </w14:textFill>
        </w:rPr>
        <w:t>调查</w:t>
      </w:r>
      <w:r>
        <w:rPr>
          <w:rFonts w:hint="eastAsia" w:ascii="Times New Roman" w:hAnsi="Times New Roman" w:cs="Times New Roman"/>
          <w:color w:val="000000" w:themeColor="text1"/>
          <w:highlight w:val="none"/>
          <w:lang w:val="en-US" w:eastAsia="zh-CN"/>
          <w14:textFill>
            <w14:solidFill>
              <w14:schemeClr w14:val="tx1"/>
            </w14:solidFill>
          </w14:textFill>
        </w:rPr>
        <w:t>表</w:t>
      </w:r>
    </w:p>
    <w:p>
      <w:pPr>
        <w:pStyle w:val="21"/>
        <w:keepNext w:val="0"/>
        <w:keepLines w:val="0"/>
        <w:pageBreakBefore w:val="0"/>
        <w:kinsoku/>
        <w:wordWrap/>
        <w:overflowPunct/>
        <w:topLinePunct w:val="0"/>
        <w:autoSpaceDE/>
        <w:autoSpaceDN/>
        <w:bidi w:val="0"/>
        <w:adjustRightInd w:val="0"/>
        <w:snapToGrid w:val="0"/>
        <w:spacing w:before="0" w:line="336" w:lineRule="auto"/>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附件</w:t>
      </w:r>
      <w:r>
        <w:rPr>
          <w:rFonts w:hint="eastAsia" w:ascii="Times New Roman" w:hAnsi="Times New Roman" w:cs="Times New Roman"/>
          <w:color w:val="000000" w:themeColor="text1"/>
          <w:highlight w:val="none"/>
          <w:lang w:val="en-US" w:eastAsia="zh-CN"/>
          <w14:textFill>
            <w14:solidFill>
              <w14:schemeClr w14:val="tx1"/>
            </w14:solidFill>
          </w14:textFill>
        </w:rPr>
        <w:t>9</w:t>
      </w:r>
      <w:r>
        <w:rPr>
          <w:rFonts w:hint="default" w:ascii="Times New Roman" w:hAnsi="Times New Roman" w:cs="Times New Roman"/>
          <w:color w:val="000000" w:themeColor="text1"/>
          <w:highlight w:val="none"/>
          <w:lang w:eastAsia="zh-CN"/>
          <w14:textFill>
            <w14:solidFill>
              <w14:schemeClr w14:val="tx1"/>
            </w14:solidFill>
          </w14:textFill>
        </w:rPr>
        <w:t xml:space="preserve"> 水土流失区划文件</w:t>
      </w:r>
    </w:p>
    <w:bookmarkEnd w:id="3"/>
    <w:bookmarkEnd w:id="4"/>
    <w:p>
      <w:pPr>
        <w:keepNext w:val="0"/>
        <w:keepLines w:val="0"/>
        <w:pageBreakBefore w:val="0"/>
        <w:kinsoku/>
        <w:wordWrap/>
        <w:overflowPunct/>
        <w:topLinePunct w:val="0"/>
        <w:autoSpaceDE/>
        <w:autoSpaceDN/>
        <w:bidi w:val="0"/>
        <w:adjustRightInd w:val="0"/>
        <w:snapToGrid w:val="0"/>
        <w:spacing w:line="336" w:lineRule="auto"/>
        <w:ind w:firstLine="480"/>
        <w:textAlignment w:val="auto"/>
        <w:rPr>
          <w:rFonts w:hint="default" w:ascii="Times New Roman" w:hAnsi="Times New Roman" w:cs="Times New Roman"/>
          <w:color w:val="000000" w:themeColor="text1"/>
          <w:highlight w:val="none"/>
          <w14:textFill>
            <w14:solidFill>
              <w14:schemeClr w14:val="tx1"/>
            </w14:solidFill>
          </w14:textFill>
        </w:rPr>
        <w:sectPr>
          <w:headerReference r:id="rId9" w:type="default"/>
          <w:footerReference r:id="rId10" w:type="default"/>
          <w:footerReference r:id="rId11" w:type="even"/>
          <w:type w:val="nextColumn"/>
          <w:pgSz w:w="11910" w:h="16840"/>
          <w:pgMar w:top="1440" w:right="1800" w:bottom="1440" w:left="1800" w:header="964" w:footer="964" w:gutter="0"/>
          <w:pgBorders>
            <w:top w:val="none" w:sz="0" w:space="0"/>
            <w:left w:val="none" w:sz="0" w:space="0"/>
            <w:bottom w:val="none" w:sz="0" w:space="0"/>
            <w:right w:val="none" w:sz="0" w:space="0"/>
          </w:pgBorders>
          <w:pgNumType w:fmt="upperRoman" w:start="1"/>
          <w:cols w:space="720" w:num="1"/>
          <w:docGrid w:linePitch="326" w:charSpace="0"/>
        </w:sectPr>
      </w:pPr>
    </w:p>
    <w:p>
      <w:pPr>
        <w:ind w:firstLine="40"/>
        <w:rPr>
          <w:rFonts w:hint="default" w:ascii="Times New Roman" w:hAnsi="Times New Roman" w:cs="Times New Roman"/>
          <w:color w:val="000000" w:themeColor="text1"/>
          <w:sz w:val="2"/>
          <w:szCs w:val="2"/>
          <w:highlight w:val="none"/>
          <w14:textFill>
            <w14:solidFill>
              <w14:schemeClr w14:val="tx1"/>
            </w14:solidFill>
          </w14:textFill>
        </w:rPr>
      </w:pPr>
    </w:p>
    <w:p>
      <w:pPr>
        <w:ind w:firstLine="40"/>
        <w:rPr>
          <w:rFonts w:hint="default" w:ascii="Times New Roman" w:hAnsi="Times New Roman" w:cs="Times New Roman"/>
          <w:color w:val="000000" w:themeColor="text1"/>
          <w:sz w:val="2"/>
          <w:szCs w:val="2"/>
          <w:highlight w:val="none"/>
          <w14:textFill>
            <w14:solidFill>
              <w14:schemeClr w14:val="tx1"/>
            </w14:solidFill>
          </w14:textFill>
        </w:rPr>
      </w:pPr>
    </w:p>
    <w:p>
      <w:pPr>
        <w:pStyle w:val="2"/>
        <w:rPr>
          <w:rFonts w:hint="default" w:ascii="Times New Roman" w:hAnsi="Times New Roman" w:cs="Times New Roman"/>
          <w:b/>
          <w:color w:val="000000" w:themeColor="text1"/>
          <w:highlight w:val="none"/>
          <w14:textFill>
            <w14:solidFill>
              <w14:schemeClr w14:val="tx1"/>
            </w14:solidFill>
          </w14:textFill>
        </w:rPr>
      </w:pPr>
      <w:bookmarkStart w:id="5" w:name="_Toc11117"/>
      <w:r>
        <w:rPr>
          <w:rFonts w:hint="default" w:ascii="Times New Roman" w:hAnsi="Times New Roman" w:cs="Times New Roman"/>
          <w:color w:val="000000" w:themeColor="text1"/>
          <w:highlight w:val="none"/>
          <w14:textFill>
            <w14:solidFill>
              <w14:schemeClr w14:val="tx1"/>
            </w14:solidFill>
          </w14:textFill>
        </w:rPr>
        <w:t>概述</w:t>
      </w:r>
      <w:bookmarkEnd w:id="5"/>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14:textFill>
            <w14:solidFill>
              <w14:schemeClr w14:val="tx1"/>
            </w14:solidFill>
          </w14:textFill>
        </w:rPr>
      </w:pPr>
      <w:bookmarkStart w:id="6" w:name="_Toc6138"/>
      <w:r>
        <w:rPr>
          <w:rFonts w:hint="default" w:ascii="Times New Roman" w:hAnsi="Times New Roman" w:cs="Times New Roman"/>
          <w:color w:val="000000" w:themeColor="text1"/>
          <w:highlight w:val="none"/>
          <w14:textFill>
            <w14:solidFill>
              <w14:schemeClr w14:val="tx1"/>
            </w14:solidFill>
          </w14:textFill>
        </w:rPr>
        <w:t>项目背景</w:t>
      </w:r>
      <w:bookmarkEnd w:id="6"/>
    </w:p>
    <w:p>
      <w:pPr>
        <w:pStyle w:val="123"/>
        <w:rPr>
          <w:rFonts w:hint="default" w:ascii="Times New Roman" w:hAnsi="Times New Roman" w:cs="Times New Roman"/>
          <w:color w:val="000000" w:themeColor="text1"/>
          <w:highlight w:val="none"/>
          <w14:textFill>
            <w14:solidFill>
              <w14:schemeClr w14:val="tx1"/>
            </w14:solidFill>
          </w14:textFill>
        </w:rPr>
      </w:pPr>
      <w:bookmarkStart w:id="7" w:name="_Hlk80477079"/>
      <w:bookmarkStart w:id="8" w:name="_Hlk89782517"/>
      <w:r>
        <w:rPr>
          <w:rFonts w:hint="default" w:ascii="Times New Roman" w:hAnsi="Times New Roman" w:cs="Times New Roman"/>
          <w:color w:val="000000" w:themeColor="text1"/>
          <w:highlight w:val="none"/>
          <w14:textFill>
            <w14:solidFill>
              <w14:schemeClr w14:val="tx1"/>
            </w14:solidFill>
          </w14:textFill>
        </w:rPr>
        <w:t>普光主体位于四川省宣汉县境内，构造上介于大巴山推覆带前缘褶断带与川中平缓褶皱带之间，属于川东断褶带东北段双石庙—普光北东向构造带上的一个鼻状构造</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地层呈南西高北东低的单斜特征。断裂系统以北东向断层为主，主要包括东岳寨-普光断层、普光7断层、老君庙南断层及普光3等4条断层。</w:t>
      </w:r>
      <w:r>
        <w:rPr>
          <w:rFonts w:hint="eastAsia" w:cs="Times New Roman"/>
          <w:color w:val="000000" w:themeColor="text1"/>
          <w:highlight w:val="none"/>
          <w:lang w:val="en-US" w:eastAsia="zh-CN"/>
          <w14:textFill>
            <w14:solidFill>
              <w14:schemeClr w14:val="tx1"/>
            </w14:solidFill>
          </w14:textFill>
        </w:rPr>
        <w:t>普光气田</w:t>
      </w:r>
      <w:r>
        <w:rPr>
          <w:rFonts w:hint="default" w:ascii="Times New Roman" w:hAnsi="Times New Roman" w:cs="Times New Roman"/>
          <w:color w:val="000000" w:themeColor="text1"/>
          <w:highlight w:val="none"/>
          <w14:textFill>
            <w14:solidFill>
              <w14:schemeClr w14:val="tx1"/>
            </w14:solidFill>
          </w14:textFill>
        </w:rPr>
        <w:t>飞仙关组累计上报探明天然气地质储量2408.48×10</w:t>
      </w:r>
      <w:r>
        <w:rPr>
          <w:rFonts w:hint="default" w:ascii="Times New Roman" w:hAnsi="Times New Roman" w:cs="Times New Roman"/>
          <w:color w:val="000000" w:themeColor="text1"/>
          <w:highlight w:val="none"/>
          <w:vertAlign w:val="superscript"/>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，探明叠合含气面积59.32km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，有效厚度216m。普光106-2H井位于普光主体普光3块，</w:t>
      </w:r>
      <w:r>
        <w:rPr>
          <w:rFonts w:hint="default" w:ascii="Times New Roman" w:hAnsi="Times New Roman" w:cs="Times New Roman"/>
          <w:bCs/>
          <w:color w:val="000000" w:themeColor="text1"/>
          <w:highlight w:val="none"/>
          <w14:textFill>
            <w14:solidFill>
              <w14:schemeClr w14:val="tx1"/>
            </w14:solidFill>
          </w14:textFill>
        </w:rPr>
        <w:t>普光3块以北西-南东向构造为主，构造整体向东北方向倾没。周边钻井包括普光1、普光7侧1、普光3等井</w:t>
      </w:r>
      <w:r>
        <w:rPr>
          <w:rFonts w:hint="default" w:ascii="Times New Roman" w:hAnsi="Times New Roman" w:cs="Times New Roman"/>
          <w:color w:val="000000" w:themeColor="text1"/>
          <w:highlight w:val="none"/>
          <w14:textFill>
            <w14:solidFill>
              <w14:schemeClr w14:val="tx1"/>
            </w14:solidFill>
          </w14:textFill>
        </w:rPr>
        <w:t>。</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pStyle w:val="123"/>
        <w:ind w:firstLine="422"/>
        <w:jc w:val="cente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图</w:t>
      </w:r>
      <w:r>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1-</w:t>
      </w: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 xml:space="preserve">1  </w:t>
      </w:r>
      <w:r>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 xml:space="preserve"> </w:t>
      </w: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普光气田气藏分布图</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从地质资料可见，普光主体飞一二段粒内孔具有整体分布零散、局部集中发育的特点，鮞粒滩连片发育，Ⅰ类储层在普光106-2H井周有发育，较薄，Ⅱ类储层在普光106-2H井周发育，在普光101-2H井周</w:t>
      </w:r>
      <w:r>
        <w:rPr>
          <w:rFonts w:hint="eastAsia" w:ascii="Times New Roman" w:hAnsi="Times New Roman" w:cs="Times New Roman"/>
          <w:color w:val="000000" w:themeColor="text1"/>
          <w:highlight w:val="none"/>
          <w:lang w:val="en-US" w:eastAsia="zh-CN"/>
          <w14:textFill>
            <w14:solidFill>
              <w14:schemeClr w14:val="tx1"/>
            </w14:solidFill>
          </w14:textFill>
        </w:rPr>
        <w:t>边</w:t>
      </w:r>
      <w:r>
        <w:rPr>
          <w:rFonts w:hint="default" w:ascii="Times New Roman" w:hAnsi="Times New Roman" w:cs="Times New Roman"/>
          <w:color w:val="000000" w:themeColor="text1"/>
          <w:highlight w:val="none"/>
          <w14:textFill>
            <w14:solidFill>
              <w14:schemeClr w14:val="tx1"/>
            </w14:solidFill>
          </w14:textFill>
        </w:rPr>
        <w:t>较薄，Ⅲ类储层在普光101-2H、106-2H井周</w:t>
      </w:r>
      <w:r>
        <w:rPr>
          <w:rFonts w:hint="eastAsia" w:ascii="Times New Roman" w:hAnsi="Times New Roman" w:cs="Times New Roman"/>
          <w:color w:val="000000" w:themeColor="text1"/>
          <w:highlight w:val="none"/>
          <w:lang w:val="en-US" w:eastAsia="zh-CN"/>
          <w14:textFill>
            <w14:solidFill>
              <w14:schemeClr w14:val="tx1"/>
            </w14:solidFill>
          </w14:textFill>
        </w:rPr>
        <w:t>边</w:t>
      </w:r>
      <w:r>
        <w:rPr>
          <w:rFonts w:hint="default" w:ascii="Times New Roman" w:hAnsi="Times New Roman" w:cs="Times New Roman"/>
          <w:color w:val="000000" w:themeColor="text1"/>
          <w:highlight w:val="none"/>
          <w14:textFill>
            <w14:solidFill>
              <w14:schemeClr w14:val="tx1"/>
            </w14:solidFill>
          </w14:textFill>
        </w:rPr>
        <w:t>均有发育，储层厚度较厚。</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ind w:firstLine="0" w:firstLineChars="0"/>
        <w:rPr>
          <w:rFonts w:hint="default" w:ascii="Times New Roman" w:hAnsi="Times New Roman" w:eastAsia="黑体" w:cs="Times New Roman"/>
          <w:color w:val="000000" w:themeColor="text1"/>
          <w:kern w:val="0"/>
          <w:sz w:val="21"/>
          <w:szCs w:val="20"/>
          <w:highlight w:val="none"/>
          <w14:textFill>
            <w14:solidFill>
              <w14:schemeClr w14:val="tx1"/>
            </w14:solidFill>
          </w14:textFill>
        </w:rPr>
      </w:pPr>
      <w:r>
        <w:rPr>
          <w:rFonts w:hint="default" w:ascii="Times New Roman" w:hAnsi="Times New Roman" w:eastAsia="黑体" w:cs="Times New Roman"/>
          <w:color w:val="000000" w:themeColor="text1"/>
          <w:kern w:val="0"/>
          <w:sz w:val="21"/>
          <w:szCs w:val="20"/>
          <w:highlight w:val="none"/>
          <w14:textFill>
            <w14:solidFill>
              <w14:schemeClr w14:val="tx1"/>
            </w14:solidFill>
          </w14:textFill>
        </w:rPr>
        <w:t xml:space="preserve">（a）飞一二段Ⅰ类层厚度平面图  </w:t>
      </w:r>
      <w:r>
        <w:rPr>
          <w:rFonts w:hint="eastAsia" w:eastAsia="黑体" w:cs="Times New Roman"/>
          <w:color w:val="000000" w:themeColor="text1"/>
          <w:kern w:val="0"/>
          <w:sz w:val="21"/>
          <w:szCs w:val="20"/>
          <w:highlight w:val="none"/>
          <w:lang w:eastAsia="zh-CN"/>
          <w14:textFill>
            <w14:solidFill>
              <w14:schemeClr w14:val="tx1"/>
            </w14:solidFill>
          </w14:textFill>
        </w:rPr>
        <w:t>（</w:t>
      </w:r>
      <w:r>
        <w:rPr>
          <w:rFonts w:hint="default" w:ascii="Times New Roman" w:hAnsi="Times New Roman" w:eastAsia="黑体" w:cs="Times New Roman"/>
          <w:color w:val="000000" w:themeColor="text1"/>
          <w:kern w:val="0"/>
          <w:sz w:val="21"/>
          <w:szCs w:val="20"/>
          <w:highlight w:val="none"/>
          <w14:textFill>
            <w14:solidFill>
              <w14:schemeClr w14:val="tx1"/>
            </w14:solidFill>
          </w14:textFill>
        </w:rPr>
        <w:t>b</w:t>
      </w:r>
      <w:r>
        <w:rPr>
          <w:rFonts w:hint="default" w:ascii="Times New Roman" w:hAnsi="Times New Roman" w:eastAsia="黑体" w:cs="Times New Roman"/>
          <w:color w:val="000000" w:themeColor="text1"/>
          <w:kern w:val="0"/>
          <w:sz w:val="21"/>
          <w:szCs w:val="20"/>
          <w:highlight w:val="none"/>
          <w:lang w:eastAsia="zh-CN"/>
          <w14:textFill>
            <w14:solidFill>
              <w14:schemeClr w14:val="tx1"/>
            </w14:solidFill>
          </w14:textFill>
        </w:rPr>
        <w:t>）</w:t>
      </w:r>
      <w:r>
        <w:rPr>
          <w:rFonts w:hint="default" w:ascii="Times New Roman" w:hAnsi="Times New Roman" w:eastAsia="黑体" w:cs="Times New Roman"/>
          <w:color w:val="000000" w:themeColor="text1"/>
          <w:kern w:val="0"/>
          <w:sz w:val="21"/>
          <w:szCs w:val="20"/>
          <w:highlight w:val="none"/>
          <w14:textFill>
            <w14:solidFill>
              <w14:schemeClr w14:val="tx1"/>
            </w14:solidFill>
          </w14:textFill>
        </w:rPr>
        <w:t xml:space="preserve">飞一二段Ⅱ类层厚度平面图  </w:t>
      </w:r>
      <w:r>
        <w:rPr>
          <w:rFonts w:hint="eastAsia" w:eastAsia="黑体" w:cs="Times New Roman"/>
          <w:color w:val="000000" w:themeColor="text1"/>
          <w:kern w:val="0"/>
          <w:sz w:val="21"/>
          <w:szCs w:val="20"/>
          <w:highlight w:val="none"/>
          <w:lang w:eastAsia="zh-CN"/>
          <w14:textFill>
            <w14:solidFill>
              <w14:schemeClr w14:val="tx1"/>
            </w14:solidFill>
          </w14:textFill>
        </w:rPr>
        <w:t>（</w:t>
      </w:r>
      <w:r>
        <w:rPr>
          <w:rFonts w:hint="default" w:ascii="Times New Roman" w:hAnsi="Times New Roman" w:eastAsia="黑体" w:cs="Times New Roman"/>
          <w:color w:val="000000" w:themeColor="text1"/>
          <w:kern w:val="0"/>
          <w:sz w:val="21"/>
          <w:szCs w:val="20"/>
          <w:highlight w:val="none"/>
          <w14:textFill>
            <w14:solidFill>
              <w14:schemeClr w14:val="tx1"/>
            </w14:solidFill>
          </w14:textFill>
        </w:rPr>
        <w:t>c</w:t>
      </w:r>
      <w:r>
        <w:rPr>
          <w:rFonts w:hint="default" w:ascii="Times New Roman" w:hAnsi="Times New Roman" w:eastAsia="黑体" w:cs="Times New Roman"/>
          <w:color w:val="000000" w:themeColor="text1"/>
          <w:kern w:val="0"/>
          <w:sz w:val="21"/>
          <w:szCs w:val="20"/>
          <w:highlight w:val="none"/>
          <w:lang w:eastAsia="zh-CN"/>
          <w14:textFill>
            <w14:solidFill>
              <w14:schemeClr w14:val="tx1"/>
            </w14:solidFill>
          </w14:textFill>
        </w:rPr>
        <w:t>）</w:t>
      </w:r>
      <w:r>
        <w:rPr>
          <w:rFonts w:hint="default" w:ascii="Times New Roman" w:hAnsi="Times New Roman" w:eastAsia="黑体" w:cs="Times New Roman"/>
          <w:color w:val="000000" w:themeColor="text1"/>
          <w:kern w:val="0"/>
          <w:sz w:val="21"/>
          <w:szCs w:val="20"/>
          <w:highlight w:val="none"/>
          <w14:textFill>
            <w14:solidFill>
              <w14:schemeClr w14:val="tx1"/>
            </w14:solidFill>
          </w14:textFill>
        </w:rPr>
        <w:t>飞一二段Ⅲ类层厚度平面图</w:t>
      </w:r>
    </w:p>
    <w:p>
      <w:pPr>
        <w:pStyle w:val="123"/>
        <w:ind w:firstLine="422"/>
        <w:jc w:val="cente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图</w:t>
      </w:r>
      <w:r>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1-</w:t>
      </w: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 xml:space="preserve">2 </w:t>
      </w:r>
      <w:r>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 xml:space="preserve"> </w:t>
      </w: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飞一二段粒间孔Ⅰ、Ⅱ、Ⅲ类储层厚度平面图</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从地质资料上进一步可知，普光3块原始含气面积8.57km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，动用地质储量64.36</w:t>
      </w:r>
      <w:r>
        <w:rPr>
          <w:rFonts w:hint="default" w:ascii="Times New Roman" w:hAnsi="Times New Roman" w:cs="Times New Roman"/>
          <w:color w:val="000000" w:themeColor="text1"/>
          <w:kern w:val="0"/>
          <w:highlight w:val="none"/>
          <w14:textFill>
            <w14:solidFill>
              <w14:schemeClr w14:val="tx1"/>
            </w14:solidFill>
          </w14:textFill>
        </w:rPr>
        <w:t>×10</w:t>
      </w:r>
      <w:r>
        <w:rPr>
          <w:rFonts w:hint="default" w:ascii="Times New Roman" w:hAnsi="Times New Roman" w:cs="Times New Roman"/>
          <w:color w:val="000000" w:themeColor="text1"/>
          <w:kern w:val="0"/>
          <w:highlight w:val="none"/>
          <w:vertAlign w:val="superscript"/>
          <w14:textFill>
            <w14:solidFill>
              <w14:schemeClr w14:val="tx1"/>
            </w14:solidFill>
          </w14:textFill>
        </w:rPr>
        <w:t>8</w:t>
      </w:r>
      <w:r>
        <w:rPr>
          <w:rFonts w:hint="default" w:ascii="Times New Roman" w:hAnsi="Times New Roman" w:cs="Times New Roman"/>
          <w:color w:val="000000" w:themeColor="text1"/>
          <w:kern w:val="0"/>
          <w:highlight w:val="none"/>
          <w14:textFill>
            <w14:solidFill>
              <w14:schemeClr w14:val="tx1"/>
            </w14:solidFill>
          </w14:textFill>
        </w:rPr>
        <w:t>m</w:t>
      </w:r>
      <w:r>
        <w:rPr>
          <w:rFonts w:hint="default" w:ascii="Times New Roman" w:hAnsi="Times New Roman" w:cs="Times New Roman"/>
          <w:color w:val="000000" w:themeColor="text1"/>
          <w:kern w:val="0"/>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，目前累计产气量18.38</w:t>
      </w:r>
      <w:r>
        <w:rPr>
          <w:rFonts w:hint="default" w:ascii="Times New Roman" w:hAnsi="Times New Roman" w:cs="Times New Roman"/>
          <w:color w:val="000000" w:themeColor="text1"/>
          <w:kern w:val="0"/>
          <w:highlight w:val="none"/>
          <w14:textFill>
            <w14:solidFill>
              <w14:schemeClr w14:val="tx1"/>
            </w14:solidFill>
          </w14:textFill>
        </w:rPr>
        <w:t>×10</w:t>
      </w:r>
      <w:r>
        <w:rPr>
          <w:rFonts w:hint="default" w:ascii="Times New Roman" w:hAnsi="Times New Roman" w:cs="Times New Roman"/>
          <w:color w:val="000000" w:themeColor="text1"/>
          <w:kern w:val="0"/>
          <w:highlight w:val="none"/>
          <w:vertAlign w:val="superscript"/>
          <w14:textFill>
            <w14:solidFill>
              <w14:schemeClr w14:val="tx1"/>
            </w14:solidFill>
          </w14:textFill>
        </w:rPr>
        <w:t>8</w:t>
      </w:r>
      <w:r>
        <w:rPr>
          <w:rFonts w:hint="default" w:ascii="Times New Roman" w:hAnsi="Times New Roman" w:cs="Times New Roman"/>
          <w:color w:val="000000" w:themeColor="text1"/>
          <w:kern w:val="0"/>
          <w:highlight w:val="none"/>
          <w14:textFill>
            <w14:solidFill>
              <w14:schemeClr w14:val="tx1"/>
            </w14:solidFill>
          </w14:textFill>
        </w:rPr>
        <w:t>m</w:t>
      </w:r>
      <w:r>
        <w:rPr>
          <w:rFonts w:hint="default" w:ascii="Times New Roman" w:hAnsi="Times New Roman" w:cs="Times New Roman"/>
          <w:color w:val="000000" w:themeColor="text1"/>
          <w:kern w:val="0"/>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，采出程度28.56%，剩余地质储量45.98</w:t>
      </w:r>
      <w:r>
        <w:rPr>
          <w:rFonts w:hint="default" w:ascii="Times New Roman" w:hAnsi="Times New Roman" w:cs="Times New Roman"/>
          <w:color w:val="000000" w:themeColor="text1"/>
          <w:kern w:val="0"/>
          <w:highlight w:val="none"/>
          <w14:textFill>
            <w14:solidFill>
              <w14:schemeClr w14:val="tx1"/>
            </w14:solidFill>
          </w14:textFill>
        </w:rPr>
        <w:t>×10</w:t>
      </w:r>
      <w:r>
        <w:rPr>
          <w:rFonts w:hint="default" w:ascii="Times New Roman" w:hAnsi="Times New Roman" w:cs="Times New Roman"/>
          <w:color w:val="000000" w:themeColor="text1"/>
          <w:kern w:val="0"/>
          <w:highlight w:val="none"/>
          <w:vertAlign w:val="superscript"/>
          <w14:textFill>
            <w14:solidFill>
              <w14:schemeClr w14:val="tx1"/>
            </w14:solidFill>
          </w14:textFill>
        </w:rPr>
        <w:t>8</w:t>
      </w:r>
      <w:r>
        <w:rPr>
          <w:rFonts w:hint="default" w:ascii="Times New Roman" w:hAnsi="Times New Roman" w:cs="Times New Roman"/>
          <w:color w:val="000000" w:themeColor="text1"/>
          <w:kern w:val="0"/>
          <w:highlight w:val="none"/>
          <w14:textFill>
            <w14:solidFill>
              <w14:schemeClr w14:val="tx1"/>
            </w14:solidFill>
          </w14:textFill>
        </w:rPr>
        <w:t>m</w:t>
      </w:r>
      <w:r>
        <w:rPr>
          <w:rFonts w:hint="default" w:ascii="Times New Roman" w:hAnsi="Times New Roman" w:cs="Times New Roman"/>
          <w:color w:val="000000" w:themeColor="text1"/>
          <w:kern w:val="0"/>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。其中由于按照水淹前缘划分水侵范围，上下层序叠加，水侵区面积7.41km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，剩余地质储量29.74</w:t>
      </w:r>
      <w:r>
        <w:rPr>
          <w:rFonts w:hint="default" w:ascii="Times New Roman" w:hAnsi="Times New Roman" w:cs="Times New Roman"/>
          <w:color w:val="000000" w:themeColor="text1"/>
          <w:kern w:val="0"/>
          <w:highlight w:val="none"/>
          <w14:textFill>
            <w14:solidFill>
              <w14:schemeClr w14:val="tx1"/>
            </w14:solidFill>
          </w14:textFill>
        </w:rPr>
        <w:t>×10</w:t>
      </w:r>
      <w:r>
        <w:rPr>
          <w:rFonts w:hint="default" w:ascii="Times New Roman" w:hAnsi="Times New Roman" w:cs="Times New Roman"/>
          <w:color w:val="000000" w:themeColor="text1"/>
          <w:kern w:val="0"/>
          <w:highlight w:val="none"/>
          <w:vertAlign w:val="superscript"/>
          <w14:textFill>
            <w14:solidFill>
              <w14:schemeClr w14:val="tx1"/>
            </w14:solidFill>
          </w14:textFill>
        </w:rPr>
        <w:t>8</w:t>
      </w:r>
      <w:r>
        <w:rPr>
          <w:rFonts w:hint="default" w:ascii="Times New Roman" w:hAnsi="Times New Roman" w:cs="Times New Roman"/>
          <w:color w:val="000000" w:themeColor="text1"/>
          <w:kern w:val="0"/>
          <w:highlight w:val="none"/>
          <w14:textFill>
            <w14:solidFill>
              <w14:schemeClr w14:val="tx1"/>
            </w14:solidFill>
          </w14:textFill>
        </w:rPr>
        <w:t>m</w:t>
      </w:r>
      <w:r>
        <w:rPr>
          <w:rFonts w:hint="default" w:ascii="Times New Roman" w:hAnsi="Times New Roman" w:cs="Times New Roman"/>
          <w:color w:val="000000" w:themeColor="text1"/>
          <w:kern w:val="0"/>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，占总剩余地质储量的64.68%，主要存在于飞一二段，是主要的挖潜对象；纯气区剩余地质储量16.24×</w:t>
      </w:r>
      <w:r>
        <w:rPr>
          <w:rFonts w:hint="default" w:ascii="Times New Roman" w:hAnsi="Times New Roman" w:cs="Times New Roman"/>
          <w:color w:val="000000" w:themeColor="text1"/>
          <w:kern w:val="0"/>
          <w:highlight w:val="none"/>
          <w14:textFill>
            <w14:solidFill>
              <w14:schemeClr w14:val="tx1"/>
            </w14:solidFill>
          </w14:textFill>
        </w:rPr>
        <w:t>10</w:t>
      </w:r>
      <w:r>
        <w:rPr>
          <w:rFonts w:hint="default" w:ascii="Times New Roman" w:hAnsi="Times New Roman" w:cs="Times New Roman"/>
          <w:color w:val="000000" w:themeColor="text1"/>
          <w:kern w:val="0"/>
          <w:highlight w:val="none"/>
          <w:vertAlign w:val="superscript"/>
          <w14:textFill>
            <w14:solidFill>
              <w14:schemeClr w14:val="tx1"/>
            </w14:solidFill>
          </w14:textFill>
        </w:rPr>
        <w:t>8</w:t>
      </w:r>
      <w:r>
        <w:rPr>
          <w:rFonts w:hint="default" w:ascii="Times New Roman" w:hAnsi="Times New Roman" w:cs="Times New Roman"/>
          <w:color w:val="000000" w:themeColor="text1"/>
          <w:kern w:val="0"/>
          <w:highlight w:val="none"/>
          <w14:textFill>
            <w14:solidFill>
              <w14:schemeClr w14:val="tx1"/>
            </w14:solidFill>
          </w14:textFill>
        </w:rPr>
        <w:t>m</w:t>
      </w:r>
      <w:r>
        <w:rPr>
          <w:rFonts w:hint="default" w:ascii="Times New Roman" w:hAnsi="Times New Roman" w:cs="Times New Roman"/>
          <w:color w:val="000000" w:themeColor="text1"/>
          <w:kern w:val="0"/>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，占总剩余地质储量的35.32%，分布于P101-2井区高部位，有进一步挖潜潜力。</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pStyle w:val="123"/>
        <w:ind w:firstLine="422"/>
        <w:jc w:val="cente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图</w:t>
      </w:r>
      <w:r>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1-</w:t>
      </w: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 xml:space="preserve">3 </w:t>
      </w:r>
      <w:r>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 xml:space="preserve"> </w:t>
      </w: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 xml:space="preserve"> 普光3块飞一二段气水分布图</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因普光气田属于高含硫气田，其地质结构较为复杂，且目前对</w:t>
      </w:r>
      <w:r>
        <w:rPr>
          <w:rFonts w:hint="eastAsia" w:cs="Times New Roman"/>
          <w:color w:val="000000" w:themeColor="text1"/>
          <w:highlight w:val="none"/>
          <w:u w:val="single"/>
          <w:lang w:val="en-US" w:eastAsia="zh-CN"/>
          <w14:textFill>
            <w14:solidFill>
              <w14:schemeClr w14:val="tx1"/>
            </w14:solidFill>
          </w14:textFill>
        </w:rPr>
        <w:t>项目所在</w:t>
      </w:r>
      <w:r>
        <w:rPr>
          <w:rFonts w:hint="default" w:ascii="Times New Roman" w:hAnsi="Times New Roman" w:cs="Times New Roman"/>
          <w:color w:val="000000" w:themeColor="text1"/>
          <w:highlight w:val="none"/>
          <w:u w:val="single"/>
          <w14:textFill>
            <w14:solidFill>
              <w14:schemeClr w14:val="tx1"/>
            </w14:solidFill>
          </w14:textFill>
        </w:rPr>
        <w:t>区域产能储量仍未探明，</w:t>
      </w:r>
      <w:r>
        <w:rPr>
          <w:rFonts w:hint="default" w:ascii="Times New Roman" w:hAnsi="Times New Roman" w:cs="Times New Roman"/>
          <w:b w:val="0"/>
          <w:bCs/>
          <w:color w:val="000000" w:themeColor="text1"/>
          <w:highlight w:val="none"/>
          <w14:textFill>
            <w14:solidFill>
              <w14:schemeClr w14:val="tx1"/>
            </w14:solidFill>
          </w14:textFill>
        </w:rPr>
        <w:t>为了进一步有效探明普光3块水侵区储层、粒内孔储层发育区、水侵区较难动用储层的储量，提高普光3块井区井网完善程度，挖潜水侵区飞一二段剩余气潜力</w:t>
      </w:r>
      <w:r>
        <w:rPr>
          <w:rFonts w:hint="eastAsia" w:cs="Times New Roman"/>
          <w:b w:val="0"/>
          <w:bCs/>
          <w:color w:val="000000" w:themeColor="text1"/>
          <w:highlight w:val="none"/>
          <w:lang w:eastAsia="zh-CN"/>
          <w14:textFill>
            <w14:solidFill>
              <w14:schemeClr w14:val="tx1"/>
            </w14:solidFill>
          </w14:textFill>
        </w:rPr>
        <w:t>，</w:t>
      </w:r>
      <w:r>
        <w:rPr>
          <w:rFonts w:hint="default" w:ascii="Times New Roman" w:hAnsi="Times New Roman" w:cs="Times New Roman"/>
          <w:b w:val="0"/>
          <w:bCs/>
          <w:color w:val="000000" w:themeColor="text1"/>
          <w:highlight w:val="none"/>
          <w:u w:val="single"/>
          <w14:textFill>
            <w14:solidFill>
              <w14:schemeClr w14:val="tx1"/>
            </w14:solidFill>
          </w14:textFill>
        </w:rPr>
        <w:t>中国</w:t>
      </w:r>
      <w:r>
        <w:rPr>
          <w:rFonts w:hint="default" w:ascii="Times New Roman" w:hAnsi="Times New Roman" w:cs="Times New Roman"/>
          <w:color w:val="000000" w:themeColor="text1"/>
          <w:highlight w:val="none"/>
          <w:u w:val="single"/>
          <w14:textFill>
            <w14:solidFill>
              <w14:schemeClr w14:val="tx1"/>
            </w14:solidFill>
          </w14:textFill>
        </w:rPr>
        <w:t>石油化工股份有限公司中原油田普光分公司拟在该区域部署</w:t>
      </w:r>
      <w:r>
        <w:rPr>
          <w:rFonts w:hint="eastAsia" w:cs="Times New Roman"/>
          <w:color w:val="000000" w:themeColor="text1"/>
          <w:highlight w:val="none"/>
          <w:u w:val="single"/>
          <w:lang w:val="en-US" w:eastAsia="zh-CN"/>
          <w14:textFill>
            <w14:solidFill>
              <w14:schemeClr w14:val="tx1"/>
            </w14:solidFill>
          </w14:textFill>
        </w:rPr>
        <w:t>实验性</w:t>
      </w:r>
      <w:r>
        <w:rPr>
          <w:rFonts w:hint="default" w:ascii="Times New Roman" w:hAnsi="Times New Roman" w:cs="Times New Roman"/>
          <w:color w:val="000000" w:themeColor="text1"/>
          <w:highlight w:val="none"/>
          <w:u w:val="single"/>
          <w14:textFill>
            <w14:solidFill>
              <w14:schemeClr w14:val="tx1"/>
            </w14:solidFill>
          </w14:textFill>
        </w:rPr>
        <w:t>探井1口进行试采</w:t>
      </w:r>
      <w:r>
        <w:rPr>
          <w:rFonts w:hint="eastAsia" w:cs="Times New Roman"/>
          <w:color w:val="000000" w:themeColor="text1"/>
          <w:highlight w:val="none"/>
          <w:u w:val="single"/>
          <w:lang w:eastAsia="zh-CN"/>
          <w14:textFill>
            <w14:solidFill>
              <w14:schemeClr w14:val="tx1"/>
            </w14:solidFill>
          </w14:textFill>
        </w:rPr>
        <w:t>（</w:t>
      </w:r>
      <w:r>
        <w:rPr>
          <w:rFonts w:hint="eastAsia" w:cs="Times New Roman"/>
          <w:color w:val="000000" w:themeColor="text1"/>
          <w:highlight w:val="none"/>
          <w:u w:val="single"/>
          <w:lang w:val="en-US" w:eastAsia="zh-CN"/>
          <w14:textFill>
            <w14:solidFill>
              <w14:schemeClr w14:val="tx1"/>
            </w14:solidFill>
          </w14:textFill>
        </w:rPr>
        <w:t>即本项目“普光气田</w:t>
      </w:r>
      <w:r>
        <w:rPr>
          <w:rFonts w:hint="default" w:ascii="Times New Roman" w:hAnsi="Times New Roman" w:cs="Times New Roman"/>
          <w:color w:val="000000" w:themeColor="text1"/>
          <w:highlight w:val="none"/>
          <w:u w:val="single"/>
          <w14:textFill>
            <w14:solidFill>
              <w14:schemeClr w14:val="tx1"/>
            </w14:solidFill>
          </w14:textFill>
        </w:rPr>
        <w:t>P106-2H侧井钻井及试采工程</w:t>
      </w:r>
      <w:r>
        <w:rPr>
          <w:rFonts w:hint="eastAsia" w:cs="Times New Roman"/>
          <w:color w:val="000000" w:themeColor="text1"/>
          <w:highlight w:val="none"/>
          <w:u w:val="single"/>
          <w:lang w:val="en-US" w:eastAsia="zh-CN"/>
          <w14:textFill>
            <w14:solidFill>
              <w14:schemeClr w14:val="tx1"/>
            </w14:solidFill>
          </w14:textFill>
        </w:rPr>
        <w:t>”</w:t>
      </w:r>
      <w:r>
        <w:rPr>
          <w:rFonts w:hint="eastAsia" w:cs="Times New Roman"/>
          <w:color w:val="000000" w:themeColor="text1"/>
          <w:highlight w:val="none"/>
          <w:u w:val="single"/>
          <w:lang w:eastAsia="zh-CN"/>
          <w14:textFill>
            <w14:solidFill>
              <w14:schemeClr w14:val="tx1"/>
            </w14:solidFill>
          </w14:textFill>
        </w:rPr>
        <w:t>）</w:t>
      </w:r>
      <w:r>
        <w:rPr>
          <w:rFonts w:hint="default" w:ascii="Times New Roman" w:hAnsi="Times New Roman" w:cs="Times New Roman"/>
          <w:color w:val="000000" w:themeColor="text1"/>
          <w:highlight w:val="none"/>
          <w:u w:val="singl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本项目试采期2年，探明后为下一步普光主体区块</w:t>
      </w:r>
      <w:r>
        <w:rPr>
          <w:rFonts w:hint="eastAsia" w:cs="Times New Roman"/>
          <w:color w:val="000000" w:themeColor="text1"/>
          <w:highlight w:val="none"/>
          <w:lang w:val="en-US" w:eastAsia="zh-CN"/>
          <w14:textFill>
            <w14:solidFill>
              <w14:schemeClr w14:val="tx1"/>
            </w14:solidFill>
          </w14:textFill>
        </w:rPr>
        <w:t>进一步</w:t>
      </w:r>
      <w:r>
        <w:rPr>
          <w:rFonts w:hint="default" w:ascii="Times New Roman" w:hAnsi="Times New Roman" w:cs="Times New Roman"/>
          <w:color w:val="000000" w:themeColor="text1"/>
          <w:highlight w:val="none"/>
          <w14:textFill>
            <w14:solidFill>
              <w14:schemeClr w14:val="tx1"/>
            </w14:solidFill>
          </w14:textFill>
        </w:rPr>
        <w:t>开发做准备。</w:t>
      </w:r>
      <w:r>
        <w:rPr>
          <w:rFonts w:hint="default" w:ascii="Times New Roman" w:hAnsi="Times New Roman" w:cs="Times New Roman"/>
          <w:b/>
          <w:bCs/>
          <w:color w:val="000000" w:themeColor="text1"/>
          <w:highlight w:val="none"/>
          <w14:textFill>
            <w14:solidFill>
              <w14:schemeClr w14:val="tx1"/>
            </w14:solidFill>
          </w14:textFill>
        </w:rPr>
        <w:t>本项目试采期结束后，若能够满足后期普光主体区块</w:t>
      </w:r>
      <w:r>
        <w:rPr>
          <w:rFonts w:hint="eastAsia" w:cs="Times New Roman"/>
          <w:b/>
          <w:bCs/>
          <w:color w:val="000000" w:themeColor="text1"/>
          <w:highlight w:val="none"/>
          <w:lang w:val="en-US" w:eastAsia="zh-CN"/>
          <w14:textFill>
            <w14:solidFill>
              <w14:schemeClr w14:val="tx1"/>
            </w14:solidFill>
          </w14:textFill>
        </w:rPr>
        <w:t>进一步</w:t>
      </w:r>
      <w:r>
        <w:rPr>
          <w:rFonts w:hint="default" w:ascii="Times New Roman" w:hAnsi="Times New Roman" w:cs="Times New Roman"/>
          <w:b/>
          <w:bCs/>
          <w:color w:val="000000" w:themeColor="text1"/>
          <w:highlight w:val="none"/>
          <w14:textFill>
            <w14:solidFill>
              <w14:schemeClr w14:val="tx1"/>
            </w14:solidFill>
          </w14:textFill>
        </w:rPr>
        <w:t>开发需要，则现有设施设备继续服务于普光主体区块开发，并需按照区块开发相关要求另行办理相关环保手续。</w:t>
      </w:r>
    </w:p>
    <w:bookmarkEnd w:id="7"/>
    <w:p>
      <w:pPr>
        <w:ind w:firstLine="480"/>
        <w:rPr>
          <w:rFonts w:hint="default" w:ascii="Times New Roman" w:hAnsi="Times New Roman" w:cs="Times New Roman"/>
          <w:color w:val="000000" w:themeColor="text1"/>
          <w:szCs w:val="24"/>
          <w:highlight w:val="none"/>
          <w14:textFill>
            <w14:solidFill>
              <w14:schemeClr w14:val="tx1"/>
            </w14:solidFill>
          </w14:textFill>
        </w:rPr>
      </w:pPr>
      <w:bookmarkStart w:id="9" w:name="OLE_LINK313"/>
      <w:bookmarkStart w:id="10" w:name="OLE_LINK232"/>
      <w:bookmarkStart w:id="11" w:name="OLE_LINK300"/>
      <w:bookmarkStart w:id="12" w:name="OLE_LINK248"/>
      <w:r>
        <w:rPr>
          <w:rFonts w:hint="eastAsia" w:cs="Times New Roman"/>
          <w:color w:val="000000" w:themeColor="text1"/>
          <w:szCs w:val="24"/>
          <w:highlight w:val="none"/>
          <w:lang w:val="en-US" w:eastAsia="zh-CN"/>
          <w14:textFill>
            <w14:solidFill>
              <w14:schemeClr w14:val="tx1"/>
            </w14:solidFill>
          </w14:textFill>
        </w:rPr>
        <w:t>本项目</w:t>
      </w:r>
      <w:r>
        <w:rPr>
          <w:rFonts w:hint="default" w:ascii="Times New Roman" w:hAnsi="Times New Roman" w:cs="Times New Roman"/>
          <w:color w:val="000000" w:themeColor="text1"/>
          <w:szCs w:val="24"/>
          <w:highlight w:val="none"/>
          <w14:textFill>
            <w14:solidFill>
              <w14:schemeClr w14:val="tx1"/>
            </w14:solidFill>
          </w14:textFill>
        </w:rPr>
        <w:t>为改扩建，具体建设内容为：</w:t>
      </w:r>
      <w:bookmarkEnd w:id="9"/>
      <w:bookmarkEnd w:id="10"/>
      <w:bookmarkEnd w:id="11"/>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（1）钻前工程</w:t>
      </w:r>
    </w:p>
    <w:p>
      <w:pPr>
        <w:pStyle w:val="123"/>
        <w:rPr>
          <w:rFonts w:hint="default" w:ascii="Times New Roman" w:hAnsi="Times New Roman" w:cs="Times New Roman"/>
          <w:color w:val="000000" w:themeColor="text1"/>
          <w:highlight w:val="none"/>
          <w14:textFill>
            <w14:solidFill>
              <w14:schemeClr w14:val="tx1"/>
            </w14:solidFill>
          </w14:textFill>
        </w:rPr>
      </w:pPr>
      <w:bookmarkStart w:id="13" w:name="OLE_LINK91"/>
      <w:bookmarkStart w:id="14" w:name="OLE_LINK37"/>
      <w:bookmarkStart w:id="15" w:name="OLE_LINK90"/>
      <w:r>
        <w:rPr>
          <w:rFonts w:hint="default" w:ascii="Times New Roman" w:hAnsi="Times New Roman" w:cs="Times New Roman"/>
          <w:color w:val="000000" w:themeColor="text1"/>
          <w:highlight w:val="none"/>
          <w14:textFill>
            <w14:solidFill>
              <w14:schemeClr w14:val="tx1"/>
            </w14:solidFill>
          </w14:textFill>
        </w:rPr>
        <w:t>依托P106-2井已建井场进行建设，利旧方井1口、井架基础1座，修复利旧原井场放喷池2座、清水池1座，新建</w:t>
      </w:r>
      <w:r>
        <w:rPr>
          <w:rFonts w:hint="default" w:ascii="Times New Roman" w:hAnsi="Times New Roman" w:cs="Times New Roman"/>
          <w:color w:val="000000" w:themeColor="text1"/>
          <w:kern w:val="0"/>
          <w:highlight w:val="none"/>
          <w14:textFill>
            <w14:solidFill>
              <w14:schemeClr w14:val="tx1"/>
            </w14:solidFill>
          </w14:textFill>
        </w:rPr>
        <w:t>泥浆罐、泥浆不落地系统、循环罐、储备罐、油罐、发电机房</w:t>
      </w:r>
      <w:r>
        <w:rPr>
          <w:rFonts w:hint="default" w:ascii="Times New Roman" w:hAnsi="Times New Roman" w:cs="Times New Roman"/>
          <w:color w:val="000000" w:themeColor="text1"/>
          <w:highlight w:val="none"/>
          <w14:textFill>
            <w14:solidFill>
              <w14:schemeClr w14:val="tx1"/>
            </w14:solidFill>
          </w14:textFill>
        </w:rPr>
        <w:t>等设备基础1套。进场道路依托井场现有进场道路。</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（2）钻井工程</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利用P106-2井开窗侧钻，在P106-2井老井井深4887m处开窗侧钻，井型为侧钻水平井，井别为勘探评价井，设计井深5485m（垂深）/6643.58（斜深），地面海拔为820m，目的层下三叠统飞仙关组，完钻层位飞仙关组飞一二段，侧钻井眼长1756.58米，侧钻水平段长度781米</w:t>
      </w:r>
      <w:r>
        <w:rPr>
          <w:rFonts w:hint="default" w:ascii="Times New Roman" w:hAnsi="Times New Roman" w:cs="Times New Roman"/>
          <w:color w:val="000000" w:themeColor="text1"/>
          <w:highlight w:val="none"/>
          <w14:textFill>
            <w14:solidFill>
              <w14:schemeClr w14:val="tx1"/>
            </w14:solidFill>
          </w14:textFill>
        </w:rPr>
        <w:t>。本工程采用常规钻井工艺进行钻井，为保护气层，优先采用含封堵性聚合物的水基钻井液体系（若遇特殊地层情况，可能会转为油基钻井）。</w:t>
      </w:r>
    </w:p>
    <w:bookmarkEnd w:id="13"/>
    <w:bookmarkEnd w:id="14"/>
    <w:bookmarkEnd w:id="15"/>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（3）储层改造工程</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普光106-2H侧钻井采用“钻采一体化”投产模式，</w:t>
      </w:r>
      <w:r>
        <w:rPr>
          <w:rFonts w:hint="default" w:ascii="Times New Roman" w:hAnsi="Times New Roman" w:cs="Times New Roman"/>
          <w:color w:val="000000" w:themeColor="text1"/>
          <w:highlight w:val="none"/>
          <w14:textFill>
            <w14:solidFill>
              <w14:schemeClr w14:val="tx1"/>
            </w14:solidFill>
          </w14:textFill>
        </w:rPr>
        <w:t>采用尾管完井方式，悬挂 5in+4.5in套管至产层底界，设计分段改造-生产一体化完井管柱，一趟下入，完井油管采用Φ88.9×6.45mm+Φ73×5.51mm组合油管，气密封扣，完井工具材质718+110SS。</w:t>
      </w:r>
      <w:r>
        <w:rPr>
          <w:rFonts w:hint="default" w:ascii="Times New Roman" w:hAnsi="Times New Roman" w:cs="Times New Roman"/>
          <w:color w:val="000000" w:themeColor="text1"/>
          <w:szCs w:val="24"/>
          <w:highlight w:val="none"/>
          <w14:textFill>
            <w14:solidFill>
              <w14:schemeClr w14:val="tx1"/>
            </w14:solidFill>
          </w14:textFill>
        </w:rPr>
        <w:t>采用分段改造技术模式，</w:t>
      </w:r>
      <w:r>
        <w:rPr>
          <w:rFonts w:hint="default" w:ascii="Times New Roman" w:hAnsi="Times New Roman" w:cs="Times New Roman"/>
          <w:color w:val="000000" w:themeColor="text1"/>
          <w:highlight w:val="none"/>
          <w14:textFill>
            <w14:solidFill>
              <w14:schemeClr w14:val="tx1"/>
            </w14:solidFill>
          </w14:textFill>
        </w:rPr>
        <w:t>Ⅰ、Ⅱ类层清洁酸笼统酸化，Ⅲ类层多级注入酸压，地质预测钻遇储层厚度735m，设计总液量1960m³，前置酸80m³，清洁酸1170m³，高粘滑溜水620m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，活性</w:t>
      </w:r>
      <w:r>
        <w:rPr>
          <w:rFonts w:hint="default" w:ascii="Times New Roman" w:hAnsi="Times New Roman" w:cs="Times New Roman"/>
          <w:color w:val="000000" w:themeColor="text1"/>
          <w:highlight w:val="none"/>
          <w:lang w:eastAsia="zh-CN"/>
          <w14:textFill>
            <w14:solidFill>
              <w14:schemeClr w14:val="tx1"/>
            </w14:solidFill>
          </w14:textFill>
        </w:rPr>
        <w:t>水</w:t>
      </w:r>
      <w:r>
        <w:rPr>
          <w:rFonts w:hint="default" w:ascii="Times New Roman" w:hAnsi="Times New Roman" w:cs="Times New Roman"/>
          <w:color w:val="000000" w:themeColor="text1"/>
          <w:highlight w:val="none"/>
          <w14:textFill>
            <w14:solidFill>
              <w14:schemeClr w14:val="tx1"/>
            </w14:solidFill>
          </w14:textFill>
        </w:rPr>
        <w:t>620m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油气集输工程</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本工程需</w:t>
      </w:r>
      <w:r>
        <w:rPr>
          <w:rFonts w:hint="eastAsia" w:ascii="Times New Roman" w:hAnsi="Times New Roman" w:cs="Times New Roman"/>
          <w:color w:val="000000" w:themeColor="text1"/>
          <w:highlight w:val="none"/>
          <w:lang w:eastAsia="zh-CN"/>
          <w14:textFill>
            <w14:solidFill>
              <w14:schemeClr w14:val="tx1"/>
            </w14:solidFill>
          </w14:textFill>
        </w:rPr>
        <w:t>利用老井普光106-2井进行侧钻</w:t>
      </w:r>
      <w:r>
        <w:rPr>
          <w:rFonts w:hint="default" w:ascii="Times New Roman" w:hAnsi="Times New Roman" w:cs="Times New Roman"/>
          <w:color w:val="000000" w:themeColor="text1"/>
          <w:highlight w:val="none"/>
          <w14:textFill>
            <w14:solidFill>
              <w14:schemeClr w14:val="tx1"/>
            </w14:solidFill>
          </w14:textFill>
        </w:rPr>
        <w:t>，因钻井设备占地需要，钻井期间，需对P106站内已建部分装置区管线、设备等设施进行拆除，待侧钻完成通过测试并获得天然气产量后，再对P106集气站实施恢复建设。本次</w:t>
      </w:r>
      <w:r>
        <w:rPr>
          <w:rFonts w:hint="default" w:ascii="Times New Roman" w:hAnsi="Times New Roman" w:cs="Times New Roman"/>
          <w:color w:val="000000" w:themeColor="text1"/>
          <w:highlight w:val="none"/>
          <w:lang w:val="en-US" w:eastAsia="zh-CN"/>
          <w14:textFill>
            <w14:solidFill>
              <w14:schemeClr w14:val="tx1"/>
            </w14:solidFill>
          </w14:textFill>
        </w:rPr>
        <w:t>油气集输</w:t>
      </w:r>
      <w:r>
        <w:rPr>
          <w:rFonts w:hint="default" w:ascii="Times New Roman" w:hAnsi="Times New Roman" w:cs="Times New Roman"/>
          <w:color w:val="000000" w:themeColor="text1"/>
          <w:highlight w:val="none"/>
          <w14:textFill>
            <w14:solidFill>
              <w14:schemeClr w14:val="tx1"/>
            </w14:solidFill>
          </w14:textFill>
        </w:rPr>
        <w:t>工程内容主要为拆除井口 BDV 流程，其他拆除流程均原位置复建，</w:t>
      </w:r>
      <w:r>
        <w:rPr>
          <w:rFonts w:hint="eastAsia" w:cs="Times New Roman"/>
          <w:color w:val="000000" w:themeColor="text1"/>
          <w:highlight w:val="none"/>
          <w:lang w:eastAsia="zh-CN"/>
          <w14:textFill>
            <w14:solidFill>
              <w14:schemeClr w14:val="tx1"/>
            </w14:solidFill>
          </w14:textFill>
        </w:rPr>
        <w:t>同时新建临时分酸分离器、移动式乙二醇加注撬车1套</w:t>
      </w:r>
      <w:r>
        <w:rPr>
          <w:rFonts w:hint="default" w:ascii="Times New Roman" w:hAnsi="Times New Roman" w:cs="Times New Roman"/>
          <w:color w:val="000000" w:themeColor="text1"/>
          <w:highlight w:val="none"/>
          <w14:textFill>
            <w14:solidFill>
              <w14:schemeClr w14:val="tx1"/>
            </w14:solidFill>
          </w14:textFill>
        </w:rPr>
        <w:t>，配套站控室、围墙、大门等设施均依托原P106集气站站内已建设施，不改变原 P106 集气站性质。复建后流程与拆除前基本一致，工艺流程仍然为自普光 106-2H 侧井口采出的含硫天然气经井口临时分酸分离器后进入水套炉进行一级加热（加热至 50℃）、一级节流（节流至 8.5MPa，温度为 41.86℃）后进入计量分离器计量后外输至天然气净化厂。</w:t>
      </w:r>
    </w:p>
    <w:bookmarkEnd w:id="12"/>
    <w:p>
      <w:pPr>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本项目总投资</w:t>
      </w:r>
      <w:r>
        <w:rPr>
          <w:rFonts w:hint="eastAsia" w:cs="Times New Roman"/>
          <w:color w:val="000000" w:themeColor="text1"/>
          <w:kern w:val="0"/>
          <w:highlight w:val="none"/>
          <w:lang w:eastAsia="zh-CN"/>
          <w14:textFill>
            <w14:solidFill>
              <w14:schemeClr w14:val="tx1"/>
            </w14:solidFill>
          </w14:textFill>
        </w:rPr>
        <w:t>**</w:t>
      </w:r>
      <w:r>
        <w:rPr>
          <w:rFonts w:hint="default" w:ascii="Times New Roman" w:hAnsi="Times New Roman" w:cs="Times New Roman"/>
          <w:color w:val="000000" w:themeColor="text1"/>
          <w:kern w:val="0"/>
          <w:highlight w:val="none"/>
          <w14:textFill>
            <w14:solidFill>
              <w14:schemeClr w14:val="tx1"/>
            </w14:solidFill>
          </w14:textFill>
        </w:rPr>
        <w:t>，其中环保投资</w:t>
      </w:r>
      <w:r>
        <w:rPr>
          <w:rFonts w:hint="eastAsia" w:cs="Times New Roman"/>
          <w:color w:val="000000" w:themeColor="text1"/>
          <w:kern w:val="0"/>
          <w:highlight w:val="none"/>
          <w:lang w:eastAsia="zh-CN"/>
          <w14:textFill>
            <w14:solidFill>
              <w14:schemeClr w14:val="tx1"/>
            </w14:solidFill>
          </w14:textFill>
        </w:rPr>
        <w:t>**</w:t>
      </w:r>
      <w:r>
        <w:rPr>
          <w:rFonts w:hint="default" w:ascii="Times New Roman" w:hAnsi="Times New Roman" w:cs="Times New Roman"/>
          <w:color w:val="000000" w:themeColor="text1"/>
          <w:kern w:val="0"/>
          <w:highlight w:val="none"/>
          <w14:textFill>
            <w14:solidFill>
              <w14:schemeClr w14:val="tx1"/>
            </w14:solidFill>
          </w14:textFill>
        </w:rPr>
        <w:t>，占项目总投资的7.48%。</w:t>
      </w:r>
    </w:p>
    <w:p>
      <w:pPr>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本项目位于达州市宣汉县普光镇北斗村，根据水利部办公厅关于印发《全国水</w:t>
      </w:r>
      <w:r>
        <w:rPr>
          <w:rFonts w:hint="default" w:ascii="Times New Roman" w:hAnsi="Times New Roman" w:cs="Times New Roman"/>
          <w:color w:val="000000" w:themeColor="text1"/>
          <w:kern w:val="0"/>
          <w:highlight w:val="none"/>
          <w:lang w:eastAsia="zh-CN"/>
          <w14:textFill>
            <w14:solidFill>
              <w14:schemeClr w14:val="tx1"/>
            </w14:solidFill>
          </w14:textFill>
        </w:rPr>
        <w:t>土</w:t>
      </w:r>
      <w:r>
        <w:rPr>
          <w:rFonts w:hint="default" w:ascii="Times New Roman" w:hAnsi="Times New Roman" w:cs="Times New Roman"/>
          <w:color w:val="000000" w:themeColor="text1"/>
          <w:kern w:val="0"/>
          <w:highlight w:val="none"/>
          <w14:textFill>
            <w14:solidFill>
              <w14:schemeClr w14:val="tx1"/>
            </w14:solidFill>
          </w14:textFill>
        </w:rPr>
        <w:t>保持规划国家级水土流失重点预防区和重点治理区复核划分成果》（办水保〔2013〕188号）的通知，本项目</w:t>
      </w:r>
      <w:r>
        <w:rPr>
          <w:rFonts w:hint="eastAsia" w:cs="Times New Roman"/>
          <w:color w:val="000000" w:themeColor="text1"/>
          <w:kern w:val="0"/>
          <w:highlight w:val="none"/>
          <w:lang w:val="en-US" w:eastAsia="zh-CN"/>
          <w14:textFill>
            <w14:solidFill>
              <w14:schemeClr w14:val="tx1"/>
            </w14:solidFill>
          </w14:textFill>
        </w:rPr>
        <w:t>所在地</w:t>
      </w:r>
      <w:r>
        <w:rPr>
          <w:rFonts w:hint="default" w:ascii="Times New Roman" w:hAnsi="Times New Roman" w:cs="Times New Roman"/>
          <w:color w:val="000000" w:themeColor="text1"/>
          <w:kern w:val="0"/>
          <w:highlight w:val="none"/>
          <w14:textFill>
            <w14:solidFill>
              <w14:schemeClr w14:val="tx1"/>
            </w14:solidFill>
          </w14:textFill>
        </w:rPr>
        <w:t>属于四川省国家级水土流失重点治理区名单中所列区县，详见下表。</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1-1  </w:t>
      </w:r>
      <w:r>
        <w:rPr>
          <w:rFonts w:hint="default" w:ascii="Times New Roman" w:hAnsi="Times New Roman" w:cs="Times New Roman"/>
          <w:color w:val="000000" w:themeColor="text1"/>
          <w:highlight w:val="none"/>
          <w14:textFill>
            <w14:solidFill>
              <w14:schemeClr w14:val="tx1"/>
            </w14:solidFill>
          </w14:textFill>
        </w:rPr>
        <w:t xml:space="preserve"> 四川省国家级水土流失重点治理区名单</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3"/>
        <w:gridCol w:w="6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0" w:type="dxa"/>
            <w:gridSpan w:val="2"/>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重点治理区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嘉陵江及沱江中下游国家级水土流失重点治理区</w:t>
            </w:r>
          </w:p>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GII2</w:t>
            </w:r>
          </w:p>
        </w:tc>
        <w:tc>
          <w:tcPr>
            <w:tcW w:w="674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巴中市：巴州区、恩阳区、平昌县；成都市：金堂县、简阳市；达州市：达川区、大竹县、开江县、渠县、通川区、</w:t>
            </w:r>
            <w:r>
              <w:rPr>
                <w:rFonts w:hint="default" w:ascii="Times New Roman" w:hAnsi="Times New Roman" w:cs="Times New Roman"/>
                <w:b/>
                <w:bCs/>
                <w:color w:val="000000" w:themeColor="text1"/>
                <w:highlight w:val="none"/>
                <w14:textFill>
                  <w14:solidFill>
                    <w14:schemeClr w14:val="tx1"/>
                  </w14:solidFill>
                </w14:textFill>
              </w:rPr>
              <w:t>宣汉县</w:t>
            </w:r>
            <w:r>
              <w:rPr>
                <w:rFonts w:hint="default" w:ascii="Times New Roman" w:hAnsi="Times New Roman" w:cs="Times New Roman"/>
                <w:color w:val="000000" w:themeColor="text1"/>
                <w:highlight w:val="none"/>
                <w14:textFill>
                  <w14:solidFill>
                    <w14:schemeClr w14:val="tx1"/>
                  </w14:solidFill>
                </w14:textFill>
              </w:rPr>
              <w:t>；德阳市：中江县；广元市：苍溪县、剑阁县；乐山市：犍为县、井研县；眉山市：仁寿县；绵阳市：三台县、盐亭县、梓潼县；内江市：威远县、资中县；南充市：阆中市、仪陇县、营山县；遂宁市：大英县；宜宾市：宜宾县；资阳市：安岳县、乐至县、雁江区；自贡市；柴县（31）</w:t>
            </w:r>
          </w:p>
        </w:tc>
      </w:tr>
    </w:tbl>
    <w:p>
      <w:pPr>
        <w:ind w:firstLine="480"/>
        <w:rPr>
          <w:rFonts w:hint="default" w:ascii="Times New Roman" w:hAnsi="Times New Roman" w:cs="Times New Roman"/>
          <w:color w:val="000000" w:themeColor="text1"/>
          <w:kern w:val="0"/>
          <w:highlight w:val="none"/>
          <w14:textFill>
            <w14:solidFill>
              <w14:schemeClr w14:val="tx1"/>
            </w14:solidFill>
          </w14:textFill>
        </w:rPr>
      </w:pPr>
    </w:p>
    <w:p>
      <w:pPr>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同时，根据达州市水利局《关于水土保持“两区”划分的公告》“以下称《公告》”（详见附件</w:t>
      </w:r>
      <w:r>
        <w:rPr>
          <w:rFonts w:hint="eastAsia" w:cs="Times New Roman"/>
          <w:color w:val="000000" w:themeColor="text1"/>
          <w:kern w:val="0"/>
          <w:highlight w:val="none"/>
          <w:lang w:val="en-US" w:eastAsia="zh-CN"/>
          <w14:textFill>
            <w14:solidFill>
              <w14:schemeClr w14:val="tx1"/>
            </w14:solidFill>
          </w14:textFill>
        </w:rPr>
        <w:t>9</w:t>
      </w:r>
      <w:r>
        <w:rPr>
          <w:rFonts w:hint="default" w:ascii="Times New Roman" w:hAnsi="Times New Roman" w:cs="Times New Roman"/>
          <w:color w:val="000000" w:themeColor="text1"/>
          <w:kern w:val="0"/>
          <w:highlight w:val="none"/>
          <w14:textFill>
            <w14:solidFill>
              <w14:schemeClr w14:val="tx1"/>
            </w14:solidFill>
          </w14:textFill>
        </w:rPr>
        <w:t>），涉及《公告》中“附件1达州市水土流失重点防治区划分表”中所列生态分区中“Ⅱ区</w:t>
      </w:r>
      <w:r>
        <w:rPr>
          <w:rFonts w:hint="default" w:ascii="Times New Roman" w:hAnsi="Times New Roman" w:cs="Times New Roman"/>
          <w:color w:val="000000" w:themeColor="text1"/>
          <w:kern w:val="0"/>
          <w:highlight w:val="none"/>
          <w:lang w:eastAsia="zh-CN"/>
          <w14:textFill>
            <w14:solidFill>
              <w14:schemeClr w14:val="tx1"/>
            </w14:solidFill>
          </w14:textFill>
        </w:rPr>
        <w:t>－</w:t>
      </w:r>
      <w:r>
        <w:rPr>
          <w:rFonts w:hint="default" w:ascii="Times New Roman" w:hAnsi="Times New Roman" w:cs="Times New Roman"/>
          <w:color w:val="000000" w:themeColor="text1"/>
          <w:kern w:val="0"/>
          <w:highlight w:val="none"/>
          <w14:textFill>
            <w14:solidFill>
              <w14:schemeClr w14:val="tx1"/>
            </w14:solidFill>
          </w14:textFill>
        </w:rPr>
        <w:t>重点预防区、Ⅱ区</w:t>
      </w:r>
      <w:r>
        <w:rPr>
          <w:rFonts w:hint="default" w:ascii="Times New Roman" w:hAnsi="Times New Roman" w:cs="Times New Roman"/>
          <w:color w:val="000000" w:themeColor="text1"/>
          <w:kern w:val="0"/>
          <w:highlight w:val="none"/>
          <w:lang w:eastAsia="zh-CN"/>
          <w14:textFill>
            <w14:solidFill>
              <w14:schemeClr w14:val="tx1"/>
            </w14:solidFill>
          </w14:textFill>
        </w:rPr>
        <w:t>－</w:t>
      </w:r>
      <w:r>
        <w:rPr>
          <w:rFonts w:hint="default" w:ascii="Times New Roman" w:hAnsi="Times New Roman" w:cs="Times New Roman"/>
          <w:color w:val="000000" w:themeColor="text1"/>
          <w:kern w:val="0"/>
          <w:highlight w:val="none"/>
          <w14:textFill>
            <w14:solidFill>
              <w14:schemeClr w14:val="tx1"/>
            </w14:solidFill>
          </w14:textFill>
        </w:rPr>
        <w:t>重点治理区”，具体详见下表。</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1-2  </w:t>
      </w:r>
      <w:r>
        <w:rPr>
          <w:rFonts w:hint="default" w:ascii="Times New Roman" w:hAnsi="Times New Roman" w:cs="Times New Roman"/>
          <w:color w:val="000000" w:themeColor="text1"/>
          <w:highlight w:val="none"/>
          <w14:textFill>
            <w14:solidFill>
              <w14:schemeClr w14:val="tx1"/>
            </w14:solidFill>
          </w14:textFill>
        </w:rPr>
        <w:t xml:space="preserve"> 达州市水土流失重点防治区划分表</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1417"/>
        <w:gridCol w:w="5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生态分区</w:t>
            </w:r>
          </w:p>
        </w:tc>
        <w:tc>
          <w:tcPr>
            <w:tcW w:w="141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治理分区</w:t>
            </w:r>
          </w:p>
        </w:tc>
        <w:tc>
          <w:tcPr>
            <w:tcW w:w="575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II区</w:t>
            </w:r>
          </w:p>
        </w:tc>
        <w:tc>
          <w:tcPr>
            <w:tcW w:w="141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重点预防区</w:t>
            </w:r>
          </w:p>
        </w:tc>
        <w:tc>
          <w:tcPr>
            <w:tcW w:w="575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宣汉县：龙泉乡、渡口乡、三墩乡、白马乡、大成镇、东乡镇、柳池乡、清溪镇、</w:t>
            </w:r>
            <w:r>
              <w:rPr>
                <w:rFonts w:hint="default" w:ascii="Times New Roman" w:hAnsi="Times New Roman" w:cs="Times New Roman"/>
                <w:b/>
                <w:bCs/>
                <w:color w:val="000000" w:themeColor="text1"/>
                <w:highlight w:val="none"/>
                <w14:textFill>
                  <w14:solidFill>
                    <w14:schemeClr w14:val="tx1"/>
                  </w14:solidFill>
                </w14:textFill>
              </w:rPr>
              <w:t>普光镇、</w:t>
            </w:r>
            <w:r>
              <w:rPr>
                <w:rFonts w:hint="default" w:ascii="Times New Roman" w:hAnsi="Times New Roman" w:cs="Times New Roman"/>
                <w:color w:val="000000" w:themeColor="text1"/>
                <w:highlight w:val="none"/>
                <w14:textFill>
                  <w14:solidFill>
                    <w14:schemeClr w14:val="tx1"/>
                  </w14:solidFill>
                </w14:textFill>
              </w:rPr>
              <w:t>桃花乡、双河镇、七里乡、柏树镇、天生镇、石铁乡、新华镇、厂溪乡、风鸣乡、红峰乡（19）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重点治理区</w:t>
            </w:r>
          </w:p>
        </w:tc>
        <w:tc>
          <w:tcPr>
            <w:tcW w:w="575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宣汉县：三墩乡、土黄镇、樊哙镇、漆碑乡、华景镇、白马乡、庆云乡、马渡乡、隘口乡、清溪镇、老君乡、</w:t>
            </w:r>
            <w:r>
              <w:rPr>
                <w:rFonts w:hint="default" w:ascii="Times New Roman" w:hAnsi="Times New Roman" w:cs="Times New Roman"/>
                <w:b/>
                <w:bCs/>
                <w:color w:val="000000" w:themeColor="text1"/>
                <w:highlight w:val="none"/>
                <w14:textFill>
                  <w14:solidFill>
                    <w14:schemeClr w14:val="tx1"/>
                  </w14:solidFill>
                </w14:textFill>
              </w:rPr>
              <w:t>普光镇、</w:t>
            </w:r>
            <w:r>
              <w:rPr>
                <w:rFonts w:hint="default" w:ascii="Times New Roman" w:hAnsi="Times New Roman" w:cs="Times New Roman"/>
                <w:color w:val="000000" w:themeColor="text1"/>
                <w:highlight w:val="none"/>
                <w14:textFill>
                  <w14:solidFill>
                    <w14:schemeClr w14:val="tx1"/>
                  </w14:solidFill>
                </w14:textFill>
              </w:rPr>
              <w:t>峰城镇、凤林乡、五宝镇、天台乡、三河乡、君塘镇、明月乡、东乡镇、红岭乡、大成镇、柳池乡、东林乡、庙安乡、天宝乡、柏树镇、黄金镇、毛坝镇、胡家镇、花池乡、土主乡、南坪乡、观山乡（34）</w:t>
            </w:r>
          </w:p>
        </w:tc>
      </w:tr>
    </w:tbl>
    <w:p>
      <w:pPr>
        <w:pStyle w:val="250"/>
        <w:spacing w:before="120" w:beforeLines="5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由上表可知，本项目涉及水土流失重点预防区及水土流失重点治理区。</w:t>
      </w:r>
    </w:p>
    <w:p>
      <w:pPr>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本项目</w:t>
      </w:r>
      <w:r>
        <w:rPr>
          <w:rFonts w:hint="eastAsia" w:cs="Times New Roman"/>
          <w:color w:val="000000" w:themeColor="text1"/>
          <w:kern w:val="0"/>
          <w:highlight w:val="none"/>
          <w:lang w:val="en-US" w:eastAsia="zh-CN"/>
          <w14:textFill>
            <w14:solidFill>
              <w14:schemeClr w14:val="tx1"/>
            </w14:solidFill>
          </w14:textFill>
        </w:rPr>
        <w:t>为天然气侧井钻井及试采工程，项目所在地涉及水土流失重点预防区及水土流失重点治理区，</w:t>
      </w:r>
      <w:r>
        <w:rPr>
          <w:rFonts w:hint="default" w:ascii="Times New Roman" w:hAnsi="Times New Roman" w:cs="Times New Roman"/>
          <w:color w:val="000000" w:themeColor="text1"/>
          <w:kern w:val="0"/>
          <w:highlight w:val="none"/>
          <w14:textFill>
            <w14:solidFill>
              <w14:schemeClr w14:val="tx1"/>
            </w14:solidFill>
          </w14:textFill>
        </w:rPr>
        <w:t>根据《建设项目环境影响评价分类管理名录》（2021年版）中的相关要求，属于“五、石油和天然气开采业07-8、陆地天然气开采0721</w:t>
      </w:r>
      <w:r>
        <w:rPr>
          <w:rFonts w:hint="default" w:ascii="Times New Roman" w:hAnsi="Times New Roman" w:cs="Times New Roman"/>
          <w:color w:val="000000" w:themeColor="text1"/>
          <w:kern w:val="0"/>
          <w:highlight w:val="none"/>
          <w:lang w:eastAsia="zh-CN"/>
          <w14:textFill>
            <w14:solidFill>
              <w14:schemeClr w14:val="tx1"/>
            </w14:solidFill>
          </w14:textFill>
        </w:rPr>
        <w:t>－</w:t>
      </w:r>
      <w:r>
        <w:rPr>
          <w:rFonts w:hint="default" w:ascii="Times New Roman" w:hAnsi="Times New Roman" w:cs="Times New Roman"/>
          <w:color w:val="000000" w:themeColor="text1"/>
          <w:kern w:val="0"/>
          <w:highlight w:val="none"/>
          <w14:textFill>
            <w14:solidFill>
              <w14:schemeClr w14:val="tx1"/>
            </w14:solidFill>
          </w14:textFill>
        </w:rPr>
        <w:t>新区块开发；年生产能力1亿立方米及以上的煤层气开采；涉及环境敏感区的（含内部集输管线建设</w:t>
      </w:r>
      <w:r>
        <w:rPr>
          <w:rFonts w:hint="eastAsia" w:cs="Times New Roman"/>
          <w:color w:val="000000" w:themeColor="text1"/>
          <w:kern w:val="0"/>
          <w:highlight w:val="none"/>
          <w:lang w:eastAsia="zh-CN"/>
          <w14:textFill>
            <w14:solidFill>
              <w14:schemeClr w14:val="tx1"/>
            </w14:solidFill>
          </w14:textFill>
        </w:rPr>
        <w:t>）”</w:t>
      </w:r>
      <w:r>
        <w:rPr>
          <w:rFonts w:hint="default" w:ascii="Times New Roman" w:hAnsi="Times New Roman" w:cs="Times New Roman"/>
          <w:color w:val="000000" w:themeColor="text1"/>
          <w:kern w:val="0"/>
          <w:highlight w:val="none"/>
          <w14:textFill>
            <w14:solidFill>
              <w14:schemeClr w14:val="tx1"/>
            </w14:solidFill>
          </w14:textFill>
        </w:rPr>
        <w:t>，环评类别为编制环境影响报告书。</w:t>
      </w:r>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中国石油化工股份有限公司中原油田普光分公司委托成都维清环保科技有限公司承担本项目环境影响评价工作（见附件</w:t>
      </w:r>
      <w:r>
        <w:rPr>
          <w:rFonts w:hint="default" w:ascii="Times New Roman" w:hAnsi="Times New Roman" w:cs="Times New Roman"/>
          <w:color w:val="000000" w:themeColor="text1"/>
          <w:kern w:val="0"/>
          <w:szCs w:val="20"/>
          <w:highlight w:val="none"/>
          <w:lang w:val="en-US" w:eastAsia="zh-CN"/>
          <w14:textFill>
            <w14:solidFill>
              <w14:schemeClr w14:val="tx1"/>
            </w14:solidFill>
          </w14:textFill>
        </w:rPr>
        <w:t>1</w:t>
      </w:r>
      <w:r>
        <w:rPr>
          <w:rFonts w:hint="default" w:ascii="Times New Roman" w:hAnsi="Times New Roman" w:cs="Times New Roman"/>
          <w:color w:val="000000" w:themeColor="text1"/>
          <w:kern w:val="0"/>
          <w:szCs w:val="20"/>
          <w:highlight w:val="none"/>
          <w14:textFill>
            <w14:solidFill>
              <w14:schemeClr w14:val="tx1"/>
            </w14:solidFill>
          </w14:textFill>
        </w:rPr>
        <w:t>）。</w:t>
      </w:r>
      <w:r>
        <w:rPr>
          <w:rFonts w:hint="eastAsia" w:cs="Times New Roman"/>
          <w:color w:val="000000" w:themeColor="text1"/>
          <w:kern w:val="0"/>
          <w:szCs w:val="20"/>
          <w:highlight w:val="none"/>
          <w:lang w:val="en-US" w:eastAsia="zh-CN"/>
          <w14:textFill>
            <w14:solidFill>
              <w14:schemeClr w14:val="tx1"/>
            </w14:solidFill>
          </w14:textFill>
        </w:rPr>
        <w:t>我</w:t>
      </w:r>
      <w:r>
        <w:rPr>
          <w:rFonts w:hint="default" w:ascii="Times New Roman" w:hAnsi="Times New Roman" w:cs="Times New Roman"/>
          <w:color w:val="000000" w:themeColor="text1"/>
          <w:kern w:val="0"/>
          <w:szCs w:val="20"/>
          <w:highlight w:val="none"/>
          <w14:textFill>
            <w14:solidFill>
              <w14:schemeClr w14:val="tx1"/>
            </w14:solidFill>
          </w14:textFill>
        </w:rPr>
        <w:t>公司接受委托后，</w:t>
      </w:r>
      <w:r>
        <w:rPr>
          <w:rFonts w:hint="eastAsia" w:cs="Times New Roman"/>
          <w:color w:val="000000" w:themeColor="text1"/>
          <w:kern w:val="0"/>
          <w:szCs w:val="20"/>
          <w:highlight w:val="none"/>
          <w:lang w:val="en-US" w:eastAsia="zh-CN"/>
          <w14:textFill>
            <w14:solidFill>
              <w14:schemeClr w14:val="tx1"/>
            </w14:solidFill>
          </w14:textFill>
        </w:rPr>
        <w:t>立即</w:t>
      </w:r>
      <w:r>
        <w:rPr>
          <w:rFonts w:hint="default" w:ascii="Times New Roman" w:hAnsi="Times New Roman" w:cs="Times New Roman"/>
          <w:color w:val="000000" w:themeColor="text1"/>
          <w:kern w:val="0"/>
          <w:szCs w:val="20"/>
          <w:highlight w:val="none"/>
          <w14:textFill>
            <w14:solidFill>
              <w14:schemeClr w14:val="tx1"/>
            </w14:solidFill>
          </w14:textFill>
        </w:rPr>
        <w:t>成立</w:t>
      </w:r>
      <w:r>
        <w:rPr>
          <w:rFonts w:hint="eastAsia" w:cs="Times New Roman"/>
          <w:color w:val="000000" w:themeColor="text1"/>
          <w:kern w:val="0"/>
          <w:szCs w:val="20"/>
          <w:highlight w:val="none"/>
          <w:lang w:val="en-US" w:eastAsia="zh-CN"/>
          <w14:textFill>
            <w14:solidFill>
              <w14:schemeClr w14:val="tx1"/>
            </w14:solidFill>
          </w14:textFill>
        </w:rPr>
        <w:t>了</w:t>
      </w:r>
      <w:r>
        <w:rPr>
          <w:rFonts w:hint="default" w:ascii="Times New Roman" w:hAnsi="Times New Roman" w:cs="Times New Roman"/>
          <w:color w:val="000000" w:themeColor="text1"/>
          <w:kern w:val="0"/>
          <w:szCs w:val="20"/>
          <w:highlight w:val="none"/>
          <w14:textFill>
            <w14:solidFill>
              <w14:schemeClr w14:val="tx1"/>
            </w14:solidFill>
          </w14:textFill>
        </w:rPr>
        <w:t>项目组，对该项目周边的自然环境进行踏勘调查，收集了与项目有关的建设及技术资料，</w:t>
      </w:r>
      <w:r>
        <w:rPr>
          <w:rFonts w:hint="eastAsia" w:cs="Times New Roman"/>
          <w:color w:val="000000" w:themeColor="text1"/>
          <w:kern w:val="0"/>
          <w:szCs w:val="20"/>
          <w:highlight w:val="none"/>
          <w:lang w:val="en-US" w:eastAsia="zh-CN"/>
          <w14:textFill>
            <w14:solidFill>
              <w14:schemeClr w14:val="tx1"/>
            </w14:solidFill>
          </w14:textFill>
        </w:rPr>
        <w:t>并</w:t>
      </w:r>
      <w:r>
        <w:rPr>
          <w:rFonts w:hint="default" w:ascii="Times New Roman" w:hAnsi="Times New Roman" w:cs="Times New Roman"/>
          <w:color w:val="000000" w:themeColor="text1"/>
          <w:kern w:val="0"/>
          <w:szCs w:val="20"/>
          <w:highlight w:val="none"/>
          <w14:textFill>
            <w14:solidFill>
              <w14:schemeClr w14:val="tx1"/>
            </w14:solidFill>
          </w14:textFill>
        </w:rPr>
        <w:t>根据</w:t>
      </w:r>
      <w:r>
        <w:rPr>
          <w:rFonts w:hint="eastAsia" w:cs="Times New Roman"/>
          <w:color w:val="000000" w:themeColor="text1"/>
          <w:kern w:val="0"/>
          <w:szCs w:val="20"/>
          <w:highlight w:val="none"/>
          <w:lang w:val="en-US" w:eastAsia="zh-CN"/>
          <w14:textFill>
            <w14:solidFill>
              <w14:schemeClr w14:val="tx1"/>
            </w14:solidFill>
          </w14:textFill>
        </w:rPr>
        <w:t>相关</w:t>
      </w:r>
      <w:r>
        <w:rPr>
          <w:rFonts w:hint="default" w:ascii="Times New Roman" w:hAnsi="Times New Roman" w:cs="Times New Roman"/>
          <w:color w:val="000000" w:themeColor="text1"/>
          <w:kern w:val="0"/>
          <w:szCs w:val="20"/>
          <w:highlight w:val="none"/>
          <w14:textFill>
            <w14:solidFill>
              <w14:schemeClr w14:val="tx1"/>
            </w14:solidFill>
          </w14:textFill>
        </w:rPr>
        <w:t>环境影响评价导则、规范及要求，编制</w:t>
      </w:r>
      <w:r>
        <w:rPr>
          <w:rFonts w:hint="eastAsia" w:cs="Times New Roman"/>
          <w:color w:val="000000" w:themeColor="text1"/>
          <w:kern w:val="0"/>
          <w:szCs w:val="20"/>
          <w:highlight w:val="none"/>
          <w:lang w:val="en-US" w:eastAsia="zh-CN"/>
          <w14:textFill>
            <w14:solidFill>
              <w14:schemeClr w14:val="tx1"/>
            </w14:solidFill>
          </w14:textFill>
        </w:rPr>
        <w:t>完成了</w:t>
      </w:r>
      <w:r>
        <w:rPr>
          <w:rFonts w:hint="default" w:ascii="Times New Roman" w:hAnsi="Times New Roman" w:cs="Times New Roman"/>
          <w:color w:val="000000" w:themeColor="text1"/>
          <w:kern w:val="0"/>
          <w:szCs w:val="20"/>
          <w:highlight w:val="none"/>
          <w14:textFill>
            <w14:solidFill>
              <w14:schemeClr w14:val="tx1"/>
            </w14:solidFill>
          </w14:textFill>
        </w:rPr>
        <w:t>《普光气田P106-2H侧井钻井及试采工程环境影响报告书》。</w:t>
      </w:r>
    </w:p>
    <w:bookmarkEnd w:id="8"/>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14:textFill>
            <w14:solidFill>
              <w14:schemeClr w14:val="tx1"/>
            </w14:solidFill>
          </w14:textFill>
        </w:rPr>
      </w:pPr>
      <w:bookmarkStart w:id="16" w:name="_Toc26819"/>
      <w:r>
        <w:rPr>
          <w:rFonts w:hint="default" w:ascii="Times New Roman" w:hAnsi="Times New Roman" w:cs="Times New Roman"/>
          <w:color w:val="000000" w:themeColor="text1"/>
          <w:highlight w:val="none"/>
          <w14:textFill>
            <w14:solidFill>
              <w14:schemeClr w14:val="tx1"/>
            </w14:solidFill>
          </w14:textFill>
        </w:rPr>
        <w:t>建设项目特点</w:t>
      </w:r>
      <w:bookmarkEnd w:id="16"/>
    </w:p>
    <w:p>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本项目为天然气</w:t>
      </w:r>
      <w:r>
        <w:rPr>
          <w:rFonts w:hint="eastAsia" w:ascii="Times New Roman" w:hAnsi="Times New Roman" w:cs="Times New Roman"/>
          <w:b w:val="0"/>
          <w:bCs/>
          <w:color w:val="000000" w:themeColor="text1"/>
          <w:szCs w:val="24"/>
          <w:highlight w:val="none"/>
          <w:lang w:val="en-US" w:eastAsia="zh-CN"/>
          <w14:textFill>
            <w14:solidFill>
              <w14:schemeClr w14:val="tx1"/>
            </w14:solidFill>
          </w14:textFill>
        </w:rPr>
        <w:t>侧井钻井及</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试采工程</w:t>
      </w:r>
      <w:r>
        <w:rPr>
          <w:rFonts w:hint="eastAsia" w:ascii="Times New Roman" w:hAnsi="Times New Roman" w:cs="Times New Roman"/>
          <w:b w:val="0"/>
          <w:bCs/>
          <w:color w:val="000000" w:themeColor="text1"/>
          <w:szCs w:val="24"/>
          <w:highlight w:val="none"/>
          <w:lang w:val="en-US" w:eastAsia="zh-CN"/>
          <w14:textFill>
            <w14:solidFill>
              <w14:schemeClr w14:val="tx1"/>
            </w14:solidFill>
          </w14:textFill>
        </w:rPr>
        <w:t>，项目主要的影响涉及施工期（天然气侧井钻井施工）及运营期（天然气试采）两部分</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w:t>
      </w:r>
    </w:p>
    <w:p>
      <w:pPr>
        <w:keepNext w:val="0"/>
        <w:keepLines w:val="0"/>
        <w:pageBreakBefore w:val="0"/>
        <w:widowControl/>
        <w:numPr>
          <w:ilvl w:val="0"/>
          <w:numId w:val="4"/>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施工期</w:t>
      </w:r>
    </w:p>
    <w:p>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本项目施工期主要为天然气井的钻井施工，包含钻前工程施工、钻井工程施工、储层改造工程及油气集输工程的建设等部分，针对施工期，具备以下特点：</w:t>
      </w:r>
    </w:p>
    <w:p>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begin"/>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instrText xml:space="preserve"> = 1 \* GB3 \* MERGEFORMAT </w:instrTex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separate"/>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①</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end"/>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天然气钻井工程项目兼具生态影响和污染影响的特点，针对本项目而言，主要利旧已建井场进行施工建设，钻前工程量小，工程仅生活营地需新增少量临时占地，故其生态影响较小。本项目的环境影响以后续钻井工程、储层改造工程及油气集输工程等产生的污染影响为主。</w:t>
      </w:r>
    </w:p>
    <w:p>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begin"/>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instrText xml:space="preserve"> = 2 \* GB3 \* MERGEFORMAT </w:instrTex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separate"/>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②</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end"/>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本项目为侧钻井，钻井工程仅在老井井深4887m处进行开窗侧钻，为保护气层，本工程采用常规钻井工艺进行钻井，钻井液优先采用含封堵性聚合物的水基钻井液体系，若遇特殊地层情况，</w:t>
      </w:r>
      <w:r>
        <w:rPr>
          <w:rFonts w:hint="eastAsia" w:cs="Times New Roman"/>
          <w:b w:val="0"/>
          <w:bCs/>
          <w:color w:val="000000" w:themeColor="text1"/>
          <w:szCs w:val="24"/>
          <w:highlight w:val="none"/>
          <w:lang w:val="en-US" w:eastAsia="zh-CN"/>
          <w14:textFill>
            <w14:solidFill>
              <w14:schemeClr w14:val="tx1"/>
            </w14:solidFill>
          </w14:textFill>
        </w:rPr>
        <w:t>才</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可能会转为油基钻井体系。</w:t>
      </w:r>
    </w:p>
    <w:p>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begin"/>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instrText xml:space="preserve"> = 3 \* GB3 \* MERGEFORMAT </w:instrTex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separate"/>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③</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end"/>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为尽可能减小噪声影响，本项目尽量采用网电钻井。</w:t>
      </w:r>
    </w:p>
    <w:p>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begin"/>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instrText xml:space="preserve"> = 4 \* GB3 \* MERGEFORMAT </w:instrTex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separate"/>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④</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end"/>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针对钻井工程、储层改造工程产生的钻井废水、洗井废水、场地初期雨水、压裂返排液等拟采取“减量化、资源化循环利用、无害化”的原则，做到本项目产生的钻井废水、洗井废水、</w:t>
      </w:r>
      <w:r>
        <w:rPr>
          <w:rFonts w:hint="eastAsia" w:ascii="Times New Roman" w:hAnsi="Times New Roman" w:cs="Times New Roman"/>
          <w:b w:val="0"/>
          <w:bCs/>
          <w:color w:val="000000" w:themeColor="text1"/>
          <w:szCs w:val="24"/>
          <w:highlight w:val="none"/>
          <w:lang w:val="en-US" w:eastAsia="zh-CN"/>
          <w14:textFill>
            <w14:solidFill>
              <w14:schemeClr w14:val="tx1"/>
            </w14:solidFill>
          </w14:textFill>
        </w:rPr>
        <w:t>场地初期雨水</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、压裂返排液等均尽量回用，不能回用部分均由密闭罐车定期拉运至赵家坝污水处理站</w:t>
      </w:r>
      <w:r>
        <w:rPr>
          <w:rFonts w:hint="eastAsia" w:cs="Times New Roman"/>
          <w:b w:val="0"/>
          <w:bCs/>
          <w:color w:val="000000" w:themeColor="text1"/>
          <w:szCs w:val="24"/>
          <w:highlight w:val="none"/>
          <w:lang w:val="en-US" w:eastAsia="zh-CN"/>
          <w14:textFill>
            <w14:solidFill>
              <w14:schemeClr w14:val="tx1"/>
            </w14:solidFill>
          </w14:textFill>
        </w:rPr>
        <w:t>处理</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达标后管输至普光11井回注站回注。不向周边水体排污。</w:t>
      </w:r>
    </w:p>
    <w:p>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begin"/>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instrText xml:space="preserve"> = 5 \* GB3 \* MERGEFORMAT </w:instrTex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separate"/>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⑤</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fldChar w:fldCharType="end"/>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针对油气集输工程阶段的施工建设，由于本项目主要依托下游P106集气站和外输管道实现天然气生产及外输，因此油气集输工程阶段对应的施工期施工内容较简单，不涉及新增集输流程和外输管道的建设。</w:t>
      </w:r>
    </w:p>
    <w:p>
      <w:pPr>
        <w:keepNext w:val="0"/>
        <w:keepLines w:val="0"/>
        <w:pageBreakBefore w:val="0"/>
        <w:widowControl/>
        <w:numPr>
          <w:ilvl w:val="0"/>
          <w:numId w:val="4"/>
        </w:numPr>
        <w:suppressLineNumbers w:val="0"/>
        <w:kinsoku/>
        <w:wordWrap/>
        <w:overflowPunct/>
        <w:topLinePunct w:val="0"/>
        <w:autoSpaceDE/>
        <w:autoSpaceDN/>
        <w:bidi w:val="0"/>
        <w:adjustRightInd w:val="0"/>
        <w:snapToGrid w:val="0"/>
        <w:ind w:left="0" w:leftChars="0" w:firstLine="480" w:firstLineChars="200"/>
        <w:jc w:val="left"/>
        <w:textAlignment w:val="auto"/>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运</w:t>
      </w:r>
      <w:r>
        <w:rPr>
          <w:rFonts w:hint="eastAsia" w:cs="Times New Roman"/>
          <w:b w:val="0"/>
          <w:bCs/>
          <w:color w:val="000000" w:themeColor="text1"/>
          <w:szCs w:val="24"/>
          <w:highlight w:val="none"/>
          <w:lang w:val="en-US" w:eastAsia="zh-CN"/>
          <w14:textFill>
            <w14:solidFill>
              <w14:schemeClr w14:val="tx1"/>
            </w14:solidFill>
          </w14:textFill>
        </w:rPr>
        <w:t>营</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期</w:t>
      </w:r>
    </w:p>
    <w:p>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本项目运</w:t>
      </w:r>
      <w:r>
        <w:rPr>
          <w:rFonts w:hint="eastAsia" w:cs="Times New Roman"/>
          <w:b w:val="0"/>
          <w:bCs/>
          <w:color w:val="000000" w:themeColor="text1"/>
          <w:szCs w:val="24"/>
          <w:highlight w:val="none"/>
          <w:lang w:val="en-US" w:eastAsia="zh-CN"/>
          <w14:textFill>
            <w14:solidFill>
              <w14:schemeClr w14:val="tx1"/>
            </w14:solidFill>
          </w14:textFill>
        </w:rPr>
        <w:t>营</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期主要对所产天然气进行</w:t>
      </w:r>
      <w:r>
        <w:rPr>
          <w:rFonts w:hint="eastAsia" w:cs="Times New Roman"/>
          <w:bCs/>
          <w:color w:val="000000" w:themeColor="text1"/>
          <w:szCs w:val="24"/>
          <w:highlight w:val="none"/>
          <w:lang w:val="en-US" w:eastAsia="zh-CN"/>
          <w14:textFill>
            <w14:solidFill>
              <w14:schemeClr w14:val="tx1"/>
            </w14:solidFill>
          </w14:textFill>
        </w:rPr>
        <w:t>试采</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和外输</w:t>
      </w:r>
      <w:r>
        <w:rPr>
          <w:rFonts w:hint="eastAsia" w:cs="Times New Roman"/>
          <w:bCs/>
          <w:color w:val="000000" w:themeColor="text1"/>
          <w:szCs w:val="24"/>
          <w:highlight w:val="none"/>
          <w:lang w:val="en-US"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本项目试采期限为2年，因此运</w:t>
      </w:r>
      <w:r>
        <w:rPr>
          <w:rFonts w:hint="eastAsia" w:cs="Times New Roman"/>
          <w:b w:val="0"/>
          <w:bCs/>
          <w:color w:val="000000" w:themeColor="text1"/>
          <w:szCs w:val="24"/>
          <w:highlight w:val="none"/>
          <w:lang w:val="en-US" w:eastAsia="zh-CN"/>
          <w14:textFill>
            <w14:solidFill>
              <w14:schemeClr w14:val="tx1"/>
            </w14:solidFill>
          </w14:textFill>
        </w:rPr>
        <w:t>营</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期又称“试采期”（后文简称“试采期”）。针对试采工程，具备以下特点：</w:t>
      </w:r>
    </w:p>
    <w:p>
      <w:pPr>
        <w:keepNext w:val="0"/>
        <w:keepLines w:val="0"/>
        <w:widowControl/>
        <w:suppressLineNumbers w:val="0"/>
        <w:jc w:val="left"/>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Cs w:val="24"/>
          <w:highlight w:val="none"/>
          <w:lang w:val="en-US" w:eastAsia="zh-CN"/>
          <w14:textFill>
            <w14:solidFill>
              <w14:schemeClr w14:val="tx1"/>
            </w14:solidFill>
          </w14:textFill>
        </w:rPr>
        <w:t>①本项目开采原料及输送介质为含硫天然气（并涉及气田水），试采期所用主要生产设备均依托下游复建的P106</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集气站，并最终依托已建外输管道进行外输。本项目试采期需建设的工程设施较少，充分依托既有设施进行生产，在节约成本投入的同时，也最大可能的减少新建设施对环境的扰动和影响。</w:t>
      </w:r>
    </w:p>
    <w:p>
      <w:pPr>
        <w:keepNext w:val="0"/>
        <w:keepLines w:val="0"/>
        <w:widowControl/>
        <w:suppressLineNumbers w:val="0"/>
        <w:jc w:val="left"/>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②试采期原辅材料消耗较少，产生的三废均得到妥善处置，可有效减少对区域环境质量产生的不利影响。</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szCs w:val="24"/>
          <w:highlight w:val="none"/>
          <w:lang w:eastAsia="zh-CN"/>
          <w14:textFill>
            <w14:solidFill>
              <w14:schemeClr w14:val="tx1"/>
            </w14:solidFill>
          </w14:textFill>
        </w:rPr>
      </w:pPr>
      <w:bookmarkStart w:id="17" w:name="_Toc23434"/>
      <w:r>
        <w:rPr>
          <w:rFonts w:hint="default" w:ascii="Times New Roman" w:hAnsi="Times New Roman" w:cs="Times New Roman"/>
          <w:color w:val="000000" w:themeColor="text1"/>
          <w:highlight w:val="none"/>
          <w:lang w:eastAsia="zh-CN"/>
          <w14:textFill>
            <w14:solidFill>
              <w14:schemeClr w14:val="tx1"/>
            </w14:solidFill>
          </w14:textFill>
        </w:rPr>
        <w:t>环境影响评价的工作过程</w:t>
      </w:r>
      <w:bookmarkEnd w:id="17"/>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主要评价工作过程如下：</w:t>
      </w:r>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（1）研究国家和地方有关环境保护的法律法规、政策、标准及相关规划等，依据相关规定确定本项目环境影响评价文件类型；</w:t>
      </w:r>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（2）收集和研究项目相关技术文件和其他相关文件，进行初步工程分析，明确本项目的工程组成，根据工程特点确定产排污环节和主要污染物；</w:t>
      </w:r>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（3）结合初步工程分析结果和环境现状资料，识别建设项目的环境影响因素，筛选主要的环境影响评价因子，明确评价重点，确定评价工作等级、评价范围及评价标准；</w:t>
      </w:r>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4）制定工作方案，在进行充分的环境现状调查、监测的基础上开展环境质量现状评价，并进行进一步的工程分析，根据工程分析确定的污染源强以及结合项目区环境特征，采用模型计算和类比调查的方式预测、分析或评价项目建设对环境的影响范围以及引起的环境质量变化情况，从环境保护角度分析论证建设工程的可行性；</w:t>
      </w:r>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（5）在对建设项目实施后可能造成的环境影响进行分析、预测的基础上，提出预防或者减轻不良环境影响的对策和措施，从环境保护的角度提出项目建设的可行性结论，完成环境影响报告书编制。</w:t>
      </w:r>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本项目环境影响评价过程见下图：</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379720" cy="5130165"/>
            <wp:effectExtent l="0" t="0" r="0" b="0"/>
            <wp:docPr id="5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379720" cy="5130165"/>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1-4 </w:t>
      </w:r>
      <w:r>
        <w:rPr>
          <w:rFonts w:hint="default" w:ascii="Times New Roman" w:hAnsi="Times New Roman" w:cs="Times New Roman"/>
          <w:color w:val="000000" w:themeColor="text1"/>
          <w:highlight w:val="none"/>
          <w14:textFill>
            <w14:solidFill>
              <w14:schemeClr w14:val="tx1"/>
            </w14:solidFill>
          </w14:textFill>
        </w:rPr>
        <w:t xml:space="preserve">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环境影响评价程序</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18" w:name="_Toc6785"/>
      <w:r>
        <w:rPr>
          <w:rFonts w:hint="default" w:ascii="Times New Roman" w:hAnsi="Times New Roman" w:cs="Times New Roman"/>
          <w:color w:val="000000" w:themeColor="text1"/>
          <w:highlight w:val="none"/>
          <w:lang w:eastAsia="zh-CN"/>
          <w14:textFill>
            <w14:solidFill>
              <w14:schemeClr w14:val="tx1"/>
            </w14:solidFill>
          </w14:textFill>
        </w:rPr>
        <w:t>分析判定相关情况</w:t>
      </w:r>
      <w:bookmarkEnd w:id="18"/>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本项目符合《产业结构调整指导目录（2024年本）》（</w:t>
      </w:r>
      <w:r>
        <w:rPr>
          <w:rFonts w:hint="default" w:ascii="Times New Roman" w:hAnsi="Times New Roman" w:cs="Times New Roman"/>
          <w:color w:val="000000" w:themeColor="text1"/>
          <w:highlight w:val="none"/>
          <w14:textFill>
            <w14:solidFill>
              <w14:schemeClr w14:val="tx1"/>
            </w14:solidFill>
          </w14:textFill>
        </w:rPr>
        <w:t>中华人民共和国国家发展和改革委员会第7号令，2024年2月1日起施行）</w:t>
      </w:r>
      <w:r>
        <w:rPr>
          <w:rFonts w:hint="default" w:ascii="Times New Roman" w:hAnsi="Times New Roman" w:cs="Times New Roman"/>
          <w:color w:val="000000" w:themeColor="text1"/>
          <w:kern w:val="0"/>
          <w:szCs w:val="20"/>
          <w:highlight w:val="none"/>
          <w14:textFill>
            <w14:solidFill>
              <w14:schemeClr w14:val="tx1"/>
            </w14:solidFill>
          </w14:textFill>
        </w:rPr>
        <w:t>及相关环保政策要求。</w:t>
      </w:r>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本项目未位于四川省达州市划定的生态保护红线区域内，与达州市“三线一单”不冲突；本项目未位于自然保护区、森林公园、风景名胜区等生态敏感区范围内，本项目也不涉及集中式饮用水源保护区。</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19" w:name="_Toc941"/>
      <w:r>
        <w:rPr>
          <w:rFonts w:hint="default" w:ascii="Times New Roman" w:hAnsi="Times New Roman" w:cs="Times New Roman"/>
          <w:color w:val="000000" w:themeColor="text1"/>
          <w:highlight w:val="none"/>
          <w:lang w:eastAsia="zh-CN"/>
          <w14:textFill>
            <w14:solidFill>
              <w14:schemeClr w14:val="tx1"/>
            </w14:solidFill>
          </w14:textFill>
        </w:rPr>
        <w:t>关注的主要环境问题</w:t>
      </w:r>
      <w:bookmarkEnd w:id="19"/>
    </w:p>
    <w:p>
      <w:pPr>
        <w:ind w:firstLine="480"/>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根据本项目特点及周边外环境情况，本次环境影响评价过程中需</w:t>
      </w:r>
      <w:r>
        <w:rPr>
          <w:rFonts w:hint="eastAsia" w:cs="Times New Roman"/>
          <w:bCs/>
          <w:color w:val="000000" w:themeColor="text1"/>
          <w:szCs w:val="24"/>
          <w:highlight w:val="none"/>
          <w:lang w:val="en-US" w:eastAsia="zh-CN"/>
          <w14:textFill>
            <w14:solidFill>
              <w14:schemeClr w14:val="tx1"/>
            </w14:solidFill>
          </w14:textFill>
        </w:rPr>
        <w:t>重点</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关注的环境问题及环境影响如下：</w:t>
      </w:r>
    </w:p>
    <w:p>
      <w:pPr>
        <w:numPr>
          <w:ilvl w:val="0"/>
          <w:numId w:val="5"/>
        </w:numPr>
        <w:ind w:firstLine="480"/>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本项目选址不涉及国家公园、自然保护区、世界自然遗产、重要生境、湿地、饮用水源保护区、重点生态功能保护区、沙化土地封禁保护区等敏感区域，项目也不占用基本农田。但拟建地涉及水土流失重点预防区及水土流失重点治理区，同时项目周边有公益林分布。因此，本次评价重点关注项目的水土流失影响及对周边公益林的影响分析。</w:t>
      </w:r>
    </w:p>
    <w:p>
      <w:pPr>
        <w:keepNext w:val="0"/>
        <w:keepLines w:val="0"/>
        <w:widowControl/>
        <w:numPr>
          <w:ilvl w:val="0"/>
          <w:numId w:val="5"/>
        </w:numPr>
        <w:suppressLineNumbers w:val="0"/>
        <w:ind w:left="0" w:leftChars="0" w:firstLine="480" w:firstLineChars="200"/>
        <w:jc w:val="left"/>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重点关注钻井工程、储层改造工程及油气集输工程等的产生的污染影响。主要体现为重点关注废水（</w:t>
      </w:r>
      <w:r>
        <w:rPr>
          <w:rFonts w:hint="default" w:ascii="Times New Roman" w:hAnsi="Times New Roman" w:cs="Times New Roman"/>
          <w:bCs/>
          <w:color w:val="000000" w:themeColor="text1"/>
          <w:szCs w:val="24"/>
          <w:highlight w:val="none"/>
          <w14:textFill>
            <w14:solidFill>
              <w14:schemeClr w14:val="tx1"/>
            </w14:solidFill>
          </w14:textFill>
        </w:rPr>
        <w:t>钻井废水、洗井废水、压裂返排液、场地</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初期</w:t>
      </w:r>
      <w:r>
        <w:rPr>
          <w:rFonts w:hint="default" w:ascii="Times New Roman" w:hAnsi="Times New Roman" w:cs="Times New Roman"/>
          <w:bCs/>
          <w:color w:val="000000" w:themeColor="text1"/>
          <w:szCs w:val="24"/>
          <w:highlight w:val="none"/>
          <w14:textFill>
            <w14:solidFill>
              <w14:schemeClr w14:val="tx1"/>
            </w14:solidFill>
          </w14:textFill>
        </w:rPr>
        <w:t>雨水</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施工人员生活污水</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以及试采期产生的气田水</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的</w:t>
      </w:r>
      <w:r>
        <w:rPr>
          <w:rFonts w:hint="default" w:ascii="Times New Roman" w:hAnsi="Times New Roman" w:cs="Times New Roman"/>
          <w:bCs/>
          <w:color w:val="000000" w:themeColor="text1"/>
          <w:szCs w:val="24"/>
          <w:highlight w:val="none"/>
          <w14:textFill>
            <w14:solidFill>
              <w14:schemeClr w14:val="tx1"/>
            </w14:solidFill>
          </w14:textFill>
        </w:rPr>
        <w:t>处理</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方式及其</w:t>
      </w:r>
      <w:r>
        <w:rPr>
          <w:rFonts w:hint="default" w:ascii="Times New Roman" w:hAnsi="Times New Roman" w:cs="Times New Roman"/>
          <w:bCs/>
          <w:color w:val="000000" w:themeColor="text1"/>
          <w:szCs w:val="24"/>
          <w:highlight w:val="none"/>
          <w14:textFill>
            <w14:solidFill>
              <w14:schemeClr w14:val="tx1"/>
            </w14:solidFill>
          </w14:textFill>
        </w:rPr>
        <w:t>可行性和可靠性论证</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固废（</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水基钻井固废、油基钻井固废、废油等</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）的</w:t>
      </w:r>
      <w:r>
        <w:rPr>
          <w:rFonts w:hint="default" w:ascii="Times New Roman" w:hAnsi="Times New Roman" w:cs="Times New Roman"/>
          <w:bCs/>
          <w:color w:val="000000" w:themeColor="text1"/>
          <w:szCs w:val="24"/>
          <w:highlight w:val="none"/>
          <w14:textFill>
            <w14:solidFill>
              <w14:schemeClr w14:val="tx1"/>
            </w14:solidFill>
          </w14:textFill>
        </w:rPr>
        <w:t>处理</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方式及其</w:t>
      </w:r>
      <w:r>
        <w:rPr>
          <w:rFonts w:hint="default" w:ascii="Times New Roman" w:hAnsi="Times New Roman" w:cs="Times New Roman"/>
          <w:bCs/>
          <w:color w:val="000000" w:themeColor="text1"/>
          <w:szCs w:val="24"/>
          <w:highlight w:val="none"/>
          <w14:textFill>
            <w14:solidFill>
              <w14:schemeClr w14:val="tx1"/>
            </w14:solidFill>
          </w14:textFill>
        </w:rPr>
        <w:t>可行性和可靠性论证</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尤其注重危险废物（油基钻井固废）的收集、处置措施的可行性和可靠性论证。</w:t>
      </w:r>
    </w:p>
    <w:p>
      <w:pPr>
        <w:keepNext w:val="0"/>
        <w:keepLines w:val="0"/>
        <w:widowControl/>
        <w:numPr>
          <w:ilvl w:val="0"/>
          <w:numId w:val="5"/>
        </w:numPr>
        <w:suppressLineNumbers w:val="0"/>
        <w:ind w:left="0" w:leftChars="0" w:firstLine="480" w:firstLineChars="200"/>
        <w:jc w:val="left"/>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重点关注项目产生的噪声影响，</w:t>
      </w:r>
      <w:r>
        <w:rPr>
          <w:rFonts w:hint="default" w:ascii="Times New Roman" w:hAnsi="Times New Roman" w:cs="Times New Roman"/>
          <w:bCs/>
          <w:color w:val="000000" w:themeColor="text1"/>
          <w:szCs w:val="24"/>
          <w:highlight w:val="none"/>
          <w14:textFill>
            <w14:solidFill>
              <w14:schemeClr w14:val="tx1"/>
            </w14:solidFill>
          </w14:textFill>
        </w:rPr>
        <w:t>环评中注重</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分析项目各阶段（钻井、储层改造等）</w:t>
      </w:r>
      <w:r>
        <w:rPr>
          <w:rFonts w:hint="default" w:ascii="Times New Roman" w:hAnsi="Times New Roman" w:cs="Times New Roman"/>
          <w:bCs/>
          <w:color w:val="000000" w:themeColor="text1"/>
          <w:szCs w:val="24"/>
          <w:highlight w:val="none"/>
          <w14:textFill>
            <w14:solidFill>
              <w14:schemeClr w14:val="tx1"/>
            </w14:solidFill>
          </w14:textFill>
        </w:rPr>
        <w:t>噪声控制措施的可行性论证</w:t>
      </w:r>
      <w:r>
        <w:rPr>
          <w:rFonts w:hint="default" w:ascii="Times New Roman" w:hAnsi="Times New Roman" w:cs="Times New Roman"/>
          <w:bCs/>
          <w:color w:val="000000" w:themeColor="text1"/>
          <w:szCs w:val="24"/>
          <w:highlight w:val="none"/>
          <w:lang w:eastAsia="zh-CN"/>
          <w14:textFill>
            <w14:solidFill>
              <w14:schemeClr w14:val="tx1"/>
            </w14:solidFill>
          </w14:textFill>
        </w:rPr>
        <w:t>。</w:t>
      </w:r>
    </w:p>
    <w:p>
      <w:pPr>
        <w:keepNext w:val="0"/>
        <w:keepLines w:val="0"/>
        <w:widowControl/>
        <w:numPr>
          <w:ilvl w:val="0"/>
          <w:numId w:val="5"/>
        </w:numPr>
        <w:suppressLineNumbers w:val="0"/>
        <w:ind w:left="0" w:leftChars="0" w:firstLine="480" w:firstLineChars="200"/>
        <w:jc w:val="left"/>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本项目试采期主要依托下游P106集气站既有设施进行生产，</w:t>
      </w:r>
      <w:r>
        <w:rPr>
          <w:rFonts w:hint="eastAsia" w:cs="Times New Roman"/>
          <w:bCs/>
          <w:color w:val="000000" w:themeColor="text1"/>
          <w:szCs w:val="24"/>
          <w:highlight w:val="none"/>
          <w:lang w:val="en-US" w:eastAsia="zh-CN"/>
          <w14:textFill>
            <w14:solidFill>
              <w14:schemeClr w14:val="tx1"/>
            </w14:solidFill>
          </w14:textFill>
        </w:rPr>
        <w:t>在钻井期间，需要对P106集气站内已建部分装置区管线、设备等设施进行拆除，待侧钻完成通过测试并获得天然气产量后，再对P106集气站实施恢复建设。</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因此</w:t>
      </w:r>
      <w:r>
        <w:rPr>
          <w:rFonts w:hint="eastAsia" w:cs="Times New Roman"/>
          <w:bCs/>
          <w:color w:val="000000" w:themeColor="text1"/>
          <w:szCs w:val="24"/>
          <w:highlight w:val="none"/>
          <w:lang w:val="en-US" w:eastAsia="zh-CN"/>
          <w14:textFill>
            <w14:solidFill>
              <w14:schemeClr w14:val="tx1"/>
            </w14:solidFill>
          </w14:textFill>
        </w:rPr>
        <w:t>项目</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试采期</w:t>
      </w:r>
      <w:r>
        <w:rPr>
          <w:rFonts w:hint="eastAsia" w:cs="Times New Roman"/>
          <w:bCs/>
          <w:color w:val="000000" w:themeColor="text1"/>
          <w:szCs w:val="24"/>
          <w:highlight w:val="none"/>
          <w:lang w:val="en-US" w:eastAsia="zh-CN"/>
          <w14:textFill>
            <w14:solidFill>
              <w14:schemeClr w14:val="tx1"/>
            </w14:solidFill>
          </w14:textFill>
        </w:rPr>
        <w:t>需</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重点关注依托设施依托可行性分析，</w:t>
      </w:r>
      <w:r>
        <w:rPr>
          <w:rFonts w:hint="eastAsia" w:cs="Times New Roman"/>
          <w:bCs/>
          <w:color w:val="000000" w:themeColor="text1"/>
          <w:szCs w:val="24"/>
          <w:highlight w:val="none"/>
          <w:lang w:val="en-US" w:eastAsia="zh-CN"/>
          <w14:textFill>
            <w14:solidFill>
              <w14:schemeClr w14:val="tx1"/>
            </w14:solidFill>
          </w14:textFill>
        </w:rPr>
        <w:t>同时施工期还需重点关注拆除工程的环境影响及复建可靠性保障措施</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w:t>
      </w:r>
    </w:p>
    <w:p>
      <w:pPr>
        <w:keepNext w:val="0"/>
        <w:keepLines w:val="0"/>
        <w:widowControl/>
        <w:numPr>
          <w:ilvl w:val="0"/>
          <w:numId w:val="5"/>
        </w:numPr>
        <w:suppressLineNumbers w:val="0"/>
        <w:ind w:left="0" w:leftChars="0" w:firstLine="480" w:firstLineChars="200"/>
        <w:jc w:val="left"/>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本项目为含硫气井，需重点关注</w:t>
      </w:r>
      <w:r>
        <w:rPr>
          <w:rFonts w:hint="default" w:ascii="Times New Roman" w:hAnsi="Times New Roman" w:cs="Times New Roman"/>
          <w:bCs/>
          <w:color w:val="000000" w:themeColor="text1"/>
          <w:szCs w:val="24"/>
          <w:highlight w:val="none"/>
          <w14:textFill>
            <w14:solidFill>
              <w14:schemeClr w14:val="tx1"/>
            </w14:solidFill>
          </w14:textFill>
        </w:rPr>
        <w:t>设备</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管道</w:t>
      </w:r>
      <w:r>
        <w:rPr>
          <w:rFonts w:hint="default" w:ascii="Times New Roman" w:hAnsi="Times New Roman" w:cs="Times New Roman"/>
          <w:bCs/>
          <w:color w:val="000000" w:themeColor="text1"/>
          <w:szCs w:val="24"/>
          <w:highlight w:val="none"/>
          <w14:textFill>
            <w14:solidFill>
              <w14:schemeClr w14:val="tx1"/>
            </w14:solidFill>
          </w14:textFill>
        </w:rPr>
        <w:t>等</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发</w:t>
      </w:r>
      <w:r>
        <w:rPr>
          <w:rFonts w:hint="default" w:ascii="Times New Roman" w:hAnsi="Times New Roman" w:cs="Times New Roman"/>
          <w:bCs/>
          <w:color w:val="000000" w:themeColor="text1"/>
          <w:szCs w:val="24"/>
          <w:highlight w:val="none"/>
          <w14:textFill>
            <w14:solidFill>
              <w14:schemeClr w14:val="tx1"/>
            </w14:solidFill>
          </w14:textFill>
        </w:rPr>
        <w:t>生泄漏</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事故</w:t>
      </w:r>
      <w:r>
        <w:rPr>
          <w:rFonts w:hint="default" w:ascii="Times New Roman" w:hAnsi="Times New Roman" w:cs="Times New Roman"/>
          <w:bCs/>
          <w:color w:val="000000" w:themeColor="text1"/>
          <w:szCs w:val="24"/>
          <w:highlight w:val="none"/>
          <w14:textFill>
            <w14:solidFill>
              <w14:schemeClr w14:val="tx1"/>
            </w14:solidFill>
          </w14:textFill>
        </w:rPr>
        <w:t>以及钻井工程井喷事故的环境风险</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问题，评价过程中需对项目可能产生的环境风险进行重点评价分析</w:t>
      </w:r>
      <w:r>
        <w:rPr>
          <w:rFonts w:hint="eastAsia" w:cs="Times New Roman"/>
          <w:bCs/>
          <w:color w:val="000000" w:themeColor="text1"/>
          <w:szCs w:val="24"/>
          <w:highlight w:val="none"/>
          <w:lang w:val="en-US"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同时还需重点关注</w:t>
      </w:r>
      <w:r>
        <w:rPr>
          <w:rFonts w:hint="default" w:ascii="Times New Roman" w:hAnsi="Times New Roman" w:cs="Times New Roman"/>
          <w:bCs/>
          <w:color w:val="000000" w:themeColor="text1"/>
          <w:szCs w:val="24"/>
          <w:highlight w:val="none"/>
          <w14:textFill>
            <w14:solidFill>
              <w14:schemeClr w14:val="tx1"/>
            </w14:solidFill>
          </w14:textFill>
        </w:rPr>
        <w:t>非正常工况下的检修废气和事故放空废气</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的环境影响。</w:t>
      </w:r>
    </w:p>
    <w:p>
      <w:pPr>
        <w:keepNext w:val="0"/>
        <w:keepLines w:val="0"/>
        <w:widowControl/>
        <w:suppressLineNumbers w:val="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6</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对已建工程进行回顾介绍，重点分析</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已建工程</w:t>
      </w:r>
      <w:r>
        <w:rPr>
          <w:rFonts w:hint="default" w:ascii="Times New Roman" w:hAnsi="Times New Roman" w:cs="Times New Roman"/>
          <w:color w:val="000000" w:themeColor="text1"/>
          <w:kern w:val="0"/>
          <w:sz w:val="24"/>
          <w:szCs w:val="24"/>
          <w:highlight w:val="none"/>
          <w:lang w:val="en-US" w:eastAsia="zh-CN" w:bidi="ar"/>
          <w14:textFill>
            <w14:solidFill>
              <w14:schemeClr w14:val="tx1"/>
            </w14:solidFill>
          </w14:textFill>
        </w:rPr>
        <w:t>是否存在遗留环境问题及整改措施情况</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20" w:name="_Toc21027"/>
      <w:r>
        <w:rPr>
          <w:rFonts w:hint="default" w:ascii="Times New Roman" w:hAnsi="Times New Roman" w:cs="Times New Roman"/>
          <w:color w:val="000000" w:themeColor="text1"/>
          <w:highlight w:val="none"/>
          <w:lang w:eastAsia="zh-CN"/>
          <w14:textFill>
            <w14:solidFill>
              <w14:schemeClr w14:val="tx1"/>
            </w14:solidFill>
          </w14:textFill>
        </w:rPr>
        <w:t>环境影响评价的主要结论</w:t>
      </w:r>
      <w:bookmarkEnd w:id="20"/>
    </w:p>
    <w:p>
      <w:pPr>
        <w:keepNext w:val="0"/>
        <w:keepLines w:val="0"/>
        <w:widowControl/>
        <w:suppressLineNumbers w:val="0"/>
        <w:jc w:val="left"/>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本项目符合国家产业政策，与当地规划相容，符合有关石油天然气发展的能源规划；所在区域环境空气质量现状较好；建设期间对生态环境、地表水、地下水、大气、土壤、声环境影响</w:t>
      </w:r>
      <w:r>
        <w:rPr>
          <w:rFonts w:hint="eastAsia" w:cs="Times New Roman"/>
          <w:bCs/>
          <w:color w:val="000000" w:themeColor="text1"/>
          <w:szCs w:val="24"/>
          <w:highlight w:val="none"/>
          <w:lang w:val="en-US" w:eastAsia="zh-CN"/>
          <w14:textFill>
            <w14:solidFill>
              <w14:schemeClr w14:val="tx1"/>
            </w14:solidFill>
          </w14:textFill>
        </w:rPr>
        <w:t>较</w:t>
      </w:r>
      <w:r>
        <w:rPr>
          <w:rFonts w:hint="default" w:ascii="Times New Roman" w:hAnsi="Times New Roman" w:cs="Times New Roman"/>
          <w:bCs/>
          <w:color w:val="000000" w:themeColor="text1"/>
          <w:szCs w:val="24"/>
          <w:highlight w:val="none"/>
          <w14:textFill>
            <w14:solidFill>
              <w14:schemeClr w14:val="tx1"/>
            </w14:solidFill>
          </w14:textFill>
        </w:rPr>
        <w:t>小，不改变区域的环境功能；该项目达到清洁生产国内先进水平，采用的环保措施可行，社会、经济效益十分显著；建设项目环境可行，选址合理；该工程采取的环境风险措施可靠，在落实风险防范措施及应急预案后，环境风险达到可接受水平；所采取的废水、固体废物和噪声防治措施以及水土保持措施可行有效，在建设过</w:t>
      </w:r>
      <w:r>
        <w:rPr>
          <w:rFonts w:hint="default" w:ascii="Times New Roman" w:hAnsi="Times New Roman" w:cs="Times New Roman"/>
          <w:bCs/>
          <w:color w:val="000000" w:themeColor="text1"/>
          <w:szCs w:val="24"/>
          <w:highlight w:val="none"/>
          <w:lang w:eastAsia="zh-CN"/>
          <w14:textFill>
            <w14:solidFill>
              <w14:schemeClr w14:val="tx1"/>
            </w14:solidFill>
          </w14:textFill>
        </w:rPr>
        <w:t>程中</w:t>
      </w:r>
      <w:r>
        <w:rPr>
          <w:rFonts w:hint="default" w:ascii="Times New Roman" w:hAnsi="Times New Roman" w:cs="Times New Roman"/>
          <w:bCs/>
          <w:color w:val="000000" w:themeColor="text1"/>
          <w:szCs w:val="24"/>
          <w:highlight w:val="none"/>
          <w14:textFill>
            <w14:solidFill>
              <w14:schemeClr w14:val="tx1"/>
            </w14:solidFill>
          </w14:textFill>
        </w:rPr>
        <w:t>认真落实报告提出的各项污染防治</w:t>
      </w:r>
      <w:r>
        <w:rPr>
          <w:rFonts w:hint="eastAsia" w:cs="Times New Roman"/>
          <w:bCs/>
          <w:color w:val="000000" w:themeColor="text1"/>
          <w:szCs w:val="24"/>
          <w:highlight w:val="none"/>
          <w:lang w:val="en-US" w:eastAsia="zh-CN"/>
          <w14:textFill>
            <w14:solidFill>
              <w14:schemeClr w14:val="tx1"/>
            </w14:solidFill>
          </w14:textFill>
        </w:rPr>
        <w:t>及生态保护</w:t>
      </w:r>
      <w:r>
        <w:rPr>
          <w:rFonts w:hint="default" w:ascii="Times New Roman" w:hAnsi="Times New Roman" w:cs="Times New Roman"/>
          <w:bCs/>
          <w:color w:val="000000" w:themeColor="text1"/>
          <w:szCs w:val="24"/>
          <w:highlight w:val="none"/>
          <w14:textFill>
            <w14:solidFill>
              <w14:schemeClr w14:val="tx1"/>
            </w14:solidFill>
          </w14:textFill>
        </w:rPr>
        <w:t>措施</w:t>
      </w:r>
      <w:r>
        <w:rPr>
          <w:rFonts w:hint="eastAsia" w:cs="Times New Roman"/>
          <w:bCs/>
          <w:color w:val="000000" w:themeColor="text1"/>
          <w:szCs w:val="24"/>
          <w:highlight w:val="none"/>
          <w:lang w:val="en-US" w:eastAsia="zh-CN"/>
          <w14:textFill>
            <w14:solidFill>
              <w14:schemeClr w14:val="tx1"/>
            </w14:solidFill>
          </w14:textFill>
        </w:rPr>
        <w:t>和应急预案</w:t>
      </w:r>
      <w:r>
        <w:rPr>
          <w:rFonts w:hint="default" w:ascii="Times New Roman" w:hAnsi="Times New Roman" w:cs="Times New Roman"/>
          <w:bCs/>
          <w:color w:val="000000" w:themeColor="text1"/>
          <w:szCs w:val="24"/>
          <w:highlight w:val="none"/>
          <w14:textFill>
            <w14:solidFill>
              <w14:schemeClr w14:val="tx1"/>
            </w14:solidFill>
          </w14:textFill>
        </w:rPr>
        <w:t>后，对周围环境影响</w:t>
      </w:r>
      <w:r>
        <w:rPr>
          <w:rFonts w:hint="eastAsia" w:cs="Times New Roman"/>
          <w:bCs/>
          <w:color w:val="000000" w:themeColor="text1"/>
          <w:szCs w:val="24"/>
          <w:highlight w:val="none"/>
          <w:lang w:val="en-US" w:eastAsia="zh-CN"/>
          <w14:textFill>
            <w14:solidFill>
              <w14:schemeClr w14:val="tx1"/>
            </w14:solidFill>
          </w14:textFill>
        </w:rPr>
        <w:t>较小</w:t>
      </w:r>
      <w:r>
        <w:rPr>
          <w:rFonts w:hint="default" w:ascii="Times New Roman" w:hAnsi="Times New Roman" w:cs="Times New Roman"/>
          <w:bCs/>
          <w:color w:val="000000" w:themeColor="text1"/>
          <w:szCs w:val="24"/>
          <w:highlight w:val="none"/>
          <w14:textFill>
            <w14:solidFill>
              <w14:schemeClr w14:val="tx1"/>
            </w14:solidFill>
          </w14:textFill>
        </w:rPr>
        <w:t>。从环境角度而言，无明显制约项目建设的环境因素，本项目建设是可行的。</w:t>
      </w:r>
    </w:p>
    <w:p>
      <w:pPr>
        <w:tabs>
          <w:tab w:val="left" w:pos="0"/>
        </w:tabs>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综上，项目建设无明显制约的环境因素，建设过程中认真落实报告提出的各项污染防治、生态保护措施和应急预案后，从环境保护角度而言，本项目建设是可行的。</w:t>
      </w:r>
    </w:p>
    <w:p>
      <w:pPr>
        <w:ind w:firstLine="480"/>
        <w:rPr>
          <w:rFonts w:hint="default" w:ascii="Times New Roman" w:hAnsi="Times New Roman" w:cs="Times New Roman"/>
          <w:color w:val="000000" w:themeColor="text1"/>
          <w:highlight w:val="none"/>
          <w14:textFill>
            <w14:solidFill>
              <w14:schemeClr w14:val="tx1"/>
            </w14:solidFill>
          </w14:textFill>
        </w:rPr>
        <w:sectPr>
          <w:headerReference r:id="rId12" w:type="default"/>
          <w:footerReference r:id="rId13" w:type="default"/>
          <w:footerReference r:id="rId14" w:type="even"/>
          <w:type w:val="nextColumn"/>
          <w:pgSz w:w="11910" w:h="16840"/>
          <w:pgMar w:top="1440" w:right="1800" w:bottom="1440" w:left="1800" w:header="964" w:footer="964" w:gutter="0"/>
          <w:pgBorders>
            <w:top w:val="none" w:sz="0" w:space="0"/>
            <w:left w:val="none" w:sz="0" w:space="0"/>
            <w:bottom w:val="none" w:sz="0" w:space="0"/>
            <w:right w:val="none" w:sz="0" w:space="0"/>
          </w:pgBorders>
          <w:pgNumType w:start="1"/>
          <w:cols w:space="720" w:num="1"/>
          <w:docGrid w:linePitch="326" w:charSpace="0"/>
        </w:sectPr>
      </w:pPr>
    </w:p>
    <w:p>
      <w:pPr>
        <w:pStyle w:val="2"/>
        <w:rPr>
          <w:rFonts w:hint="default" w:ascii="Times New Roman" w:hAnsi="Times New Roman" w:cs="Times New Roman"/>
          <w:color w:val="000000" w:themeColor="text1"/>
          <w:highlight w:val="none"/>
          <w14:textFill>
            <w14:solidFill>
              <w14:schemeClr w14:val="tx1"/>
            </w14:solidFill>
          </w14:textFill>
        </w:rPr>
      </w:pPr>
      <w:bookmarkStart w:id="21" w:name="_Toc5181"/>
      <w:r>
        <w:rPr>
          <w:rFonts w:hint="default" w:ascii="Times New Roman" w:hAnsi="Times New Roman" w:cs="Times New Roman"/>
          <w:color w:val="000000" w:themeColor="text1"/>
          <w:highlight w:val="none"/>
          <w14:textFill>
            <w14:solidFill>
              <w14:schemeClr w14:val="tx1"/>
            </w14:solidFill>
          </w14:textFill>
        </w:rPr>
        <w:t>总则</w:t>
      </w:r>
      <w:bookmarkEnd w:id="21"/>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22" w:name="_Toc9005"/>
      <w:r>
        <w:rPr>
          <w:rFonts w:hint="default" w:ascii="Times New Roman" w:hAnsi="Times New Roman" w:cs="Times New Roman"/>
          <w:color w:val="000000" w:themeColor="text1"/>
          <w:highlight w:val="none"/>
          <w:lang w:eastAsia="zh-CN"/>
          <w14:textFill>
            <w14:solidFill>
              <w14:schemeClr w14:val="tx1"/>
            </w14:solidFill>
          </w14:textFill>
        </w:rPr>
        <w:t>评价目的</w:t>
      </w:r>
      <w:bookmarkEnd w:id="22"/>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通过对区域现状环境质量、自然生态等的调查，在现状调查和工程分析的基础上，对项目及区域的主要环境影响因子进行分析、预测、评价，确定项目对区域生态、</w:t>
      </w:r>
      <w:r>
        <w:rPr>
          <w:rFonts w:hint="eastAsia" w:cs="Times New Roman"/>
          <w:bCs/>
          <w:color w:val="000000" w:themeColor="text1"/>
          <w:szCs w:val="24"/>
          <w:highlight w:val="none"/>
          <w:lang w:val="en-US" w:eastAsia="zh-CN"/>
          <w14:textFill>
            <w14:solidFill>
              <w14:schemeClr w14:val="tx1"/>
            </w14:solidFill>
          </w14:textFill>
        </w:rPr>
        <w:t>大气、</w:t>
      </w:r>
      <w:r>
        <w:rPr>
          <w:rFonts w:hint="default" w:ascii="Times New Roman" w:hAnsi="Times New Roman" w:cs="Times New Roman"/>
          <w:bCs/>
          <w:color w:val="000000" w:themeColor="text1"/>
          <w:szCs w:val="24"/>
          <w:highlight w:val="none"/>
          <w14:textFill>
            <w14:solidFill>
              <w14:schemeClr w14:val="tx1"/>
            </w14:solidFill>
          </w14:textFill>
        </w:rPr>
        <w:t>水、声</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lang w:val="en-US" w:eastAsia="zh-CN"/>
          <w14:textFill>
            <w14:solidFill>
              <w14:schemeClr w14:val="tx1"/>
            </w14:solidFill>
          </w14:textFill>
        </w:rPr>
        <w:t>土壤</w:t>
      </w:r>
      <w:r>
        <w:rPr>
          <w:rFonts w:hint="default" w:ascii="Times New Roman" w:hAnsi="Times New Roman" w:cs="Times New Roman"/>
          <w:bCs/>
          <w:color w:val="000000" w:themeColor="text1"/>
          <w:szCs w:val="24"/>
          <w:highlight w:val="none"/>
          <w14:textFill>
            <w14:solidFill>
              <w14:schemeClr w14:val="tx1"/>
            </w14:solidFill>
          </w14:textFill>
        </w:rPr>
        <w:t>等环境</w:t>
      </w:r>
      <w:r>
        <w:rPr>
          <w:rFonts w:hint="eastAsia" w:cs="Times New Roman"/>
          <w:bCs/>
          <w:color w:val="000000" w:themeColor="text1"/>
          <w:szCs w:val="24"/>
          <w:highlight w:val="none"/>
          <w:lang w:val="en-US" w:eastAsia="zh-CN"/>
          <w14:textFill>
            <w14:solidFill>
              <w14:schemeClr w14:val="tx1"/>
            </w14:solidFill>
          </w14:textFill>
        </w:rPr>
        <w:t>要素的</w:t>
      </w:r>
      <w:r>
        <w:rPr>
          <w:rFonts w:hint="default" w:ascii="Times New Roman" w:hAnsi="Times New Roman" w:cs="Times New Roman"/>
          <w:bCs/>
          <w:color w:val="000000" w:themeColor="text1"/>
          <w:szCs w:val="24"/>
          <w:highlight w:val="none"/>
          <w14:textFill>
            <w14:solidFill>
              <w14:schemeClr w14:val="tx1"/>
            </w14:solidFill>
          </w14:textFill>
        </w:rPr>
        <w:t>影响程度及范围，分析可能存在的环境风险。同时，从环保角度提出工程拟采取的污染治理措施</w:t>
      </w:r>
      <w:r>
        <w:rPr>
          <w:rFonts w:hint="eastAsia" w:cs="Times New Roman"/>
          <w:bCs/>
          <w:color w:val="000000" w:themeColor="text1"/>
          <w:szCs w:val="24"/>
          <w:highlight w:val="none"/>
          <w:lang w:val="en-US" w:eastAsia="zh-CN"/>
          <w14:textFill>
            <w14:solidFill>
              <w14:schemeClr w14:val="tx1"/>
            </w14:solidFill>
          </w14:textFill>
        </w:rPr>
        <w:t>及生态保护措施，</w:t>
      </w:r>
      <w:r>
        <w:rPr>
          <w:rFonts w:hint="default" w:ascii="Times New Roman" w:hAnsi="Times New Roman" w:cs="Times New Roman"/>
          <w:bCs/>
          <w:color w:val="000000" w:themeColor="text1"/>
          <w:szCs w:val="24"/>
          <w:highlight w:val="none"/>
          <w14:textFill>
            <w14:solidFill>
              <w14:schemeClr w14:val="tx1"/>
            </w14:solidFill>
          </w14:textFill>
        </w:rPr>
        <w:t>并论证环保措施的可行性；分析污染物总量控制要求；</w:t>
      </w:r>
      <w:r>
        <w:rPr>
          <w:rFonts w:hint="eastAsia" w:cs="Times New Roman"/>
          <w:bCs/>
          <w:color w:val="000000" w:themeColor="text1"/>
          <w:szCs w:val="24"/>
          <w:highlight w:val="none"/>
          <w:lang w:val="en-US" w:eastAsia="zh-CN"/>
          <w14:textFill>
            <w14:solidFill>
              <w14:schemeClr w14:val="tx1"/>
            </w14:solidFill>
          </w14:textFill>
        </w:rPr>
        <w:t>论证项目的选址合理性。</w:t>
      </w:r>
      <w:r>
        <w:rPr>
          <w:rFonts w:hint="default" w:ascii="Times New Roman" w:hAnsi="Times New Roman" w:cs="Times New Roman"/>
          <w:bCs/>
          <w:color w:val="000000" w:themeColor="text1"/>
          <w:szCs w:val="24"/>
          <w:highlight w:val="none"/>
          <w14:textFill>
            <w14:solidFill>
              <w14:schemeClr w14:val="tx1"/>
            </w14:solidFill>
          </w14:textFill>
        </w:rPr>
        <w:t>并就项目建设环境可行性做出结论，为环境保护</w:t>
      </w:r>
      <w:r>
        <w:rPr>
          <w:rFonts w:hint="eastAsia" w:cs="Times New Roman"/>
          <w:bCs/>
          <w:color w:val="000000" w:themeColor="text1"/>
          <w:szCs w:val="24"/>
          <w:highlight w:val="none"/>
          <w:lang w:val="en-US" w:eastAsia="zh-CN"/>
          <w14:textFill>
            <w14:solidFill>
              <w14:schemeClr w14:val="tx1"/>
            </w14:solidFill>
          </w14:textFill>
        </w:rPr>
        <w:t>管理</w:t>
      </w:r>
      <w:r>
        <w:rPr>
          <w:rFonts w:hint="default" w:ascii="Times New Roman" w:hAnsi="Times New Roman" w:cs="Times New Roman"/>
          <w:bCs/>
          <w:color w:val="000000" w:themeColor="text1"/>
          <w:szCs w:val="24"/>
          <w:highlight w:val="none"/>
          <w14:textFill>
            <w14:solidFill>
              <w14:schemeClr w14:val="tx1"/>
            </w14:solidFill>
          </w14:textFill>
        </w:rPr>
        <w:t>部门提供可靠的决策依据，为建设单位环境管理提供科学依据，达到保护好区域环境的目的。</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23" w:name="_Toc7575"/>
      <w:r>
        <w:rPr>
          <w:rFonts w:hint="default" w:ascii="Times New Roman" w:hAnsi="Times New Roman" w:cs="Times New Roman"/>
          <w:color w:val="000000" w:themeColor="text1"/>
          <w:highlight w:val="none"/>
          <w:lang w:eastAsia="zh-CN"/>
          <w14:textFill>
            <w14:solidFill>
              <w14:schemeClr w14:val="tx1"/>
            </w14:solidFill>
          </w14:textFill>
        </w:rPr>
        <w:t>评价原则</w:t>
      </w:r>
      <w:bookmarkEnd w:id="23"/>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突出环境影响评价的源头预防作用，坚持保护和改善环境质量。</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（1）依法评价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贯彻执行我国环境保护相关法律法规、标准、政策和规划等，优化项目建设，服务环境管理。</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（2）科学评价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规范环境影响评价方法，科学分析项目建设对环境质量的影响。</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（3）突出重点</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根据建设项目的工程内容及其特点，明确与环境要素间的作用效应关系，充分利用符合时效的数据资料及成果，对建设项目主要环境影响予以重点分析和评价。</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24" w:name="_Toc988"/>
      <w:r>
        <w:rPr>
          <w:rFonts w:hint="default" w:ascii="Times New Roman" w:hAnsi="Times New Roman" w:cs="Times New Roman"/>
          <w:color w:val="000000" w:themeColor="text1"/>
          <w:highlight w:val="none"/>
          <w:lang w:eastAsia="zh-CN"/>
          <w14:textFill>
            <w14:solidFill>
              <w14:schemeClr w14:val="tx1"/>
            </w14:solidFill>
          </w14:textFill>
        </w:rPr>
        <w:t>编制依据</w:t>
      </w:r>
      <w:bookmarkEnd w:id="24"/>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25" w:name="_Toc120173054"/>
      <w:r>
        <w:rPr>
          <w:rFonts w:hint="default" w:ascii="Times New Roman" w:hAnsi="Times New Roman" w:cs="Times New Roman"/>
          <w:color w:val="000000" w:themeColor="text1"/>
          <w:highlight w:val="none"/>
          <w:lang w:eastAsia="zh-CN"/>
          <w14:textFill>
            <w14:solidFill>
              <w14:schemeClr w14:val="tx1"/>
            </w14:solidFill>
          </w14:textFill>
        </w:rPr>
        <w:t>1法律、法规</w:t>
      </w:r>
      <w:bookmarkEnd w:id="25"/>
    </w:p>
    <w:p>
      <w:pPr>
        <w:pStyle w:val="21"/>
        <w:pageBreakBefore w:val="0"/>
        <w:kinsoku/>
        <w:wordWrap/>
        <w:overflowPunct/>
        <w:topLinePunct w:val="0"/>
        <w:autoSpaceDE/>
        <w:autoSpaceDN/>
        <w:bidi w:val="0"/>
        <w:adjustRightInd w:val="0"/>
        <w:snapToGrid w:val="0"/>
        <w:spacing w:before="0"/>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highlight w:val="none"/>
          <w:lang w:eastAsia="zh-CN"/>
          <w14:textFill>
            <w14:solidFill>
              <w14:schemeClr w14:val="tx1"/>
            </w14:solidFill>
          </w14:textFill>
        </w:rPr>
        <w:t>1</w:t>
      </w:r>
      <w:r>
        <w:rPr>
          <w:rFonts w:hint="default" w:ascii="Times New Roman" w:hAnsi="Times New Roman" w:cs="Times New Roman"/>
          <w:color w:val="000000" w:themeColor="text1"/>
          <w:highlight w:val="none"/>
          <w:lang w:eastAsia="zh-CN"/>
          <w14:textFill>
            <w14:solidFill>
              <w14:schemeClr w14:val="tx1"/>
            </w14:solidFill>
          </w14:textFill>
        </w:rPr>
        <w:t>）《〈中华人民共和国环境保护法〉（</w:t>
      </w:r>
      <w:r>
        <w:rPr>
          <w:rFonts w:hint="default" w:ascii="Times New Roman" w:hAnsi="Times New Roman" w:eastAsia="Times New Roman" w:cs="Times New Roman"/>
          <w:color w:val="000000" w:themeColor="text1"/>
          <w:highlight w:val="none"/>
          <w:lang w:eastAsia="zh-CN"/>
          <w14:textFill>
            <w14:solidFill>
              <w14:schemeClr w14:val="tx1"/>
            </w14:solidFill>
          </w14:textFill>
        </w:rPr>
        <w:t>2014</w:t>
      </w:r>
      <w:r>
        <w:rPr>
          <w:rFonts w:hint="default" w:ascii="Times New Roman" w:hAnsi="Times New Roman" w:cs="Times New Roman"/>
          <w:color w:val="000000" w:themeColor="text1"/>
          <w:spacing w:val="-27"/>
          <w:highlight w:val="none"/>
          <w:lang w:eastAsia="zh-CN"/>
          <w14:textFill>
            <w14:solidFill>
              <w14:schemeClr w14:val="tx1"/>
            </w14:solidFill>
          </w14:textFill>
        </w:rPr>
        <w:t>修订）》，</w:t>
      </w:r>
      <w:r>
        <w:rPr>
          <w:rFonts w:hint="default" w:ascii="Times New Roman" w:hAnsi="Times New Roman" w:eastAsia="Times New Roman" w:cs="Times New Roman"/>
          <w:color w:val="000000" w:themeColor="text1"/>
          <w:spacing w:val="-27"/>
          <w:highlight w:val="none"/>
          <w:lang w:eastAsia="zh-CN"/>
          <w14:textFill>
            <w14:solidFill>
              <w14:schemeClr w14:val="tx1"/>
            </w14:solidFill>
          </w14:textFill>
        </w:rPr>
        <w:t>2015</w:t>
      </w:r>
      <w:r>
        <w:rPr>
          <w:rFonts w:hint="default" w:ascii="Times New Roman" w:hAnsi="Times New Roman" w:cs="Times New Roman"/>
          <w:color w:val="000000" w:themeColor="text1"/>
          <w:highlight w:val="none"/>
          <w:lang w:eastAsia="zh-CN"/>
          <w14:textFill>
            <w14:solidFill>
              <w14:schemeClr w14:val="tx1"/>
            </w14:solidFill>
          </w14:textFill>
        </w:rPr>
        <w:t>年</w:t>
      </w:r>
      <w:r>
        <w:rPr>
          <w:rFonts w:hint="default" w:ascii="Times New Roman" w:hAnsi="Times New Roman" w:eastAsia="Times New Roman" w:cs="Times New Roman"/>
          <w:color w:val="000000" w:themeColor="text1"/>
          <w:highlight w:val="none"/>
          <w:lang w:eastAsia="zh-CN"/>
          <w14:textFill>
            <w14:solidFill>
              <w14:schemeClr w14:val="tx1"/>
            </w14:solidFill>
          </w14:textFill>
        </w:rPr>
        <w:t>1</w:t>
      </w:r>
      <w:r>
        <w:rPr>
          <w:rFonts w:hint="default" w:ascii="Times New Roman" w:hAnsi="Times New Roman" w:cs="Times New Roman"/>
          <w:color w:val="000000" w:themeColor="text1"/>
          <w:highlight w:val="none"/>
          <w:lang w:eastAsia="zh-CN"/>
          <w14:textFill>
            <w14:solidFill>
              <w14:schemeClr w14:val="tx1"/>
            </w14:solidFill>
          </w14:textFill>
        </w:rPr>
        <w:t>月</w:t>
      </w:r>
      <w:r>
        <w:rPr>
          <w:rFonts w:hint="default" w:ascii="Times New Roman" w:hAnsi="Times New Roman" w:eastAsia="Times New Roman" w:cs="Times New Roman"/>
          <w:color w:val="000000" w:themeColor="text1"/>
          <w:highlight w:val="none"/>
          <w:lang w:eastAsia="zh-CN"/>
          <w14:textFill>
            <w14:solidFill>
              <w14:schemeClr w14:val="tx1"/>
            </w14:solidFill>
          </w14:textFill>
        </w:rPr>
        <w:t>1</w:t>
      </w:r>
      <w:r>
        <w:rPr>
          <w:rFonts w:hint="default" w:ascii="Times New Roman" w:hAnsi="Times New Roman" w:cs="Times New Roman"/>
          <w:color w:val="000000" w:themeColor="text1"/>
          <w:highlight w:val="none"/>
          <w:lang w:eastAsia="zh-CN"/>
          <w14:textFill>
            <w14:solidFill>
              <w14:schemeClr w14:val="tx1"/>
            </w14:solidFill>
          </w14:textFill>
        </w:rPr>
        <w:t>日起施行；</w:t>
      </w:r>
    </w:p>
    <w:p>
      <w:pPr>
        <w:pStyle w:val="21"/>
        <w:pageBreakBefore w:val="0"/>
        <w:kinsoku/>
        <w:wordWrap/>
        <w:overflowPunct/>
        <w:topLinePunct w:val="0"/>
        <w:autoSpaceDE/>
        <w:autoSpaceDN/>
        <w:bidi w:val="0"/>
        <w:adjustRightInd w:val="0"/>
        <w:snapToGrid w:val="0"/>
        <w:spacing w:before="0"/>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highlight w:val="none"/>
          <w:lang w:eastAsia="zh-CN"/>
          <w14:textFill>
            <w14:solidFill>
              <w14:schemeClr w14:val="tx1"/>
            </w14:solidFill>
          </w14:textFill>
        </w:rPr>
        <w:t>2</w:t>
      </w:r>
      <w:r>
        <w:rPr>
          <w:rFonts w:hint="default" w:ascii="Times New Roman" w:hAnsi="Times New Roman" w:cs="Times New Roman"/>
          <w:color w:val="000000" w:themeColor="text1"/>
          <w:highlight w:val="none"/>
          <w:lang w:eastAsia="zh-CN"/>
          <w14:textFill>
            <w14:solidFill>
              <w14:schemeClr w14:val="tx1"/>
            </w14:solidFill>
          </w14:textFill>
        </w:rPr>
        <w:t>）《中华人民共和国环境影响评价法（</w:t>
      </w:r>
      <w:r>
        <w:rPr>
          <w:rFonts w:hint="default" w:ascii="Times New Roman" w:hAnsi="Times New Roman" w:eastAsia="Times New Roman" w:cs="Times New Roman"/>
          <w:color w:val="000000" w:themeColor="text1"/>
          <w:highlight w:val="none"/>
          <w:lang w:eastAsia="zh-CN"/>
          <w14:textFill>
            <w14:solidFill>
              <w14:schemeClr w14:val="tx1"/>
            </w14:solidFill>
          </w14:textFill>
        </w:rPr>
        <w:t>2018</w:t>
      </w:r>
      <w:r>
        <w:rPr>
          <w:rFonts w:hint="default" w:ascii="Times New Roman" w:hAnsi="Times New Roman" w:cs="Times New Roman"/>
          <w:color w:val="000000" w:themeColor="text1"/>
          <w:spacing w:val="-27"/>
          <w:highlight w:val="none"/>
          <w:lang w:eastAsia="zh-CN"/>
          <w14:textFill>
            <w14:solidFill>
              <w14:schemeClr w14:val="tx1"/>
            </w14:solidFill>
          </w14:textFill>
        </w:rPr>
        <w:t>修订）》，</w:t>
      </w:r>
      <w:r>
        <w:rPr>
          <w:rFonts w:hint="default" w:ascii="Times New Roman" w:hAnsi="Times New Roman" w:eastAsia="Times New Roman" w:cs="Times New Roman"/>
          <w:color w:val="000000" w:themeColor="text1"/>
          <w:spacing w:val="-27"/>
          <w:highlight w:val="none"/>
          <w:lang w:eastAsia="zh-CN"/>
          <w14:textFill>
            <w14:solidFill>
              <w14:schemeClr w14:val="tx1"/>
            </w14:solidFill>
          </w14:textFill>
        </w:rPr>
        <w:t>2018</w:t>
      </w:r>
      <w:r>
        <w:rPr>
          <w:rFonts w:hint="default" w:ascii="Times New Roman" w:hAnsi="Times New Roman" w:cs="Times New Roman"/>
          <w:color w:val="000000" w:themeColor="text1"/>
          <w:highlight w:val="none"/>
          <w:lang w:eastAsia="zh-CN"/>
          <w14:textFill>
            <w14:solidFill>
              <w14:schemeClr w14:val="tx1"/>
            </w14:solidFill>
          </w14:textFill>
        </w:rPr>
        <w:t>年</w:t>
      </w:r>
      <w:r>
        <w:rPr>
          <w:rFonts w:hint="default" w:ascii="Times New Roman" w:hAnsi="Times New Roman" w:eastAsia="Times New Roman" w:cs="Times New Roman"/>
          <w:color w:val="000000" w:themeColor="text1"/>
          <w:highlight w:val="none"/>
          <w:lang w:eastAsia="zh-CN"/>
          <w14:textFill>
            <w14:solidFill>
              <w14:schemeClr w14:val="tx1"/>
            </w14:solidFill>
          </w14:textFill>
        </w:rPr>
        <w:t>12</w:t>
      </w:r>
      <w:r>
        <w:rPr>
          <w:rFonts w:hint="default" w:ascii="Times New Roman" w:hAnsi="Times New Roman" w:cs="Times New Roman"/>
          <w:color w:val="000000" w:themeColor="text1"/>
          <w:highlight w:val="none"/>
          <w:lang w:eastAsia="zh-CN"/>
          <w14:textFill>
            <w14:solidFill>
              <w14:schemeClr w14:val="tx1"/>
            </w14:solidFill>
          </w14:textFill>
        </w:rPr>
        <w:t>月</w:t>
      </w:r>
      <w:r>
        <w:rPr>
          <w:rFonts w:hint="default" w:ascii="Times New Roman" w:hAnsi="Times New Roman" w:eastAsia="Times New Roman" w:cs="Times New Roman"/>
          <w:color w:val="000000" w:themeColor="text1"/>
          <w:highlight w:val="none"/>
          <w:lang w:eastAsia="zh-CN"/>
          <w14:textFill>
            <w14:solidFill>
              <w14:schemeClr w14:val="tx1"/>
            </w14:solidFill>
          </w14:textFill>
        </w:rPr>
        <w:t>29</w:t>
      </w:r>
      <w:r>
        <w:rPr>
          <w:rFonts w:hint="default" w:ascii="Times New Roman" w:hAnsi="Times New Roman" w:cs="Times New Roman"/>
          <w:color w:val="000000" w:themeColor="text1"/>
          <w:highlight w:val="none"/>
          <w:lang w:eastAsia="zh-CN"/>
          <w14:textFill>
            <w14:solidFill>
              <w14:schemeClr w14:val="tx1"/>
            </w14:solidFill>
          </w14:textFill>
        </w:rPr>
        <w:t>日施行；</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spacing w:val="-6"/>
          <w:highlight w:val="none"/>
          <w:lang w:eastAsia="zh-CN"/>
          <w14:textFill>
            <w14:solidFill>
              <w14:schemeClr w14:val="tx1"/>
            </w14:solidFill>
          </w14:textFill>
        </w:rPr>
        <w:t>3</w:t>
      </w:r>
      <w:r>
        <w:rPr>
          <w:rFonts w:hint="default" w:ascii="Times New Roman" w:hAnsi="Times New Roman" w:cs="Times New Roman"/>
          <w:color w:val="000000" w:themeColor="text1"/>
          <w:spacing w:val="-6"/>
          <w:highlight w:val="none"/>
          <w:lang w:eastAsia="zh-CN"/>
          <w14:textFill>
            <w14:solidFill>
              <w14:schemeClr w14:val="tx1"/>
            </w14:solidFill>
          </w14:textFill>
        </w:rPr>
        <w:t>）《中华人民共和国水污染防治法》，</w:t>
      </w:r>
      <w:r>
        <w:rPr>
          <w:rFonts w:hint="default" w:ascii="Times New Roman" w:hAnsi="Times New Roman" w:eastAsia="Times New Roman" w:cs="Times New Roman"/>
          <w:color w:val="000000" w:themeColor="text1"/>
          <w:spacing w:val="-6"/>
          <w:highlight w:val="none"/>
          <w:lang w:eastAsia="zh-CN"/>
          <w14:textFill>
            <w14:solidFill>
              <w14:schemeClr w14:val="tx1"/>
            </w14:solidFill>
          </w14:textFill>
        </w:rPr>
        <w:t>2018</w:t>
      </w:r>
      <w:r>
        <w:rPr>
          <w:rFonts w:hint="default" w:ascii="Times New Roman" w:hAnsi="Times New Roman" w:cs="Times New Roman"/>
          <w:color w:val="000000" w:themeColor="text1"/>
          <w:highlight w:val="none"/>
          <w:lang w:eastAsia="zh-CN"/>
          <w14:textFill>
            <w14:solidFill>
              <w14:schemeClr w14:val="tx1"/>
            </w14:solidFill>
          </w14:textFill>
        </w:rPr>
        <w:t>年</w:t>
      </w:r>
      <w:r>
        <w:rPr>
          <w:rFonts w:hint="default" w:ascii="Times New Roman" w:hAnsi="Times New Roman" w:eastAsia="Times New Roman" w:cs="Times New Roman"/>
          <w:color w:val="000000" w:themeColor="text1"/>
          <w:highlight w:val="none"/>
          <w:lang w:eastAsia="zh-CN"/>
          <w14:textFill>
            <w14:solidFill>
              <w14:schemeClr w14:val="tx1"/>
            </w14:solidFill>
          </w14:textFill>
        </w:rPr>
        <w:t>1</w:t>
      </w:r>
      <w:r>
        <w:rPr>
          <w:rFonts w:hint="default" w:ascii="Times New Roman" w:hAnsi="Times New Roman" w:cs="Times New Roman"/>
          <w:color w:val="000000" w:themeColor="text1"/>
          <w:highlight w:val="none"/>
          <w:lang w:eastAsia="zh-CN"/>
          <w14:textFill>
            <w14:solidFill>
              <w14:schemeClr w14:val="tx1"/>
            </w14:solidFill>
          </w14:textFill>
        </w:rPr>
        <w:t>月</w:t>
      </w:r>
      <w:r>
        <w:rPr>
          <w:rFonts w:hint="default" w:ascii="Times New Roman" w:hAnsi="Times New Roman" w:eastAsia="Times New Roman" w:cs="Times New Roman"/>
          <w:color w:val="000000" w:themeColor="text1"/>
          <w:highlight w:val="none"/>
          <w:lang w:eastAsia="zh-CN"/>
          <w14:textFill>
            <w14:solidFill>
              <w14:schemeClr w14:val="tx1"/>
            </w14:solidFill>
          </w14:textFill>
        </w:rPr>
        <w:t>1</w:t>
      </w:r>
      <w:r>
        <w:rPr>
          <w:rFonts w:hint="default" w:ascii="Times New Roman" w:hAnsi="Times New Roman" w:cs="Times New Roman"/>
          <w:color w:val="000000" w:themeColor="text1"/>
          <w:highlight w:val="none"/>
          <w:lang w:eastAsia="zh-CN"/>
          <w14:textFill>
            <w14:solidFill>
              <w14:schemeClr w14:val="tx1"/>
            </w14:solidFill>
          </w14:textFill>
        </w:rPr>
        <w:t>日起施行；</w:t>
      </w:r>
    </w:p>
    <w:p>
      <w:pPr>
        <w:pStyle w:val="21"/>
        <w:pageBreakBefore w:val="0"/>
        <w:kinsoku/>
        <w:wordWrap/>
        <w:overflowPunct/>
        <w:topLinePunct w:val="0"/>
        <w:autoSpaceDE/>
        <w:autoSpaceDN/>
        <w:bidi w:val="0"/>
        <w:adjustRightInd w:val="0"/>
        <w:snapToGrid w:val="0"/>
        <w:spacing w:before="0"/>
        <w:ind w:left="0" w:firstLine="47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pacing w:val="-5"/>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spacing w:val="-5"/>
          <w:highlight w:val="none"/>
          <w:lang w:eastAsia="zh-CN"/>
          <w14:textFill>
            <w14:solidFill>
              <w14:schemeClr w14:val="tx1"/>
            </w14:solidFill>
          </w14:textFill>
        </w:rPr>
        <w:t>4</w:t>
      </w:r>
      <w:r>
        <w:rPr>
          <w:rFonts w:hint="default" w:ascii="Times New Roman" w:hAnsi="Times New Roman" w:cs="Times New Roman"/>
          <w:color w:val="000000" w:themeColor="text1"/>
          <w:spacing w:val="-5"/>
          <w:highlight w:val="none"/>
          <w:lang w:eastAsia="zh-CN"/>
          <w14:textFill>
            <w14:solidFill>
              <w14:schemeClr w14:val="tx1"/>
            </w14:solidFill>
          </w14:textFill>
        </w:rPr>
        <w:t>）《中华人民共和国大气污染防治法》，</w:t>
      </w:r>
      <w:r>
        <w:rPr>
          <w:rFonts w:hint="default" w:ascii="Times New Roman" w:hAnsi="Times New Roman" w:eastAsia="Times New Roman" w:cs="Times New Roman"/>
          <w:color w:val="000000" w:themeColor="text1"/>
          <w:spacing w:val="-5"/>
          <w:highlight w:val="none"/>
          <w:lang w:eastAsia="zh-CN"/>
          <w14:textFill>
            <w14:solidFill>
              <w14:schemeClr w14:val="tx1"/>
            </w14:solidFill>
          </w14:textFill>
        </w:rPr>
        <w:t>2016</w:t>
      </w:r>
      <w:r>
        <w:rPr>
          <w:rFonts w:hint="default" w:ascii="Times New Roman" w:hAnsi="Times New Roman" w:cs="Times New Roman"/>
          <w:color w:val="000000" w:themeColor="text1"/>
          <w:highlight w:val="none"/>
          <w:lang w:eastAsia="zh-CN"/>
          <w14:textFill>
            <w14:solidFill>
              <w14:schemeClr w14:val="tx1"/>
            </w14:solidFill>
          </w14:textFill>
        </w:rPr>
        <w:t>年</w:t>
      </w:r>
      <w:r>
        <w:rPr>
          <w:rFonts w:hint="default" w:ascii="Times New Roman" w:hAnsi="Times New Roman" w:eastAsia="Times New Roman" w:cs="Times New Roman"/>
          <w:color w:val="000000" w:themeColor="text1"/>
          <w:highlight w:val="none"/>
          <w:lang w:eastAsia="zh-CN"/>
          <w14:textFill>
            <w14:solidFill>
              <w14:schemeClr w14:val="tx1"/>
            </w14:solidFill>
          </w14:textFill>
        </w:rPr>
        <w:t>1</w:t>
      </w:r>
      <w:r>
        <w:rPr>
          <w:rFonts w:hint="default" w:ascii="Times New Roman" w:hAnsi="Times New Roman" w:cs="Times New Roman"/>
          <w:color w:val="000000" w:themeColor="text1"/>
          <w:highlight w:val="none"/>
          <w:lang w:eastAsia="zh-CN"/>
          <w14:textFill>
            <w14:solidFill>
              <w14:schemeClr w14:val="tx1"/>
            </w14:solidFill>
          </w14:textFill>
        </w:rPr>
        <w:t>月1日起施行；</w:t>
      </w:r>
    </w:p>
    <w:p>
      <w:pPr>
        <w:pStyle w:val="21"/>
        <w:pageBreakBefore w:val="0"/>
        <w:kinsoku/>
        <w:wordWrap/>
        <w:overflowPunct/>
        <w:topLinePunct w:val="0"/>
        <w:autoSpaceDE/>
        <w:autoSpaceDN/>
        <w:bidi w:val="0"/>
        <w:adjustRightInd w:val="0"/>
        <w:snapToGrid w:val="0"/>
        <w:spacing w:before="0"/>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highlight w:val="none"/>
          <w:lang w:eastAsia="zh-CN"/>
          <w14:textFill>
            <w14:solidFill>
              <w14:schemeClr w14:val="tx1"/>
            </w14:solidFill>
          </w14:textFill>
        </w:rPr>
        <w:t>5</w:t>
      </w:r>
      <w:r>
        <w:rPr>
          <w:rFonts w:hint="default" w:ascii="Times New Roman" w:hAnsi="Times New Roman" w:cs="Times New Roman"/>
          <w:color w:val="000000" w:themeColor="text1"/>
          <w:highlight w:val="none"/>
          <w:lang w:eastAsia="zh-CN"/>
          <w14:textFill>
            <w14:solidFill>
              <w14:schemeClr w14:val="tx1"/>
            </w14:solidFill>
          </w14:textFill>
        </w:rPr>
        <w:t>）《中华人民共和国环境噪声污染防治法（</w:t>
      </w:r>
      <w:r>
        <w:rPr>
          <w:rFonts w:hint="default" w:ascii="Times New Roman" w:hAnsi="Times New Roman" w:eastAsia="Times New Roman" w:cs="Times New Roman"/>
          <w:color w:val="000000" w:themeColor="text1"/>
          <w:highlight w:val="none"/>
          <w:lang w:eastAsia="zh-CN"/>
          <w14:textFill>
            <w14:solidFill>
              <w14:schemeClr w14:val="tx1"/>
            </w14:solidFill>
          </w14:textFill>
        </w:rPr>
        <w:t>2021</w:t>
      </w:r>
      <w:r>
        <w:rPr>
          <w:rFonts w:hint="default" w:ascii="Times New Roman" w:hAnsi="Times New Roman" w:cs="Times New Roman"/>
          <w:color w:val="000000" w:themeColor="text1"/>
          <w:spacing w:val="-27"/>
          <w:highlight w:val="none"/>
          <w:lang w:eastAsia="zh-CN"/>
          <w14:textFill>
            <w14:solidFill>
              <w14:schemeClr w14:val="tx1"/>
            </w14:solidFill>
          </w14:textFill>
        </w:rPr>
        <w:t>修订）》，</w:t>
      </w:r>
      <w:r>
        <w:rPr>
          <w:rFonts w:hint="default" w:ascii="Times New Roman" w:hAnsi="Times New Roman" w:eastAsia="Times New Roman" w:cs="Times New Roman"/>
          <w:color w:val="000000" w:themeColor="text1"/>
          <w:spacing w:val="-27"/>
          <w:highlight w:val="none"/>
          <w:lang w:eastAsia="zh-CN"/>
          <w14:textFill>
            <w14:solidFill>
              <w14:schemeClr w14:val="tx1"/>
            </w14:solidFill>
          </w14:textFill>
        </w:rPr>
        <w:t>2022</w:t>
      </w:r>
      <w:r>
        <w:rPr>
          <w:rFonts w:hint="default" w:ascii="Times New Roman" w:hAnsi="Times New Roman" w:cs="Times New Roman"/>
          <w:color w:val="000000" w:themeColor="text1"/>
          <w:highlight w:val="none"/>
          <w:lang w:eastAsia="zh-CN"/>
          <w14:textFill>
            <w14:solidFill>
              <w14:schemeClr w14:val="tx1"/>
            </w14:solidFill>
          </w14:textFill>
        </w:rPr>
        <w:t>年</w:t>
      </w:r>
      <w:r>
        <w:rPr>
          <w:rFonts w:hint="default" w:ascii="Times New Roman" w:hAnsi="Times New Roman" w:eastAsia="Times New Roman" w:cs="Times New Roman"/>
          <w:color w:val="000000" w:themeColor="text1"/>
          <w:highlight w:val="none"/>
          <w:lang w:eastAsia="zh-CN"/>
          <w14:textFill>
            <w14:solidFill>
              <w14:schemeClr w14:val="tx1"/>
            </w14:solidFill>
          </w14:textFill>
        </w:rPr>
        <w:t>6</w:t>
      </w:r>
      <w:r>
        <w:rPr>
          <w:rFonts w:hint="default" w:ascii="Times New Roman" w:hAnsi="Times New Roman" w:cs="Times New Roman"/>
          <w:color w:val="000000" w:themeColor="text1"/>
          <w:highlight w:val="none"/>
          <w:lang w:eastAsia="zh-CN"/>
          <w14:textFill>
            <w14:solidFill>
              <w14:schemeClr w14:val="tx1"/>
            </w14:solidFill>
          </w14:textFill>
        </w:rPr>
        <w:t>月</w:t>
      </w:r>
      <w:r>
        <w:rPr>
          <w:rFonts w:hint="default" w:ascii="Times New Roman" w:hAnsi="Times New Roman" w:eastAsia="Times New Roman" w:cs="Times New Roman"/>
          <w:color w:val="000000" w:themeColor="text1"/>
          <w:highlight w:val="none"/>
          <w:lang w:eastAsia="zh-CN"/>
          <w14:textFill>
            <w14:solidFill>
              <w14:schemeClr w14:val="tx1"/>
            </w14:solidFill>
          </w14:textFill>
        </w:rPr>
        <w:t>5</w:t>
      </w:r>
      <w:r>
        <w:rPr>
          <w:rFonts w:hint="default" w:ascii="Times New Roman" w:hAnsi="Times New Roman" w:cs="Times New Roman"/>
          <w:color w:val="000000" w:themeColor="text1"/>
          <w:highlight w:val="none"/>
          <w:lang w:eastAsia="zh-CN"/>
          <w14:textFill>
            <w14:solidFill>
              <w14:schemeClr w14:val="tx1"/>
            </w14:solidFill>
          </w14:textFill>
        </w:rPr>
        <w:t>日施行；</w:t>
      </w:r>
    </w:p>
    <w:p>
      <w:pPr>
        <w:pStyle w:val="21"/>
        <w:pageBreakBefore w:val="0"/>
        <w:kinsoku/>
        <w:wordWrap/>
        <w:overflowPunct/>
        <w:topLinePunct w:val="0"/>
        <w:autoSpaceDE/>
        <w:autoSpaceDN/>
        <w:bidi w:val="0"/>
        <w:adjustRightInd w:val="0"/>
        <w:snapToGrid w:val="0"/>
        <w:spacing w:before="0"/>
        <w:ind w:left="0" w:firstLine="47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pacing w:val="-5"/>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spacing w:val="-5"/>
          <w:highlight w:val="none"/>
          <w:lang w:eastAsia="zh-CN"/>
          <w14:textFill>
            <w14:solidFill>
              <w14:schemeClr w14:val="tx1"/>
            </w14:solidFill>
          </w14:textFill>
        </w:rPr>
        <w:t>6</w:t>
      </w:r>
      <w:r>
        <w:rPr>
          <w:rFonts w:hint="default" w:ascii="Times New Roman" w:hAnsi="Times New Roman" w:cs="Times New Roman"/>
          <w:color w:val="000000" w:themeColor="text1"/>
          <w:spacing w:val="-5"/>
          <w:highlight w:val="none"/>
          <w:lang w:eastAsia="zh-CN"/>
          <w14:textFill>
            <w14:solidFill>
              <w14:schemeClr w14:val="tx1"/>
            </w14:solidFill>
          </w14:textFill>
        </w:rPr>
        <w:t>）《中华人民共和国固体废物污染环境防治法》，</w:t>
      </w:r>
      <w:r>
        <w:rPr>
          <w:rFonts w:hint="default" w:ascii="Times New Roman" w:hAnsi="Times New Roman" w:eastAsia="Times New Roman" w:cs="Times New Roman"/>
          <w:color w:val="000000" w:themeColor="text1"/>
          <w:spacing w:val="-5"/>
          <w:highlight w:val="none"/>
          <w:lang w:eastAsia="zh-CN"/>
          <w14:textFill>
            <w14:solidFill>
              <w14:schemeClr w14:val="tx1"/>
            </w14:solidFill>
          </w14:textFill>
        </w:rPr>
        <w:t>2020</w:t>
      </w:r>
      <w:r>
        <w:rPr>
          <w:rFonts w:hint="default" w:ascii="Times New Roman" w:hAnsi="Times New Roman" w:cs="Times New Roman"/>
          <w:color w:val="000000" w:themeColor="text1"/>
          <w:spacing w:val="-5"/>
          <w:highlight w:val="none"/>
          <w:lang w:eastAsia="zh-CN"/>
          <w14:textFill>
            <w14:solidFill>
              <w14:schemeClr w14:val="tx1"/>
            </w14:solidFill>
          </w14:textFill>
        </w:rPr>
        <w:t>年修订</w:t>
      </w:r>
      <w:r>
        <w:rPr>
          <w:rFonts w:hint="default" w:ascii="Times New Roman" w:hAnsi="Times New Roman" w:cs="Times New Roman"/>
          <w:color w:val="000000" w:themeColor="text1"/>
          <w:highlight w:val="none"/>
          <w:lang w:eastAsia="zh-CN"/>
          <w14:textFill>
            <w14:solidFill>
              <w14:schemeClr w14:val="tx1"/>
            </w14:solidFill>
          </w14:textFill>
        </w:rPr>
        <w:t>；</w:t>
      </w:r>
    </w:p>
    <w:p>
      <w:pPr>
        <w:pStyle w:val="21"/>
        <w:pageBreakBefore w:val="0"/>
        <w:kinsoku/>
        <w:wordWrap/>
        <w:overflowPunct/>
        <w:topLinePunct w:val="0"/>
        <w:autoSpaceDE/>
        <w:autoSpaceDN/>
        <w:bidi w:val="0"/>
        <w:adjustRightInd w:val="0"/>
        <w:snapToGrid w:val="0"/>
        <w:spacing w:before="0"/>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（7）《中华人民共和国土壤污染防治法》（2019年1月1日起实施）；</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highlight w:val="none"/>
          <w:u w:val="singl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（8）</w:t>
      </w:r>
      <w:r>
        <w:rPr>
          <w:rFonts w:hint="default" w:ascii="Times New Roman" w:hAnsi="Times New Roman" w:eastAsia="新宋体" w:cs="Times New Roman"/>
          <w:color w:val="000000" w:themeColor="text1"/>
          <w:szCs w:val="20"/>
          <w:highlight w:val="none"/>
          <w:lang w:eastAsia="zh-CN"/>
          <w14:textFill>
            <w14:solidFill>
              <w14:schemeClr w14:val="tx1"/>
            </w14:solidFill>
          </w14:textFill>
        </w:rPr>
        <w:t>《中华人民共和国土地管理法》，2020年1月1日实施</w:t>
      </w:r>
      <w:r>
        <w:rPr>
          <w:rFonts w:hint="default" w:ascii="Times New Roman" w:hAnsi="Times New Roman" w:cs="Times New Roman"/>
          <w:color w:val="000000" w:themeColor="text1"/>
          <w:highlight w:val="none"/>
          <w:lang w:eastAsia="zh-CN"/>
          <w14:textFill>
            <w14:solidFill>
              <w14:schemeClr w14:val="tx1"/>
            </w14:solidFill>
          </w14:textFill>
        </w:rPr>
        <w:t>；</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（9）《中华人民共和国城乡规</w:t>
      </w:r>
      <w:r>
        <w:rPr>
          <w:rFonts w:hint="default" w:ascii="Times New Roman" w:hAnsi="Times New Roman" w:cs="Times New Roman"/>
          <w:color w:val="000000" w:themeColor="text1"/>
          <w:highlight w:val="none"/>
          <w:lang w:eastAsia="zh-CN"/>
          <w14:textFill>
            <w14:solidFill>
              <w14:schemeClr w14:val="tx1"/>
            </w14:solidFill>
          </w14:textFill>
        </w:rPr>
        <w:t>划法》，2019年修订；</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（10）《中华人民共和国水土保持法》，</w:t>
      </w:r>
      <w:r>
        <w:rPr>
          <w:rFonts w:hint="default" w:ascii="Times New Roman" w:hAnsi="Times New Roman" w:eastAsia="Times New Roman" w:cs="Times New Roman"/>
          <w:color w:val="000000" w:themeColor="text1"/>
          <w:spacing w:val="-6"/>
          <w:highlight w:val="none"/>
          <w:lang w:eastAsia="zh-CN"/>
          <w14:textFill>
            <w14:solidFill>
              <w14:schemeClr w14:val="tx1"/>
            </w14:solidFill>
          </w14:textFill>
        </w:rPr>
        <w:t>2011</w:t>
      </w:r>
      <w:r>
        <w:rPr>
          <w:rFonts w:hint="default" w:ascii="Times New Roman" w:hAnsi="Times New Roman" w:cs="Times New Roman"/>
          <w:color w:val="000000" w:themeColor="text1"/>
          <w:highlight w:val="none"/>
          <w:lang w:eastAsia="zh-CN"/>
          <w14:textFill>
            <w14:solidFill>
              <w14:schemeClr w14:val="tx1"/>
            </w14:solidFill>
          </w14:textFill>
        </w:rPr>
        <w:t>年</w:t>
      </w:r>
      <w:r>
        <w:rPr>
          <w:rFonts w:hint="default" w:ascii="Times New Roman" w:hAnsi="Times New Roman" w:eastAsia="Times New Roman" w:cs="Times New Roman"/>
          <w:color w:val="000000" w:themeColor="text1"/>
          <w:highlight w:val="none"/>
          <w:lang w:eastAsia="zh-CN"/>
          <w14:textFill>
            <w14:solidFill>
              <w14:schemeClr w14:val="tx1"/>
            </w14:solidFill>
          </w14:textFill>
        </w:rPr>
        <w:t>3</w:t>
      </w:r>
      <w:r>
        <w:rPr>
          <w:rFonts w:hint="default" w:ascii="Times New Roman" w:hAnsi="Times New Roman" w:cs="Times New Roman"/>
          <w:color w:val="000000" w:themeColor="text1"/>
          <w:highlight w:val="none"/>
          <w:lang w:eastAsia="zh-CN"/>
          <w14:textFill>
            <w14:solidFill>
              <w14:schemeClr w14:val="tx1"/>
            </w14:solidFill>
          </w14:textFill>
        </w:rPr>
        <w:t>月</w:t>
      </w:r>
      <w:r>
        <w:rPr>
          <w:rFonts w:hint="default" w:ascii="Times New Roman" w:hAnsi="Times New Roman" w:eastAsia="Times New Roman" w:cs="Times New Roman"/>
          <w:color w:val="000000" w:themeColor="text1"/>
          <w:highlight w:val="none"/>
          <w:lang w:eastAsia="zh-CN"/>
          <w14:textFill>
            <w14:solidFill>
              <w14:schemeClr w14:val="tx1"/>
            </w14:solidFill>
          </w14:textFill>
        </w:rPr>
        <w:t>1</w:t>
      </w:r>
      <w:r>
        <w:rPr>
          <w:rFonts w:hint="default" w:ascii="Times New Roman" w:hAnsi="Times New Roman" w:cs="Times New Roman"/>
          <w:color w:val="000000" w:themeColor="text1"/>
          <w:highlight w:val="none"/>
          <w:lang w:eastAsia="zh-CN"/>
          <w14:textFill>
            <w14:solidFill>
              <w14:schemeClr w14:val="tx1"/>
            </w14:solidFill>
          </w14:textFill>
        </w:rPr>
        <w:t>日起施行；</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w:t>
      </w:r>
      <w:r>
        <w:rPr>
          <w:rFonts w:hint="default" w:ascii="Times New Roman" w:hAnsi="Times New Roman" w:eastAsia="Times New Roman" w:cs="Times New Roman"/>
          <w:color w:val="000000" w:themeColor="text1"/>
          <w:spacing w:val="-6"/>
          <w:highlight w:val="none"/>
          <w:lang w:eastAsia="zh-CN"/>
          <w14:textFill>
            <w14:solidFill>
              <w14:schemeClr w14:val="tx1"/>
            </w14:solidFill>
          </w14:textFill>
        </w:rPr>
        <w:t>1</w:t>
      </w:r>
      <w:r>
        <w:rPr>
          <w:rFonts w:hint="default" w:ascii="Times New Roman" w:hAnsi="Times New Roman" w:cs="Times New Roman"/>
          <w:color w:val="000000" w:themeColor="text1"/>
          <w:spacing w:val="-6"/>
          <w:highlight w:val="none"/>
          <w:lang w:eastAsia="zh-CN"/>
          <w14:textFill>
            <w14:solidFill>
              <w14:schemeClr w14:val="tx1"/>
            </w14:solidFill>
          </w14:textFill>
        </w:rPr>
        <w:t>1）《中华人民共和国水法》，</w:t>
      </w:r>
      <w:r>
        <w:rPr>
          <w:rFonts w:hint="default" w:ascii="Times New Roman" w:hAnsi="Times New Roman" w:eastAsia="Times New Roman" w:cs="Times New Roman"/>
          <w:color w:val="000000" w:themeColor="text1"/>
          <w:spacing w:val="-6"/>
          <w:highlight w:val="none"/>
          <w:lang w:eastAsia="zh-CN"/>
          <w14:textFill>
            <w14:solidFill>
              <w14:schemeClr w14:val="tx1"/>
            </w14:solidFill>
          </w14:textFill>
        </w:rPr>
        <w:t>2016</w:t>
      </w:r>
      <w:r>
        <w:rPr>
          <w:rFonts w:hint="default" w:ascii="Times New Roman" w:hAnsi="Times New Roman" w:cs="Times New Roman"/>
          <w:color w:val="000000" w:themeColor="text1"/>
          <w:highlight w:val="none"/>
          <w:lang w:eastAsia="zh-CN"/>
          <w14:textFill>
            <w14:solidFill>
              <w14:schemeClr w14:val="tx1"/>
            </w14:solidFill>
          </w14:textFill>
        </w:rPr>
        <w:t>年</w:t>
      </w:r>
      <w:r>
        <w:rPr>
          <w:rFonts w:hint="default" w:ascii="Times New Roman" w:hAnsi="Times New Roman" w:eastAsia="Times New Roman" w:cs="Times New Roman"/>
          <w:color w:val="000000" w:themeColor="text1"/>
          <w:highlight w:val="none"/>
          <w:lang w:eastAsia="zh-CN"/>
          <w14:textFill>
            <w14:solidFill>
              <w14:schemeClr w14:val="tx1"/>
            </w14:solidFill>
          </w14:textFill>
        </w:rPr>
        <w:t>7</w:t>
      </w:r>
      <w:r>
        <w:rPr>
          <w:rFonts w:hint="default" w:ascii="Times New Roman" w:hAnsi="Times New Roman" w:cs="Times New Roman"/>
          <w:color w:val="000000" w:themeColor="text1"/>
          <w:highlight w:val="none"/>
          <w:lang w:eastAsia="zh-CN"/>
          <w14:textFill>
            <w14:solidFill>
              <w14:schemeClr w14:val="tx1"/>
            </w14:solidFill>
          </w14:textFill>
        </w:rPr>
        <w:t>月</w:t>
      </w:r>
      <w:r>
        <w:rPr>
          <w:rFonts w:hint="default" w:ascii="Times New Roman" w:hAnsi="Times New Roman" w:eastAsia="Times New Roman" w:cs="Times New Roman"/>
          <w:color w:val="000000" w:themeColor="text1"/>
          <w:highlight w:val="none"/>
          <w:lang w:eastAsia="zh-CN"/>
          <w14:textFill>
            <w14:solidFill>
              <w14:schemeClr w14:val="tx1"/>
            </w14:solidFill>
          </w14:textFill>
        </w:rPr>
        <w:t>2</w:t>
      </w:r>
      <w:r>
        <w:rPr>
          <w:rFonts w:hint="default" w:ascii="Times New Roman" w:hAnsi="Times New Roman" w:cs="Times New Roman"/>
          <w:color w:val="000000" w:themeColor="text1"/>
          <w:highlight w:val="none"/>
          <w:lang w:eastAsia="zh-CN"/>
          <w14:textFill>
            <w14:solidFill>
              <w14:schemeClr w14:val="tx1"/>
            </w14:solidFill>
          </w14:textFill>
        </w:rPr>
        <w:t>日修订；</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（12）《中华人民共和国突发事件应对法》（2007年11月1日起实施）</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（13）《中华人民共和国节约能源法》（2018年12月修订）；</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（14）《中华人民共和国清洁生产促进法》，（2012年2月29日）；</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（15）《中华人民共和国循环经济促进法》（2018年10月26日修订）；</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（16）《中华人民共和国石油天然气管道保护法》（2010.10.1 实施）。</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26" w:name="_Toc120173055"/>
      <w:r>
        <w:rPr>
          <w:rFonts w:hint="default" w:ascii="Times New Roman" w:hAnsi="Times New Roman" w:cs="Times New Roman"/>
          <w:color w:val="000000" w:themeColor="text1"/>
          <w:highlight w:val="none"/>
          <w:lang w:eastAsia="zh-CN"/>
          <w14:textFill>
            <w14:solidFill>
              <w14:schemeClr w14:val="tx1"/>
            </w14:solidFill>
          </w14:textFill>
        </w:rPr>
        <w:t>行政法规</w:t>
      </w:r>
      <w:bookmarkEnd w:id="26"/>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（1）《建设项目环境保护管理条例》（国务院令682号，2017.7）；</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（2）《基本农田保护条例》（2011.1.8修订）；</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（3）《土地复垦条例》（国务院令592号，2011.2.22）；</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（4）《大气污染防治行动计划》（国发〔2013〕37号），2013.9.10；</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（5）《水污染防治行动计划》（国发〔2015〕17号），2015.4.2；</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（6）《土壤污染防治行动计划》（国发〔2016〕31号），2016.5.28</w:t>
      </w:r>
    </w:p>
    <w:p>
      <w:pPr>
        <w:pStyle w:val="21"/>
        <w:pageBreakBefore w:val="0"/>
        <w:kinsoku/>
        <w:wordWrap/>
        <w:overflowPunct/>
        <w:topLinePunct w:val="0"/>
        <w:autoSpaceDE/>
        <w:autoSpaceDN/>
        <w:bidi w:val="0"/>
        <w:adjustRightInd w:val="0"/>
        <w:snapToGrid w:val="0"/>
        <w:spacing w:before="0"/>
        <w:ind w:left="0" w:firstLine="468"/>
        <w:textAlignment w:val="auto"/>
        <w:rPr>
          <w:rFonts w:hint="default" w:ascii="Times New Roman" w:hAnsi="Times New Roman" w:cs="Times New Roman"/>
          <w:color w:val="000000" w:themeColor="text1"/>
          <w:spacing w:val="-6"/>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（7）《中华人民共和国陆生野生动物保护实施条例》（2016.2.6修订）；</w:t>
      </w:r>
    </w:p>
    <w:p>
      <w:pPr>
        <w:pStyle w:val="21"/>
        <w:pageBreakBefore w:val="0"/>
        <w:kinsoku/>
        <w:wordWrap/>
        <w:overflowPunct/>
        <w:topLinePunct w:val="0"/>
        <w:autoSpaceDE/>
        <w:autoSpaceDN/>
        <w:bidi w:val="0"/>
        <w:adjustRightInd w:val="0"/>
        <w:snapToGrid w:val="0"/>
        <w:spacing w:before="0"/>
        <w:ind w:left="0" w:firstLine="468"/>
        <w:jc w:val="both"/>
        <w:textAlignment w:val="auto"/>
        <w:rPr>
          <w:rFonts w:hint="default" w:ascii="Times New Roman" w:hAnsi="Times New Roman" w:cs="Times New Roman"/>
          <w:color w:val="000000" w:themeColor="text1"/>
          <w:spacing w:val="-4"/>
          <w:highlight w:val="none"/>
          <w:lang w:eastAsia="zh-CN"/>
          <w14:textFill>
            <w14:solidFill>
              <w14:schemeClr w14:val="tx1"/>
            </w14:solidFill>
          </w14:textFill>
        </w:rPr>
      </w:pPr>
      <w:r>
        <w:rPr>
          <w:rFonts w:hint="default" w:ascii="Times New Roman" w:hAnsi="Times New Roman" w:cs="Times New Roman"/>
          <w:color w:val="000000" w:themeColor="text1"/>
          <w:spacing w:val="-6"/>
          <w:highlight w:val="none"/>
          <w:lang w:eastAsia="zh-CN"/>
          <w14:textFill>
            <w14:solidFill>
              <w14:schemeClr w14:val="tx1"/>
            </w14:solidFill>
          </w14:textFill>
        </w:rPr>
        <w:t>（8）《中华人民共和国野生植物保护条例》（2017.10.7修订）</w:t>
      </w:r>
      <w:r>
        <w:rPr>
          <w:rFonts w:hint="default" w:ascii="Times New Roman" w:hAnsi="Times New Roman" w:cs="Times New Roman"/>
          <w:color w:val="000000" w:themeColor="text1"/>
          <w:spacing w:val="-7"/>
          <w:highlight w:val="none"/>
          <w:lang w:eastAsia="zh-CN"/>
          <w14:textFill>
            <w14:solidFill>
              <w14:schemeClr w14:val="tx1"/>
            </w14:solidFill>
          </w14:textFill>
        </w:rPr>
        <w:t>。</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27" w:name="_Toc120173056"/>
      <w:r>
        <w:rPr>
          <w:rFonts w:hint="default" w:ascii="Times New Roman" w:hAnsi="Times New Roman" w:cs="Times New Roman"/>
          <w:color w:val="000000" w:themeColor="text1"/>
          <w:highlight w:val="none"/>
          <w:lang w:eastAsia="zh-CN"/>
          <w14:textFill>
            <w14:solidFill>
              <w14:schemeClr w14:val="tx1"/>
            </w14:solidFill>
          </w14:textFill>
        </w:rPr>
        <w:t>部门规章</w:t>
      </w:r>
      <w:bookmarkEnd w:id="27"/>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bookmarkStart w:id="28" w:name="_Hlk152591270"/>
      <w:r>
        <w:rPr>
          <w:rFonts w:hint="default" w:ascii="Times New Roman" w:hAnsi="Times New Roman" w:cs="Times New Roman"/>
          <w:color w:val="000000" w:themeColor="text1"/>
          <w:highlight w:val="none"/>
          <w14:textFill>
            <w14:solidFill>
              <w14:schemeClr w14:val="tx1"/>
            </w14:solidFill>
          </w14:textFill>
        </w:rPr>
        <w:t>《自然资源部 关于进一步做好用地用海要素保障的通知》（自然资发〔2023〕89号）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《自然资源部 农业农村部关于加强和改进永久基本农田保护工作的通知》（自然资规〔2019〕1号）；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《自然资源部关于做好占用永久基本农田重大建设项目用地预审的通知》（自然资规〔2018〕3号）；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《自然资源部关于规范临时用地管理的通知》（自然资规〔2021〕2号）；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《自然资源部 农业农村部 国家林业和草原局关于严格耕地用途管制有关问题的通知》（自然资发〔2021〕166号）；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bookmarkStart w:id="29" w:name="_Hlk152591243"/>
      <w:r>
        <w:rPr>
          <w:rFonts w:hint="default" w:ascii="Times New Roman" w:hAnsi="Times New Roman" w:cs="Times New Roman"/>
          <w:color w:val="000000" w:themeColor="text1"/>
          <w:highlight w:val="none"/>
          <w14:textFill>
            <w14:solidFill>
              <w14:schemeClr w14:val="tx1"/>
            </w14:solidFill>
          </w14:textFill>
        </w:rPr>
        <w:t>自然资源部 生态环境部 国家林业和草原局《关于加强生态保护红线管理的通知（试行）》自然资发〔2022〕142号</w:t>
      </w:r>
      <w:bookmarkEnd w:id="29"/>
      <w:r>
        <w:rPr>
          <w:rFonts w:hint="default" w:ascii="Times New Roman" w:hAnsi="Times New Roman" w:cs="Times New Roman"/>
          <w:color w:val="000000" w:themeColor="text1"/>
          <w:highlight w:val="none"/>
          <w14:textFill>
            <w14:solidFill>
              <w14:schemeClr w14:val="tx1"/>
            </w14:solidFill>
          </w14:textFill>
        </w:rPr>
        <w:t>；</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《关于进一步加强建设项目环境保护管理工作的通知》（环发〔2001〕19号，2001.2.21）；</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《关于进一步加强石油天然气行业环境影响评价管理的通知》（环办环评函〔2019〕910号）；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《环境影响评价公众参与办法》（2018年7月16日）；</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《突发环境事件应急管理办法》（部令第34号，2015.6.5）；</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《关于进一步加强环境影响评价管理防范环境风险的通知》（环发〔2012〕77号，2012.7.3）；</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《关于切实加强风险防范严格环境影响评价管理的通知》（环发〔2012〕98号，2012.8.8）；</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《石油天然气开采业污染防治技术政策》环保部公告2012年第18号，2012.03.07 实施；</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《产业结构调整指导目录》（中华人民共和国国家发展和改革委员会第7号令，2024年2月1日起施行）；</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《环境影响评价公众参与办法》（生态环境部令 部令 第4号）；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《建设项目环境影响评价分类管理名录》，生态环境部令第16号，2021.1.1起施行；</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《国家危险废物名录》环境保护部令第15号，2021.1.1起施行；</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《关于划定并严守生态保护红线的若干意见》（中共中央办公厅、国务院办公厅，2017.2.7）；</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《全国生态环境保护纲要》（国发〔2000〕38号）；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《国家重点生态功能保护区规划纲要》（环发〔2007〕165号）；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《全国生态功能区划（修编版）》（环境保护部、中国科学院公告2015年第61号）；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《关于加强国家重点生态功能区环境保护和管理的意见》（环发〔2013〕16号）；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《关于推进污水资源化利用的指导意见》（发改环资〔2021〕13号）；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《危险废物环境管理指南 陆上石油天然气开采》（生态环境部公告2021年第74号）；</w:t>
      </w:r>
    </w:p>
    <w:p>
      <w:pPr>
        <w:pStyle w:val="606"/>
        <w:pageBreakBefore w:val="0"/>
        <w:numPr>
          <w:ilvl w:val="0"/>
          <w:numId w:val="6"/>
        </w:numPr>
        <w:kinsoku/>
        <w:wordWrap/>
        <w:overflowPunct/>
        <w:topLinePunct w:val="0"/>
        <w:autoSpaceDE/>
        <w:autoSpaceDN/>
        <w:bidi w:val="0"/>
        <w:adjustRightInd w:val="0"/>
        <w:snapToGrid w:val="0"/>
        <w:ind w:left="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bookmarkStart w:id="30" w:name="_Hlk152591366"/>
      <w:r>
        <w:rPr>
          <w:rFonts w:hint="default" w:ascii="Times New Roman" w:hAnsi="Times New Roman" w:cs="Times New Roman"/>
          <w:color w:val="000000" w:themeColor="text1"/>
          <w:highlight w:val="none"/>
          <w14:textFill>
            <w14:solidFill>
              <w14:schemeClr w14:val="tx1"/>
            </w14:solidFill>
          </w14:textFill>
        </w:rPr>
        <w:t>《四川省自然资源厅关于进一步明确临时用地管理有关事项的通知》（川自然资规〔2022〕3号）</w:t>
      </w:r>
      <w:bookmarkEnd w:id="28"/>
      <w:bookmarkEnd w:id="30"/>
      <w:r>
        <w:rPr>
          <w:rFonts w:hint="default" w:ascii="Times New Roman" w:hAnsi="Times New Roman" w:cs="Times New Roman"/>
          <w:bCs/>
          <w:color w:val="000000" w:themeColor="text1"/>
          <w:highlight w:val="none"/>
          <w14:textFill>
            <w14:solidFill>
              <w14:schemeClr w14:val="tx1"/>
            </w14:solidFill>
          </w14:textFill>
        </w:rPr>
        <w:t>。</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1" w:name="_Toc120173057"/>
      <w:r>
        <w:rPr>
          <w:rFonts w:hint="default" w:ascii="Times New Roman" w:hAnsi="Times New Roman" w:cs="Times New Roman"/>
          <w:color w:val="000000" w:themeColor="text1"/>
          <w:highlight w:val="none"/>
          <w:lang w:eastAsia="zh-CN"/>
          <w14:textFill>
            <w14:solidFill>
              <w14:schemeClr w14:val="tx1"/>
            </w14:solidFill>
          </w14:textFill>
        </w:rPr>
        <w:t>地方性法规及规范性文件</w:t>
      </w:r>
      <w:bookmarkEnd w:id="31"/>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（1）《四川省重点保护野生动物名录》（1990.3.12）；</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（2）《四川省新增重点保护野生动物名录》（2000.9.13）；</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（3）《四川省永久基本农田保护实施细则》（1996.2.29）；</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（4）《四川省环境保护条例》（2017年9月22日修订）；</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（5）《四川省生态功能区划》（2010年）；</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（6）《四川省主体功能区规划》（川府发〔2013〕16号文）；</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（7）《关于进一步加强我省农村饮用水水源保护区环境保护工作的通知》（川环办发〔2011〕98号）；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（8）《四川省〈中华人民共和国野生动物保护法〉实施办法》（2012.7.27）；</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（9）《四川省</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中华人民共和国水土保持法</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实施办法》（2012.12.1）；</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（10）《四川省固体废物污染环境防治条例》（2022.6.9修订）；</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（11）《四川省国民经济和社会发展第十四个五年规划和二〇三五年远景目标纲要》（2021.2.2）；</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（12）《四川省自然保护区管理条例》（2018.9.30 修订）；</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（13）《四川省生态保护红线实施意见》（2016.9.30）；</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（14）《关于印发四川省生态保护红线方案的通知》（川府发〔2018〕24号）；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（15）《四川省人民政府关于落实生态保护红线、环境质量底线、资源利用上线制定生态环境准入清单实施生态环境分区管控的通知》（川府发〔2020〕9号）；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（16）《四川省饮用水水源保护管理条例》（2019年修正）；</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（17）《四川省矿产资源总体规划（2021</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2025年）》；</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（18）四川省推动长江经济带发展领导小组办公室重庆市推动长江发展领导小组办公室关于印发《四川省、重庆市场长江经济带发展负面清单实施细则（试行，2022版）的通知》；</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（19）《四川省自然资源厅关于进一步明确临时用地管理有关事项的通知》（川自然资规〔2022〕3号）；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（20）《关于进一步加强固体废物污染防治工作的通知》（达市环办发〔2021〕24号）；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bookmarkStart w:id="32" w:name="_Hlk152591470"/>
      <w:r>
        <w:rPr>
          <w:rFonts w:hint="default" w:ascii="Times New Roman" w:hAnsi="Times New Roman" w:cs="Times New Roman"/>
          <w:bCs/>
          <w:color w:val="000000" w:themeColor="text1"/>
          <w:szCs w:val="24"/>
          <w:highlight w:val="none"/>
          <w14:textFill>
            <w14:solidFill>
              <w14:schemeClr w14:val="tx1"/>
            </w14:solidFill>
          </w14:textFill>
        </w:rPr>
        <w:t>（19）达州市人民政府《关于落实生态保护红线、环境质量底线、资源利用上线制定生态环境准入清单实施生态环境分区管控的通知》达市府发〔2021〕 17号；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（20）《达州市人民政府关于划定万源市、宣汉县和大竹县乡镇及以下集中式饮用水水源地保护区的批复》（达市府函〔2020〕124号）；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（21）《达州市集中式饮用水水源保护管理条例》（2020年修正）；</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（22）《宣汉县人民政府办公室关于印发宣汉县声环境功能区划分及适用标准规定的通知》（宣府办〔2022〕106号）；</w:t>
      </w:r>
    </w:p>
    <w:bookmarkEnd w:id="32"/>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（23）《达州市生态环境局办公室关于加强固体废物污染防治工作的通知》（达市环办发〔2019〕49号）文件要求；</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（24）《宣汉县矿产资源总体规划（2021</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2025年）》。</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3" w:name="_Toc120173058"/>
      <w:r>
        <w:rPr>
          <w:rFonts w:hint="default" w:ascii="Times New Roman" w:hAnsi="Times New Roman" w:cs="Times New Roman"/>
          <w:color w:val="000000" w:themeColor="text1"/>
          <w:highlight w:val="none"/>
          <w:lang w:eastAsia="zh-CN"/>
          <w14:textFill>
            <w14:solidFill>
              <w14:schemeClr w14:val="tx1"/>
            </w14:solidFill>
          </w14:textFill>
        </w:rPr>
        <w:t>评价技术导则及规范</w:t>
      </w:r>
      <w:bookmarkEnd w:id="33"/>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（1）《建设项目环境影响评价技术导则 总纲》（HJ2.1-2016）；</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（2）《环境影响评价技术导则 地表水环境》（HJ2.3-2018）；</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（3）《环境影响评价技术导则 声环境》（HJ2.4-2021）；</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（4）《环境影响评价技术导则 地下水环境》（HJ610-2016）；</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（5）《环境影响评价技术导则 大气环境》（HJ2.2-2018）；</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（6）《环境影响评价技术导则 生态影响》（HJ19-2022）；</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（7）《环境影响评价技术导则 土壤环境（试行）》（HJ964-2018）；</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（8）《建设项目环境风险评价技术导则》（HJ169-2018）；</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（9）《环境影响评价技术导则 陆地石油天然气开发建设项目》 （</w:t>
      </w:r>
      <w:r>
        <w:rPr>
          <w:rFonts w:hint="default" w:ascii="Times New Roman" w:hAnsi="Times New Roman" w:cs="Times New Roman"/>
          <w:bCs/>
          <w:color w:val="000000" w:themeColor="text1"/>
          <w:szCs w:val="24"/>
          <w:highlight w:val="none"/>
          <w:lang w:eastAsia="zh-CN"/>
          <w14:textFill>
            <w14:solidFill>
              <w14:schemeClr w14:val="tx1"/>
            </w14:solidFill>
          </w14:textFill>
        </w:rPr>
        <w:t>HJ349-2023</w:t>
      </w:r>
      <w:r>
        <w:rPr>
          <w:rFonts w:hint="default" w:ascii="Times New Roman" w:hAnsi="Times New Roman" w:cs="Times New Roman"/>
          <w:bCs/>
          <w:color w:val="000000" w:themeColor="text1"/>
          <w:szCs w:val="24"/>
          <w:highlight w:val="none"/>
          <w14:textFill>
            <w14:solidFill>
              <w14:schemeClr w14:val="tx1"/>
            </w14:solidFill>
          </w14:textFill>
        </w:rPr>
        <w:t>）；</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（10）《建设项目危险废物环境影响评价指南》（环境保护部公告〔2017〕年第43号）；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（1</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Cs w:val="24"/>
          <w:highlight w:val="none"/>
          <w14:textFill>
            <w14:solidFill>
              <w14:schemeClr w14:val="tx1"/>
            </w14:solidFill>
          </w14:textFill>
        </w:rPr>
        <w:t>）《危险废物贮存污染控制标准》（GB18597-2023）；</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（1</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Cs w:val="24"/>
          <w:highlight w:val="none"/>
          <w14:textFill>
            <w14:solidFill>
              <w14:schemeClr w14:val="tx1"/>
            </w14:solidFill>
          </w14:textFill>
        </w:rPr>
        <w:t>）《危险废物收集贮存 运输技术规范》（HJ2025</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-2012</w:t>
      </w:r>
      <w:r>
        <w:rPr>
          <w:rFonts w:hint="default" w:ascii="Times New Roman" w:hAnsi="Times New Roman" w:eastAsia="宋体" w:cs="Times New Roman"/>
          <w:color w:val="000000" w:themeColor="text1"/>
          <w:szCs w:val="24"/>
          <w:highlight w:val="none"/>
          <w14:textFill>
            <w14:solidFill>
              <w14:schemeClr w14:val="tx1"/>
            </w14:solidFill>
          </w14:textFill>
        </w:rPr>
        <w:t>）；</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（14）《危险废物识别标志设置技术规范》（HJ 1276-2022）；</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r>
        <w:rPr>
          <w:rFonts w:hint="default" w:ascii="Times New Roman" w:hAnsi="Times New Roman" w:cs="Times New Roman"/>
          <w:bCs/>
          <w:color w:val="000000" w:themeColor="text1"/>
          <w:szCs w:val="24"/>
          <w:highlight w:val="none"/>
          <w14:textFill>
            <w14:solidFill>
              <w14:schemeClr w14:val="tx1"/>
            </w14:solidFill>
          </w14:textFill>
        </w:rPr>
        <w:t>《一般工业固体废物贮存和填埋污染控制标准》（GB18599-2020）。</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4" w:name="_Toc120173059"/>
      <w:r>
        <w:rPr>
          <w:rFonts w:hint="default" w:ascii="Times New Roman" w:hAnsi="Times New Roman" w:cs="Times New Roman"/>
          <w:color w:val="000000" w:themeColor="text1"/>
          <w:highlight w:val="none"/>
          <w:lang w:eastAsia="zh-CN"/>
          <w14:textFill>
            <w14:solidFill>
              <w14:schemeClr w14:val="tx1"/>
            </w14:solidFill>
          </w14:textFill>
        </w:rPr>
        <w:t>石油天然气行业技术规范</w:t>
      </w:r>
      <w:bookmarkEnd w:id="34"/>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（1）《石油天然气钻井健康、安全与环境管理体系指南》（SY/T6283－1997）；</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（2）《石油天然气设计防火规范》（GB50183-2004）；</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（4）《钻井井控技术规程》（SY/T6426-2005）；</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（5）《石油天然气安全规程》（AQ2012-2007）；</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（6）《石油天然气井控技术规范》（GB/T31033-2014）；</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（7）《井下作业安全规程》（SY5727-2014）；</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（8）《气井试气、采气及动态监测工艺规程》（SYT6125-2013）；</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（9）《油气井井喷着火抢险作法》（SYT6203-2014）；</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（10）《碎屑岩油藏注水水质推荐指标及分析方法》（SY/T5329）；</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（12）《丛式井井平台布置及井眼防碰技术要求》（SY/T6396-2014）；</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（13）《油井井下作业防喷技术规程》（SYT5974-2014）；</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（14）《石油天然气钻井、开发、储运防火防爆安全生产技术规程》（SY_T5225-2019）；</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（15）《钻井井场、设备、作业安全技术规程》（SYT 5974-2014）；</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（16）《输气管道工程设计规范》（GB50251-2015）；</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（17）《气田集输设计规范》（GB50349-2015）；</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（18）《气田水注入技术要求》（SY/T 6596-2016）；</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（19）《钻前工程及井场布置技术要求》（SYT 5466-2013）；</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（20）《气田水注入技术要求》（SY/T6596-2016）；</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（21）《油气输送管道穿越工程设计规范》（GB50423-2015）；</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（22）《原油和天然气输送管道穿跨越工程设计规范穿越工程》（SY/T0015.1-98）；</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（23）《埋地钢质管道阴极保护技术规范》（GB/T21448-2017）；</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（24）《天然气管道运行规范》（SY/T5922-2003）；</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（25）《建筑设计防火规范》（GB50016-2014）；</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（26）《陆上石油天然气集输环境保护推荐作法》（SY/T7294-2016）；</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（27）《高含硫气田水处理及回注工程设计规范》（SY/T6881-2012）；</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（28）《高含硫化氢气田地面集输系统设计规范》(SY/T0612-2014)；</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（29）《陆上石油天然气开采含油污泥处理处置及污染控制技术规范》（SY/T 7300-2016）；</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（30）《陆上石油天然气开采含油污泥资源化综合利用及污染控制技术要求》（SY_T 7301-2016）；</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（31）《天然气开采含油污泥综合利用后剩余固相利用处置标准》（DB51/T 2850—2021）；</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（32）《含硫化氢天然气井公众安全防护距离》（AQ2018-2008）；</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（33）《含硫化氢油气井安全钻井推荐作法》（SY/T5081-2017）。</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5" w:name="_Toc120173060"/>
      <w:r>
        <w:rPr>
          <w:rFonts w:hint="default" w:ascii="Times New Roman" w:hAnsi="Times New Roman" w:cs="Times New Roman"/>
          <w:color w:val="000000" w:themeColor="text1"/>
          <w:highlight w:val="none"/>
          <w:lang w:eastAsia="zh-CN"/>
          <w14:textFill>
            <w14:solidFill>
              <w14:schemeClr w14:val="tx1"/>
            </w14:solidFill>
          </w14:textFill>
        </w:rPr>
        <w:t>相关技术及工作文件</w:t>
      </w:r>
      <w:bookmarkEnd w:id="35"/>
    </w:p>
    <w:p>
      <w:pPr>
        <w:pStyle w:val="25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（1）环境影响评价委托书；</w:t>
      </w:r>
    </w:p>
    <w:p>
      <w:pPr>
        <w:pStyle w:val="25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bookmarkStart w:id="36" w:name="_Hlk56956483"/>
      <w:r>
        <w:rPr>
          <w:rFonts w:hint="default" w:ascii="Times New Roman" w:hAnsi="Times New Roman" w:cs="Times New Roman"/>
          <w:color w:val="000000" w:themeColor="text1"/>
          <w:highlight w:val="none"/>
          <w14:textFill>
            <w14:solidFill>
              <w14:schemeClr w14:val="tx1"/>
            </w14:solidFill>
          </w14:textFill>
        </w:rPr>
        <w:t>（2）《普光气田P106-2H侧井钻井及试采工程可行性研究报告》；</w:t>
      </w:r>
    </w:p>
    <w:p>
      <w:pPr>
        <w:pStyle w:val="25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（3）《环境质量监测报告》；</w:t>
      </w:r>
    </w:p>
    <w:bookmarkEnd w:id="36"/>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（4）项目直接影响区、县及相关乡镇规划、土地利用规划、植被分布现状、水系分布情况、旅游区发展规划等相关文件、资料；</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（5）建设单位提供的项目其他有关资料。</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37" w:name="_Toc12014"/>
      <w:r>
        <w:rPr>
          <w:rFonts w:hint="default" w:ascii="Times New Roman" w:hAnsi="Times New Roman" w:cs="Times New Roman"/>
          <w:color w:val="000000" w:themeColor="text1"/>
          <w:highlight w:val="none"/>
          <w:lang w:eastAsia="zh-CN"/>
          <w14:textFill>
            <w14:solidFill>
              <w14:schemeClr w14:val="tx1"/>
            </w14:solidFill>
          </w14:textFill>
        </w:rPr>
        <w:t>环境影响识别与评价因子筛选</w:t>
      </w:r>
      <w:bookmarkEnd w:id="37"/>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8" w:name="_Toc120173062"/>
      <w:r>
        <w:rPr>
          <w:rFonts w:hint="default" w:ascii="Times New Roman" w:hAnsi="Times New Roman" w:cs="Times New Roman"/>
          <w:color w:val="000000" w:themeColor="text1"/>
          <w:highlight w:val="none"/>
          <w:lang w:eastAsia="zh-CN"/>
          <w14:textFill>
            <w14:solidFill>
              <w14:schemeClr w14:val="tx1"/>
            </w14:solidFill>
          </w14:textFill>
        </w:rPr>
        <w:t>环境影响识别</w:t>
      </w:r>
      <w:bookmarkEnd w:id="38"/>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石油天然气钻井及试采工程项目具有</w:t>
      </w:r>
      <w:r>
        <w:rPr>
          <w:rFonts w:hint="default" w:ascii="Times New Roman" w:hAnsi="Times New Roman" w:cs="Times New Roman"/>
          <w:b w:val="0"/>
          <w:bCs/>
          <w:color w:val="000000" w:themeColor="text1"/>
          <w:szCs w:val="24"/>
          <w:highlight w:val="none"/>
          <w:lang w:val="en-US" w:eastAsia="zh-CN"/>
          <w14:textFill>
            <w14:solidFill>
              <w14:schemeClr w14:val="tx1"/>
            </w14:solidFill>
          </w14:textFill>
        </w:rPr>
        <w:t>兼具生态影响和污染影响的特点，针对本项目而言，主要利旧已建井场进行施工建设，钻前工程量小，工程仅生活营地需新增少量临时占地，生态影响较小，以后续钻井工程、储层改造工程及油气集输工程等产生的污染影响为主。本次评价</w:t>
      </w:r>
      <w:r>
        <w:rPr>
          <w:rFonts w:hint="default" w:ascii="Times New Roman" w:hAnsi="Times New Roman" w:cs="Times New Roman"/>
          <w:color w:val="000000" w:themeColor="text1"/>
          <w:highlight w:val="none"/>
          <w14:textFill>
            <w14:solidFill>
              <w14:schemeClr w14:val="tx1"/>
            </w14:solidFill>
          </w14:textFill>
        </w:rPr>
        <w:t>就工程</w:t>
      </w:r>
      <w:r>
        <w:rPr>
          <w:rFonts w:hint="default" w:ascii="Times New Roman" w:hAnsi="Times New Roman" w:cs="Times New Roman"/>
          <w:color w:val="000000" w:themeColor="text1"/>
          <w:highlight w:val="none"/>
          <w:lang w:val="en-US" w:eastAsia="zh-CN"/>
          <w14:textFill>
            <w14:solidFill>
              <w14:schemeClr w14:val="tx1"/>
            </w14:solidFill>
          </w14:textFill>
        </w:rPr>
        <w:t>施工期</w:t>
      </w:r>
      <w:r>
        <w:rPr>
          <w:rFonts w:hint="default" w:ascii="Times New Roman" w:hAnsi="Times New Roman" w:cs="Times New Roman"/>
          <w:color w:val="000000" w:themeColor="text1"/>
          <w:highlight w:val="none"/>
          <w14:textFill>
            <w14:solidFill>
              <w14:schemeClr w14:val="tx1"/>
            </w14:solidFill>
          </w14:textFill>
        </w:rPr>
        <w:t>及</w:t>
      </w:r>
      <w:r>
        <w:rPr>
          <w:rFonts w:hint="default" w:ascii="Times New Roman" w:hAnsi="Times New Roman" w:cs="Times New Roman"/>
          <w:color w:val="000000" w:themeColor="text1"/>
          <w:highlight w:val="none"/>
          <w:lang w:val="en-US" w:eastAsia="zh-CN"/>
          <w14:textFill>
            <w14:solidFill>
              <w14:schemeClr w14:val="tx1"/>
            </w14:solidFill>
          </w14:textFill>
        </w:rPr>
        <w:t>试采期</w:t>
      </w:r>
      <w:r>
        <w:rPr>
          <w:rFonts w:hint="default" w:ascii="Times New Roman" w:hAnsi="Times New Roman" w:cs="Times New Roman"/>
          <w:color w:val="000000" w:themeColor="text1"/>
          <w:highlight w:val="none"/>
          <w14:textFill>
            <w14:solidFill>
              <w14:schemeClr w14:val="tx1"/>
            </w14:solidFill>
          </w14:textFill>
        </w:rPr>
        <w:t>对区域生态环境及其他环境要素所造成的影响进行识别</w:t>
      </w:r>
      <w:r>
        <w:rPr>
          <w:rFonts w:hint="default" w:ascii="Times New Roman" w:hAnsi="Times New Roman" w:cs="Times New Roman"/>
          <w:color w:val="000000" w:themeColor="text1"/>
          <w:highlight w:val="none"/>
          <w:lang w:val="en-US" w:eastAsia="zh-CN"/>
          <w14:textFill>
            <w14:solidFill>
              <w14:schemeClr w14:val="tx1"/>
            </w14:solidFill>
          </w14:textFill>
        </w:rPr>
        <w:t>如下</w:t>
      </w:r>
      <w:r>
        <w:rPr>
          <w:rFonts w:hint="default" w:ascii="Times New Roman" w:hAnsi="Times New Roman" w:cs="Times New Roman"/>
          <w:color w:val="000000" w:themeColor="text1"/>
          <w:highlight w:val="none"/>
          <w14:textFill>
            <w14:solidFill>
              <w14:schemeClr w14:val="tx1"/>
            </w14:solidFill>
          </w14:textFill>
        </w:rPr>
        <w:t>。</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pStyle w:val="250"/>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1、生态环境影响</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kern w:val="2"/>
          <w:szCs w:val="22"/>
          <w:highlight w:val="none"/>
          <w:lang w:val="en-US" w:eastAsia="zh-CN"/>
          <w14:textFill>
            <w14:solidFill>
              <w14:schemeClr w14:val="tx1"/>
            </w14:solidFill>
          </w14:textFill>
        </w:rPr>
      </w:pPr>
      <w:r>
        <w:rPr>
          <w:rFonts w:hint="default" w:ascii="Times New Roman" w:hAnsi="Times New Roman" w:cs="Times New Roman"/>
          <w:color w:val="000000" w:themeColor="text1"/>
          <w:kern w:val="2"/>
          <w:szCs w:val="22"/>
          <w:highlight w:val="none"/>
          <w:lang w:eastAsia="zh-CN"/>
          <w14:textFill>
            <w14:solidFill>
              <w14:schemeClr w14:val="tx1"/>
            </w14:solidFill>
          </w14:textFill>
        </w:rPr>
        <w:t>（</w:t>
      </w: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1）施工期</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kern w:val="2"/>
          <w:szCs w:val="22"/>
          <w:highlight w:val="none"/>
          <w14:textFill>
            <w14:solidFill>
              <w14:schemeClr w14:val="tx1"/>
            </w14:solidFill>
          </w14:textFill>
        </w:rPr>
      </w:pPr>
      <w:r>
        <w:rPr>
          <w:rFonts w:hint="default" w:ascii="Times New Roman" w:hAnsi="Times New Roman" w:cs="Times New Roman"/>
          <w:color w:val="000000" w:themeColor="text1"/>
          <w:kern w:val="2"/>
          <w:szCs w:val="22"/>
          <w:highlight w:val="none"/>
          <w14:textFill>
            <w14:solidFill>
              <w14:schemeClr w14:val="tx1"/>
            </w14:solidFill>
          </w14:textFill>
        </w:rPr>
        <w:t>本项目生态环境影响主要体现在</w:t>
      </w: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钻前工程</w:t>
      </w:r>
      <w:r>
        <w:rPr>
          <w:rFonts w:hint="default" w:ascii="Times New Roman" w:hAnsi="Times New Roman" w:cs="Times New Roman"/>
          <w:color w:val="000000" w:themeColor="text1"/>
          <w:kern w:val="2"/>
          <w:szCs w:val="22"/>
          <w:highlight w:val="none"/>
          <w14:textFill>
            <w14:solidFill>
              <w14:schemeClr w14:val="tx1"/>
            </w14:solidFill>
          </w14:textFill>
        </w:rPr>
        <w:t>。</w:t>
      </w: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钻前</w:t>
      </w:r>
      <w:r>
        <w:rPr>
          <w:rFonts w:hint="default" w:ascii="Times New Roman" w:hAnsi="Times New Roman" w:cs="Times New Roman"/>
          <w:color w:val="000000" w:themeColor="text1"/>
          <w:kern w:val="2"/>
          <w:szCs w:val="22"/>
          <w:highlight w:val="none"/>
          <w14:textFill>
            <w14:solidFill>
              <w14:schemeClr w14:val="tx1"/>
            </w14:solidFill>
          </w14:textFill>
        </w:rPr>
        <w:t>工程施工期间对生态环境的影响主要是临时占地和土石方工程开挖（本项目土石方开挖量较小，除施工期临时生活区外不新增占地）引起的自然地貌的改变和地表自然及人工植被的破坏，进而引起对土地利用的改变，</w:t>
      </w: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原有生态破坏及水土流失。</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kern w:val="2"/>
          <w:szCs w:val="22"/>
          <w:highlight w:val="none"/>
          <w:lang w:val="en-US" w:eastAsia="zh-CN"/>
          <w14:textFill>
            <w14:solidFill>
              <w14:schemeClr w14:val="tx1"/>
            </w14:solidFill>
          </w14:textFill>
        </w:rPr>
      </w:pPr>
      <w:r>
        <w:rPr>
          <w:rFonts w:hint="default" w:ascii="Times New Roman" w:hAnsi="Times New Roman" w:cs="Times New Roman"/>
          <w:color w:val="000000" w:themeColor="text1"/>
          <w:kern w:val="2"/>
          <w:szCs w:val="22"/>
          <w:highlight w:val="none"/>
          <w:lang w:eastAsia="zh-CN"/>
          <w14:textFill>
            <w14:solidFill>
              <w14:schemeClr w14:val="tx1"/>
            </w14:solidFill>
          </w14:textFill>
        </w:rPr>
        <w:t>（</w:t>
      </w: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2）试采期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kern w:val="2"/>
          <w:szCs w:val="22"/>
          <w:highlight w:val="none"/>
          <w14:textFill>
            <w14:solidFill>
              <w14:schemeClr w14:val="tx1"/>
            </w14:solidFill>
          </w14:textFill>
        </w:rPr>
      </w:pP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试采工程主要依托下游P106集气站与已建外输管道进行采气生产和天然气外输，试采期不会新增占地，也不会</w:t>
      </w:r>
      <w:r>
        <w:rPr>
          <w:rFonts w:hint="default" w:ascii="Times New Roman" w:hAnsi="Times New Roman" w:cs="Times New Roman"/>
          <w:color w:val="000000" w:themeColor="text1"/>
          <w:kern w:val="2"/>
          <w:szCs w:val="22"/>
          <w:highlight w:val="none"/>
          <w14:textFill>
            <w14:solidFill>
              <w14:schemeClr w14:val="tx1"/>
            </w14:solidFill>
          </w14:textFill>
        </w:rPr>
        <w:t>带来新的生态影响，受施工期影响的生态环境按相应的环境保护措施，逐步恢复重建。</w:t>
      </w:r>
    </w:p>
    <w:p>
      <w:pPr>
        <w:pStyle w:val="250"/>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2、地表水环境影响</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kern w:val="2"/>
          <w:szCs w:val="22"/>
          <w:highlight w:val="none"/>
          <w:lang w:val="en-US" w:eastAsia="zh-CN"/>
          <w14:textFill>
            <w14:solidFill>
              <w14:schemeClr w14:val="tx1"/>
            </w14:solidFill>
          </w14:textFill>
        </w:rPr>
      </w:pPr>
      <w:r>
        <w:rPr>
          <w:rFonts w:hint="default" w:ascii="Times New Roman" w:hAnsi="Times New Roman" w:cs="Times New Roman"/>
          <w:color w:val="000000" w:themeColor="text1"/>
          <w:kern w:val="2"/>
          <w:szCs w:val="22"/>
          <w:highlight w:val="none"/>
          <w:lang w:eastAsia="zh-CN"/>
          <w14:textFill>
            <w14:solidFill>
              <w14:schemeClr w14:val="tx1"/>
            </w14:solidFill>
          </w14:textFill>
        </w:rPr>
        <w:t>（</w:t>
      </w: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1）施工期：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kern w:val="2"/>
          <w:szCs w:val="22"/>
          <w:highlight w:val="none"/>
          <w:lang w:val="en-US" w:eastAsia="zh-CN"/>
          <w14:textFill>
            <w14:solidFill>
              <w14:schemeClr w14:val="tx1"/>
            </w14:solidFill>
          </w14:textFill>
        </w:rPr>
      </w:pP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钻前工程：</w:t>
      </w:r>
      <w:r>
        <w:rPr>
          <w:rFonts w:hint="eastAsia" w:cs="Times New Roman"/>
          <w:color w:val="000000" w:themeColor="text1"/>
          <w:kern w:val="2"/>
          <w:szCs w:val="22"/>
          <w:highlight w:val="none"/>
          <w:lang w:val="en-US" w:eastAsia="zh-CN"/>
          <w14:textFill>
            <w14:solidFill>
              <w14:schemeClr w14:val="tx1"/>
            </w14:solidFill>
          </w14:textFill>
        </w:rPr>
        <w:t>钻前施工废水、</w:t>
      </w:r>
      <w:r>
        <w:rPr>
          <w:rFonts w:hint="default" w:ascii="Times New Roman" w:hAnsi="Times New Roman" w:cs="Times New Roman"/>
          <w:color w:val="000000" w:themeColor="text1"/>
          <w:kern w:val="2"/>
          <w:szCs w:val="22"/>
          <w:highlight w:val="none"/>
          <w14:textFill>
            <w14:solidFill>
              <w14:schemeClr w14:val="tx1"/>
            </w14:solidFill>
          </w14:textFill>
        </w:rPr>
        <w:t>施工人员产生的生活污水对地表水环境的影响</w:t>
      </w:r>
      <w:r>
        <w:rPr>
          <w:rFonts w:hint="default" w:ascii="Times New Roman" w:hAnsi="Times New Roman" w:cs="Times New Roman"/>
          <w:color w:val="000000" w:themeColor="text1"/>
          <w:kern w:val="2"/>
          <w:szCs w:val="22"/>
          <w:highlight w:val="none"/>
          <w:lang w:eastAsia="zh-CN"/>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kern w:val="2"/>
          <w:szCs w:val="22"/>
          <w:highlight w:val="none"/>
          <w:lang w:val="en-US" w:eastAsia="zh-CN"/>
          <w14:textFill>
            <w14:solidFill>
              <w14:schemeClr w14:val="tx1"/>
            </w14:solidFill>
          </w14:textFill>
        </w:rPr>
      </w:pP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钻井工程：</w:t>
      </w:r>
      <w:r>
        <w:rPr>
          <w:rFonts w:hint="default" w:ascii="Times New Roman" w:hAnsi="Times New Roman" w:cs="Times New Roman"/>
          <w:color w:val="000000" w:themeColor="text1"/>
          <w:kern w:val="2"/>
          <w:szCs w:val="22"/>
          <w:highlight w:val="none"/>
          <w14:textFill>
            <w14:solidFill>
              <w14:schemeClr w14:val="tx1"/>
            </w14:solidFill>
          </w14:textFill>
        </w:rPr>
        <w:t>钻井废水、</w:t>
      </w: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场地初期雨水、生活污水等对地表水的影响；</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kern w:val="2"/>
          <w:szCs w:val="22"/>
          <w:highlight w:val="none"/>
          <w:lang w:val="en-US" w:eastAsia="zh-CN"/>
          <w14:textFill>
            <w14:solidFill>
              <w14:schemeClr w14:val="tx1"/>
            </w14:solidFill>
          </w14:textFill>
        </w:rPr>
      </w:pP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储层改造工程：洗井废水</w:t>
      </w:r>
      <w:r>
        <w:rPr>
          <w:rFonts w:hint="default" w:ascii="Times New Roman" w:hAnsi="Times New Roman" w:cs="Times New Roman"/>
          <w:color w:val="000000" w:themeColor="text1"/>
          <w:kern w:val="2"/>
          <w:szCs w:val="22"/>
          <w:highlight w:val="none"/>
          <w14:textFill>
            <w14:solidFill>
              <w14:schemeClr w14:val="tx1"/>
            </w14:solidFill>
          </w14:textFill>
        </w:rPr>
        <w:t>、</w:t>
      </w: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压裂返排液、生活污水对地表水的影响；</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（2）试采期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Times New Roman" w:hAnsi="Times New Roman" w:cs="Times New Roman"/>
          <w:color w:val="000000" w:themeColor="text1"/>
          <w:kern w:val="2"/>
          <w:szCs w:val="22"/>
          <w:highlight w:val="none"/>
          <w:lang w:val="en-US" w:eastAsia="zh-CN"/>
          <w14:textFill>
            <w14:solidFill>
              <w14:schemeClr w14:val="tx1"/>
            </w14:solidFill>
          </w14:textFill>
        </w:rPr>
      </w:pPr>
      <w:r>
        <w:rPr>
          <w:rFonts w:hint="default" w:ascii="Times New Roman" w:hAnsi="Times New Roman" w:cs="Times New Roman"/>
          <w:color w:val="000000" w:themeColor="text1"/>
          <w:kern w:val="2"/>
          <w:szCs w:val="22"/>
          <w:highlight w:val="none"/>
          <w:lang w:val="en-US" w:eastAsia="zh-CN"/>
          <w14:textFill>
            <w14:solidFill>
              <w14:schemeClr w14:val="tx1"/>
            </w14:solidFill>
          </w14:textFill>
        </w:rPr>
        <w:t>试采工程：气田水（含初期压裂返排液）对地表水的影响。</w:t>
      </w:r>
    </w:p>
    <w:p>
      <w:pPr>
        <w:pStyle w:val="250"/>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3、地下水环境影响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本项目的地下水污染源主要来自钻井废水、</w:t>
      </w:r>
      <w:r>
        <w:rPr>
          <w:rFonts w:hint="default" w:ascii="Times New Roman" w:hAnsi="Times New Roman" w:cs="Times New Roman"/>
          <w:color w:val="000000" w:themeColor="text1"/>
          <w:szCs w:val="24"/>
          <w:highlight w:val="none"/>
          <w:lang w:val="en-US" w:eastAsia="zh-CN"/>
          <w14:textFill>
            <w14:solidFill>
              <w14:schemeClr w14:val="tx1"/>
            </w14:solidFill>
          </w14:textFill>
        </w:rPr>
        <w:t>洗井废水、压裂返排液</w:t>
      </w:r>
      <w:r>
        <w:rPr>
          <w:rFonts w:hint="default" w:ascii="Times New Roman" w:hAnsi="Times New Roman" w:cs="Times New Roman"/>
          <w:color w:val="000000" w:themeColor="text1"/>
          <w:szCs w:val="24"/>
          <w:highlight w:val="none"/>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场地初期雨水及</w:t>
      </w:r>
      <w:r>
        <w:rPr>
          <w:rFonts w:hint="default" w:ascii="Times New Roman" w:hAnsi="Times New Roman" w:cs="Times New Roman"/>
          <w:color w:val="000000" w:themeColor="text1"/>
          <w:szCs w:val="24"/>
          <w:highlight w:val="none"/>
          <w14:textFill>
            <w14:solidFill>
              <w14:schemeClr w14:val="tx1"/>
            </w14:solidFill>
          </w14:textFill>
        </w:rPr>
        <w:t>钻井泥浆</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柴油机房、储备罐中的油类物质等，这些物质都放置在相应的储备罐或储存池中，一般情况下，只要对各种地下水污染源及时采取回用、转运、防渗等方式处理，就不会对地下水水质产生大的影响。与此同时，井场选址于地质稳定地带，也不受当地河水洪灾</w:t>
      </w:r>
      <w:r>
        <w:rPr>
          <w:rFonts w:hint="eastAsia" w:cs="Times New Roman"/>
          <w:color w:val="000000" w:themeColor="text1"/>
          <w:szCs w:val="24"/>
          <w:highlight w:val="none"/>
          <w:lang w:val="en-US" w:eastAsia="zh-CN"/>
          <w14:textFill>
            <w14:solidFill>
              <w14:schemeClr w14:val="tx1"/>
            </w14:solidFill>
          </w14:textFill>
        </w:rPr>
        <w:t>威胁</w:t>
      </w:r>
      <w:r>
        <w:rPr>
          <w:rFonts w:hint="default" w:ascii="Times New Roman" w:hAnsi="Times New Roman" w:cs="Times New Roman"/>
          <w:color w:val="000000" w:themeColor="text1"/>
          <w:szCs w:val="24"/>
          <w:highlight w:val="none"/>
          <w14:textFill>
            <w14:solidFill>
              <w14:schemeClr w14:val="tx1"/>
            </w14:solidFill>
          </w14:textFill>
        </w:rPr>
        <w:t>，正常状况下废水外溢及下渗造成地下水污染的可能性极小。</w:t>
      </w:r>
      <w:r>
        <w:rPr>
          <w:rFonts w:hint="default" w:ascii="Times New Roman" w:hAnsi="Times New Roman" w:cs="Times New Roman"/>
          <w:color w:val="000000" w:themeColor="text1"/>
          <w:szCs w:val="24"/>
          <w:highlight w:val="none"/>
          <w:lang w:val="en-US" w:eastAsia="zh-CN"/>
          <w14:textFill>
            <w14:solidFill>
              <w14:schemeClr w14:val="tx1"/>
            </w14:solidFill>
          </w14:textFill>
        </w:rPr>
        <w:t>本次评价结合</w:t>
      </w:r>
      <w:r>
        <w:rPr>
          <w:rFonts w:hint="default" w:ascii="Times New Roman" w:hAnsi="Times New Roman" w:cs="Times New Roman"/>
          <w:bCs/>
          <w:color w:val="000000" w:themeColor="text1"/>
          <w:szCs w:val="24"/>
          <w:highlight w:val="none"/>
          <w14:textFill>
            <w14:solidFill>
              <w14:schemeClr w14:val="tx1"/>
            </w14:solidFill>
          </w14:textFill>
        </w:rPr>
        <w:t>《环境影响评价技术导则 地下水环境》（HJ610-2016）</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《环境影响评价技术导则 陆地石油天然气开发建设项目》 （</w:t>
      </w:r>
      <w:r>
        <w:rPr>
          <w:rFonts w:hint="default" w:ascii="Times New Roman" w:hAnsi="Times New Roman" w:cs="Times New Roman"/>
          <w:bCs/>
          <w:color w:val="000000" w:themeColor="text1"/>
          <w:szCs w:val="24"/>
          <w:highlight w:val="none"/>
          <w:lang w:eastAsia="zh-CN"/>
          <w14:textFill>
            <w14:solidFill>
              <w14:schemeClr w14:val="tx1"/>
            </w14:solidFill>
          </w14:textFill>
        </w:rPr>
        <w:t>HJ349-2023</w:t>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对非正常状况下的地下水环境影响进行识别如下：</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①</w:t>
      </w:r>
      <w:r>
        <w:rPr>
          <w:rFonts w:hint="default" w:ascii="Times New Roman" w:hAnsi="Times New Roman" w:cs="Times New Roman"/>
          <w:color w:val="000000" w:themeColor="text1"/>
          <w:szCs w:val="24"/>
          <w:highlight w:val="none"/>
          <w:lang w:val="en-US" w:eastAsia="zh-CN"/>
          <w14:textFill>
            <w14:solidFill>
              <w14:schemeClr w14:val="tx1"/>
            </w14:solidFill>
          </w14:textFill>
        </w:rPr>
        <w:t>罐体循环使用导致发生腐蚀出现废水渗漏；</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②</w:t>
      </w:r>
      <w:r>
        <w:rPr>
          <w:rFonts w:hint="default" w:ascii="Times New Roman" w:hAnsi="Times New Roman" w:cs="Times New Roman"/>
          <w:color w:val="000000" w:themeColor="text1"/>
          <w:szCs w:val="24"/>
          <w:highlight w:val="none"/>
          <w:lang w:val="en-US" w:eastAsia="zh-CN"/>
          <w14:textFill>
            <w14:solidFill>
              <w14:schemeClr w14:val="tx1"/>
            </w14:solidFill>
          </w14:textFill>
        </w:rPr>
        <w:t>雨季产生地面溢流，外溢废水进入井场未硬化地面入渗；</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③物料跑冒滴漏，钻井过程中物料管理不严格、化学品堆放不当、柴油泄漏等</w:t>
      </w:r>
      <w:r>
        <w:rPr>
          <w:rFonts w:hint="default" w:ascii="Times New Roman" w:hAnsi="Times New Roman" w:cs="Times New Roman"/>
          <w:color w:val="000000" w:themeColor="text1"/>
          <w:szCs w:val="24"/>
          <w:highlight w:val="none"/>
          <w:lang w:val="en-US" w:eastAsia="zh-CN"/>
          <w14:textFill>
            <w14:solidFill>
              <w14:schemeClr w14:val="tx1"/>
            </w14:solidFill>
          </w14:textFill>
        </w:rPr>
        <w:t>对地下水造成不同程度的污染</w:t>
      </w:r>
      <w:r>
        <w:rPr>
          <w:rFonts w:hint="default" w:ascii="Times New Roman" w:hAnsi="Times New Roman" w:cs="Times New Roman"/>
          <w:color w:val="000000" w:themeColor="text1"/>
          <w:szCs w:val="24"/>
          <w:highlight w:val="none"/>
          <w14:textFill>
            <w14:solidFill>
              <w14:schemeClr w14:val="tx1"/>
            </w14:solidFill>
          </w14:textFill>
        </w:rPr>
        <w:t>；</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④放喷池防渗不到位</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池内收集暂存的</w:t>
      </w:r>
      <w:r>
        <w:rPr>
          <w:rFonts w:hint="default" w:ascii="Times New Roman" w:hAnsi="Times New Roman" w:cs="Times New Roman"/>
          <w:color w:val="000000" w:themeColor="text1"/>
          <w:szCs w:val="24"/>
          <w:highlight w:val="none"/>
          <w14:textFill>
            <w14:solidFill>
              <w14:schemeClr w14:val="tx1"/>
            </w14:solidFill>
          </w14:textFill>
        </w:rPr>
        <w:t>返排液渗漏，有可能造成不同程度的地下水污染；</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⑤井口作业区、泥浆循环系统区、泥浆不落地装置区散落的泥浆、废水进入井场未硬化地面入渗；</w:t>
      </w:r>
    </w:p>
    <w:p>
      <w:pPr>
        <w:pStyle w:val="123"/>
        <w:keepNext w:val="0"/>
        <w:keepLines w:val="0"/>
        <w:pageBreakBefore w:val="0"/>
        <w:widowControl w:val="0"/>
        <w:kinsoku/>
        <w:wordWrap/>
        <w:overflowPunct/>
        <w:topLinePunct w:val="0"/>
        <w:autoSpaceDE/>
        <w:autoSpaceDN/>
        <w:bidi w:val="0"/>
        <w:adjustRightInd w:val="0"/>
        <w:snapToGrid w:val="0"/>
        <w:ind w:firstLine="482" w:firstLineChars="0"/>
        <w:textAlignment w:val="auto"/>
        <w:rPr>
          <w:rFonts w:hint="default" w:ascii="Times New Roman" w:hAnsi="Times New Roman" w:cs="Times New Roman"/>
          <w:color w:val="000000" w:themeColor="text1"/>
          <w:kern w:val="0"/>
          <w:szCs w:val="20"/>
          <w:highlight w:val="none"/>
          <w14:textFill>
            <w14:solidFill>
              <w14:schemeClr w14:val="tx1"/>
            </w14:solidFill>
          </w14:textFill>
        </w:rPr>
      </w:pPr>
      <w:r>
        <w:rPr>
          <w:rFonts w:hint="eastAsia" w:ascii="宋体" w:hAnsi="宋体" w:eastAsia="宋体" w:cs="宋体"/>
          <w:color w:val="000000" w:themeColor="text1"/>
          <w:szCs w:val="24"/>
          <w:highlight w:val="none"/>
          <w14:textFill>
            <w14:solidFill>
              <w14:schemeClr w14:val="tx1"/>
            </w14:solidFill>
          </w14:textFill>
        </w:rPr>
        <w:t>⑥</w:t>
      </w:r>
      <w:r>
        <w:rPr>
          <w:rFonts w:hint="default" w:ascii="Times New Roman" w:hAnsi="Times New Roman" w:cs="Times New Roman"/>
          <w:color w:val="000000" w:themeColor="text1"/>
          <w:szCs w:val="24"/>
          <w:highlight w:val="none"/>
          <w14:textFill>
            <w14:solidFill>
              <w14:schemeClr w14:val="tx1"/>
            </w14:solidFill>
          </w14:textFill>
        </w:rPr>
        <w:t>压裂过程井筒破裂，压裂液进入含水层</w:t>
      </w:r>
      <w:r>
        <w:rPr>
          <w:rFonts w:hint="default" w:ascii="Times New Roman" w:hAnsi="Times New Roman" w:cs="Times New Roman"/>
          <w:color w:val="000000" w:themeColor="text1"/>
          <w:kern w:val="0"/>
          <w:szCs w:val="20"/>
          <w:highlight w:val="none"/>
          <w14:textFill>
            <w14:solidFill>
              <w14:schemeClr w14:val="tx1"/>
            </w14:solidFill>
          </w14:textFill>
        </w:rPr>
        <w:t>。</w:t>
      </w:r>
    </w:p>
    <w:p>
      <w:pPr>
        <w:pStyle w:val="250"/>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4、大气环境影响</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1）施工期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钻前工程：施工扬尘、运输和作业车辆排放的汽车尾气等对大气环境的影响；</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钻井工程：备用柴油</w:t>
      </w:r>
      <w:r>
        <w:rPr>
          <w:rFonts w:hint="eastAsia" w:cs="Times New Roman"/>
          <w:color w:val="000000" w:themeColor="text1"/>
          <w:kern w:val="2"/>
          <w:sz w:val="24"/>
          <w:szCs w:val="24"/>
          <w:highlight w:val="none"/>
          <w:lang w:val="en-US" w:eastAsia="zh-CN" w:bidi="ar-SA"/>
          <w14:textFill>
            <w14:solidFill>
              <w14:schemeClr w14:val="tx1"/>
            </w14:solidFill>
          </w14:textFill>
        </w:rPr>
        <w:t>动力</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机/</w:t>
      </w:r>
      <w:r>
        <w:rPr>
          <w:rFonts w:hint="eastAsia" w:cs="Times New Roman"/>
          <w:color w:val="000000" w:themeColor="text1"/>
          <w:kern w:val="2"/>
          <w:sz w:val="24"/>
          <w:szCs w:val="24"/>
          <w:highlight w:val="none"/>
          <w:lang w:val="en-US" w:eastAsia="zh-CN" w:bidi="ar-SA"/>
          <w14:textFill>
            <w14:solidFill>
              <w14:schemeClr w14:val="tx1"/>
            </w14:solidFill>
          </w14:textFill>
        </w:rPr>
        <w:t>柴油</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发电机</w:t>
      </w:r>
      <w:r>
        <w:rPr>
          <w:rFonts w:hint="eastAsia" w:cs="Times New Roman"/>
          <w:color w:val="000000" w:themeColor="text1"/>
          <w:kern w:val="2"/>
          <w:sz w:val="24"/>
          <w:szCs w:val="24"/>
          <w:highlight w:val="none"/>
          <w:lang w:val="en-US" w:eastAsia="zh-CN" w:bidi="ar-SA"/>
          <w14:textFill>
            <w14:solidFill>
              <w14:schemeClr w14:val="tx1"/>
            </w14:solidFill>
          </w14:textFill>
        </w:rPr>
        <w:t>组（停电时使用）</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等产生的燃料燃烧废气对大气环境的影响；钻遇地层异常高压时可能进行的事故放喷废气影响</w:t>
      </w:r>
      <w:r>
        <w:rPr>
          <w:rFonts w:hint="eastAsia" w:cs="Times New Roman"/>
          <w:color w:val="000000" w:themeColor="text1"/>
          <w:kern w:val="2"/>
          <w:sz w:val="24"/>
          <w:szCs w:val="24"/>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储层改造工程：测试放喷废气、压裂车施工机械尾气对大气环境的影响；</w:t>
      </w:r>
    </w:p>
    <w:p>
      <w:pPr>
        <w:pStyle w:val="250"/>
        <w:keepNext w:val="0"/>
        <w:keepLines w:val="0"/>
        <w:pageBreakBefore w:val="0"/>
        <w:widowControl w:val="0"/>
        <w:numPr>
          <w:ilvl w:val="0"/>
          <w:numId w:val="7"/>
        </w:numPr>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试采期</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试采工程：本项目</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正常生产情况下，流程设备、管线、阀室等工艺设备为高压密闭作业，无天然气泄漏废气产生。因此，试采期主要为非正常工况下的检修废气和事故放空废气对大气环境的影响。</w:t>
      </w:r>
    </w:p>
    <w:p>
      <w:pPr>
        <w:pStyle w:val="250"/>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5、声环境影响</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1）施工期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钻前工程：</w:t>
      </w:r>
      <w:r>
        <w:rPr>
          <w:rFonts w:hint="default" w:ascii="Times New Roman" w:hAnsi="Times New Roman" w:cs="Times New Roman"/>
          <w:color w:val="000000" w:themeColor="text1"/>
          <w:highlight w:val="none"/>
          <w14:textFill>
            <w14:solidFill>
              <w14:schemeClr w14:val="tx1"/>
            </w14:solidFill>
          </w14:textFill>
        </w:rPr>
        <w:t>施工机械产生的机械噪声</w:t>
      </w:r>
      <w:r>
        <w:rPr>
          <w:rFonts w:hint="default" w:ascii="Times New Roman" w:hAnsi="Times New Roman" w:cs="Times New Roman"/>
          <w:color w:val="000000" w:themeColor="text1"/>
          <w:highlight w:val="none"/>
          <w:lang w:val="en-US" w:eastAsia="zh-CN"/>
          <w14:textFill>
            <w14:solidFill>
              <w14:schemeClr w14:val="tx1"/>
            </w14:solidFill>
          </w14:textFill>
        </w:rPr>
        <w:t>影响</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钻井工程：</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钻井施工作业设备（钻机、泥浆泵、振动筛等）及辅助设施（备用柴油动力机、柴油发电机组等）产生的机械噪声影响；固井作业、下套管、起下钻具、钻机气路控制系统操作时快速放气阀放气、跳钻时吊环与水龙头的撞击等所产生的其他噪声影响；钻遇地层异常高压时可能进行的事故放喷时产生的产生的高压气流噪声影响</w:t>
      </w:r>
      <w:r>
        <w:rPr>
          <w:rFonts w:hint="eastAsia" w:cs="Times New Roman"/>
          <w:color w:val="000000" w:themeColor="text1"/>
          <w:kern w:val="2"/>
          <w:sz w:val="24"/>
          <w:szCs w:val="24"/>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储层改造工程：测试放喷时产生的高压气流噪声</w:t>
      </w:r>
      <w:r>
        <w:rPr>
          <w:rFonts w:hint="eastAsia" w:cs="Times New Roman"/>
          <w:color w:val="000000" w:themeColor="text1"/>
          <w:kern w:val="2"/>
          <w:sz w:val="24"/>
          <w:szCs w:val="24"/>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（2）试采期</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试采工程</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：各类站场设备的气流摩擦噪声影响</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及</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非正常工况下的放空</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噪声</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pPr>
        <w:pStyle w:val="250"/>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6、固体废物环境影响</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1）施工期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钻前工程：弃土石方、生活垃圾、建筑垃圾等；</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钻井工程：水基钻井固废（废水基岩屑、废水基泥浆等）、油基钻井固废（若钻遇复杂地层时，废油基岩屑、废油基泥浆等）、废油及其他含油废物、废包装材料、生活垃圾等</w:t>
      </w:r>
      <w:r>
        <w:rPr>
          <w:rFonts w:hint="eastAsia" w:cs="Times New Roman"/>
          <w:color w:val="000000" w:themeColor="text1"/>
          <w:kern w:val="2"/>
          <w:sz w:val="24"/>
          <w:szCs w:val="24"/>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储层改造工程：废包装材料、生活垃圾等</w:t>
      </w:r>
      <w:r>
        <w:rPr>
          <w:rFonts w:hint="eastAsia" w:cs="Times New Roman"/>
          <w:color w:val="000000" w:themeColor="text1"/>
          <w:kern w:val="2"/>
          <w:sz w:val="24"/>
          <w:szCs w:val="24"/>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（2）试采期</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试采工程</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：本项目拟建工程</w:t>
      </w:r>
      <w:r>
        <w:rPr>
          <w:rFonts w:hint="eastAsia" w:cs="Times New Roman"/>
          <w:color w:val="000000" w:themeColor="text1"/>
          <w:kern w:val="2"/>
          <w:sz w:val="24"/>
          <w:szCs w:val="24"/>
          <w:highlight w:val="none"/>
          <w:lang w:val="en-US" w:eastAsia="zh-CN" w:bidi="ar-SA"/>
          <w14:textFill>
            <w14:solidFill>
              <w14:schemeClr w14:val="tx1"/>
            </w14:solidFill>
          </w14:textFill>
        </w:rPr>
        <w:t>依托原P106集气站流程，</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只新增</w:t>
      </w:r>
      <w:r>
        <w:rPr>
          <w:rFonts w:hint="eastAsia" w:cs="Times New Roman"/>
          <w:color w:val="000000" w:themeColor="text1"/>
          <w:kern w:val="2"/>
          <w:sz w:val="24"/>
          <w:szCs w:val="24"/>
          <w:highlight w:val="none"/>
          <w:lang w:val="en-US" w:eastAsia="zh-CN" w:bidi="ar-SA"/>
          <w14:textFill>
            <w14:solidFill>
              <w14:schemeClr w14:val="tx1"/>
            </w14:solidFill>
          </w14:textFill>
        </w:rPr>
        <w:t>临时分酸器1套、移动式乙二醇加注撬车</w:t>
      </w:r>
      <w:r>
        <w:rPr>
          <w:rFonts w:hint="eastAsia"/>
          <w:color w:val="000000" w:themeColor="text1"/>
          <w:highlight w:val="none"/>
          <w:lang w:val="en-US" w:eastAsia="zh-CN"/>
          <w14:textFill>
            <w14:solidFill>
              <w14:schemeClr w14:val="tx1"/>
            </w14:solidFill>
          </w14:textFill>
        </w:rPr>
        <w:t>1套</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在正常运行过程中不会产生固体废物</w:t>
      </w:r>
      <w:r>
        <w:rPr>
          <w:rFonts w:hint="eastAsia" w:cs="Times New Roman"/>
          <w:color w:val="000000" w:themeColor="text1"/>
          <w:kern w:val="2"/>
          <w:sz w:val="24"/>
          <w:szCs w:val="24"/>
          <w:highlight w:val="none"/>
          <w:lang w:val="en-US" w:eastAsia="zh-CN" w:bidi="ar-SA"/>
          <w14:textFill>
            <w14:solidFill>
              <w14:schemeClr w14:val="tx1"/>
            </w14:solidFill>
          </w14:textFill>
        </w:rPr>
        <w:t>；试采期</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w:t>
      </w:r>
      <w:r>
        <w:rPr>
          <w:rFonts w:hint="eastAsia" w:cs="Times New Roman"/>
          <w:color w:val="000000" w:themeColor="text1"/>
          <w:kern w:val="2"/>
          <w:sz w:val="24"/>
          <w:szCs w:val="24"/>
          <w:highlight w:val="none"/>
          <w:lang w:val="en-US" w:eastAsia="zh-CN" w:bidi="ar-SA"/>
          <w14:textFill>
            <w14:solidFill>
              <w14:schemeClr w14:val="tx1"/>
            </w14:solidFill>
          </w14:textFill>
        </w:rPr>
        <w:t>为不新增劳动定员</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，无</w:t>
      </w:r>
      <w:r>
        <w:rPr>
          <w:rFonts w:hint="eastAsia" w:cs="Times New Roman"/>
          <w:color w:val="000000" w:themeColor="text1"/>
          <w:kern w:val="2"/>
          <w:sz w:val="24"/>
          <w:szCs w:val="24"/>
          <w:highlight w:val="none"/>
          <w:lang w:val="en-US" w:eastAsia="zh-CN" w:bidi="ar-SA"/>
          <w14:textFill>
            <w14:solidFill>
              <w14:schemeClr w14:val="tx1"/>
            </w14:solidFill>
          </w14:textFill>
        </w:rPr>
        <w:t>新增</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生活垃圾产生。</w:t>
      </w:r>
    </w:p>
    <w:p>
      <w:pPr>
        <w:pStyle w:val="250"/>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7、土壤环境影响</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1）施工期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钻前工程：钻前工程等造成的土壤扰动；施工机械等燃烧废气，通过降雨或沉降进入土壤，从而引起土壤污染</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钻井工程：施工机械燃烧废气、钻遇异常高压时的事故放喷废气等通过降雨或沉降进入土壤，从而引起土壤污染；泥浆不落地装置区及泥浆循环系统、泥浆料台区、储备罐区、油罐区、柴油机组区、放喷池等区域，在事故情况和降雨情况下产生的废水及油类物质会发生地面漫流</w:t>
      </w:r>
      <w:r>
        <w:rPr>
          <w:rFonts w:hint="eastAsia" w:cs="Times New Roman"/>
          <w:color w:val="000000" w:themeColor="text1"/>
          <w:kern w:val="2"/>
          <w:sz w:val="24"/>
          <w:szCs w:val="24"/>
          <w:highlight w:val="none"/>
          <w:lang w:val="en-US" w:eastAsia="zh-CN" w:bidi="ar-SA"/>
          <w14:textFill>
            <w14:solidFill>
              <w14:schemeClr w14:val="tx1"/>
            </w14:solidFill>
          </w14:textFill>
        </w:rPr>
        <w:t>，对</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土壤</w:t>
      </w:r>
      <w:r>
        <w:rPr>
          <w:rFonts w:hint="eastAsia" w:cs="Times New Roman"/>
          <w:color w:val="000000" w:themeColor="text1"/>
          <w:kern w:val="2"/>
          <w:sz w:val="24"/>
          <w:szCs w:val="24"/>
          <w:highlight w:val="none"/>
          <w:lang w:val="en-US" w:eastAsia="zh-CN" w:bidi="ar-SA"/>
          <w14:textFill>
            <w14:solidFill>
              <w14:schemeClr w14:val="tx1"/>
            </w14:solidFill>
          </w14:textFill>
        </w:rPr>
        <w:t>造成污染</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；对于泥浆不落地装置区及泥浆循环系统、泥浆料台区、储备罐区、油罐区、放喷池、方井周边、钻井固废暂存区、发电机房、柴油机组区等区域，在事故情况下会造成污染物的泄露，通过垂直入渗途径污染土壤</w:t>
      </w:r>
      <w:r>
        <w:rPr>
          <w:rFonts w:hint="eastAsia" w:cs="Times New Roman"/>
          <w:color w:val="000000" w:themeColor="text1"/>
          <w:kern w:val="2"/>
          <w:sz w:val="24"/>
          <w:szCs w:val="24"/>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储层改造工程：</w:t>
      </w:r>
      <w:r>
        <w:rPr>
          <w:rFonts w:hint="default" w:ascii="Times New Roman" w:hAnsi="Times New Roman" w:cs="Times New Roman"/>
          <w:bCs/>
          <w:color w:val="000000" w:themeColor="text1"/>
          <w:szCs w:val="24"/>
          <w:highlight w:val="none"/>
          <w14:textFill>
            <w14:solidFill>
              <w14:schemeClr w14:val="tx1"/>
            </w14:solidFill>
          </w14:textFill>
        </w:rPr>
        <w:t>施工机械</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燃烧废气</w:t>
      </w:r>
      <w:r>
        <w:rPr>
          <w:rFonts w:hint="eastAsia" w:cs="Times New Roman"/>
          <w:bCs/>
          <w:color w:val="000000" w:themeColor="text1"/>
          <w:szCs w:val="24"/>
          <w:highlight w:val="none"/>
          <w:lang w:val="en-US"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测试放喷废气等</w:t>
      </w:r>
      <w:r>
        <w:rPr>
          <w:rFonts w:hint="default" w:ascii="Times New Roman" w:hAnsi="Times New Roman" w:cs="Times New Roman"/>
          <w:bCs/>
          <w:color w:val="000000" w:themeColor="text1"/>
          <w:szCs w:val="24"/>
          <w:highlight w:val="none"/>
          <w14:textFill>
            <w14:solidFill>
              <w14:schemeClr w14:val="tx1"/>
            </w14:solidFill>
          </w14:textFill>
        </w:rPr>
        <w:t>通过降雨或沉降进入土壤，从而引起土壤污染</w:t>
      </w:r>
      <w:r>
        <w:rPr>
          <w:rFonts w:hint="eastAsia" w:cs="Times New Roman"/>
          <w:color w:val="000000" w:themeColor="text1"/>
          <w:kern w:val="2"/>
          <w:sz w:val="24"/>
          <w:szCs w:val="24"/>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（2）试采期</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试采工程</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：试采期若</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污水泄漏、渗漏，以及</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废水未妥善处置转运</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（发生泄漏</w:t>
      </w:r>
      <w:r>
        <w:rPr>
          <w:rFonts w:hint="eastAsia" w:cs="Times New Roman"/>
          <w:color w:val="000000" w:themeColor="text1"/>
          <w:kern w:val="2"/>
          <w:sz w:val="24"/>
          <w:szCs w:val="24"/>
          <w:highlight w:val="none"/>
          <w:lang w:val="en-US" w:eastAsia="zh-CN" w:bidi="ar-SA"/>
          <w14:textFill>
            <w14:solidFill>
              <w14:schemeClr w14:val="tx1"/>
            </w14:solidFill>
          </w14:textFill>
        </w:rPr>
        <w:t>或漫流</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，可能会对区域土壤环境造成污染影响</w:t>
      </w:r>
      <w:r>
        <w:rPr>
          <w:rFonts w:hint="eastAsia" w:cs="Times New Roman"/>
          <w:color w:val="000000" w:themeColor="text1"/>
          <w:kern w:val="2"/>
          <w:sz w:val="24"/>
          <w:szCs w:val="24"/>
          <w:highlight w:val="none"/>
          <w:lang w:val="en-US" w:eastAsia="zh-CN" w:bidi="ar-SA"/>
          <w14:textFill>
            <w14:solidFill>
              <w14:schemeClr w14:val="tx1"/>
            </w14:solidFill>
          </w14:textFill>
        </w:rPr>
        <w:t>；含硫天然气通过大气沉降、降雨等方式对周边土壤有一定影响。</w:t>
      </w:r>
    </w:p>
    <w:p>
      <w:pPr>
        <w:pStyle w:val="250"/>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8、环境风险</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本项目环境风险重点关注危险物质（含硫天然气、油基钻井固废、柴油等）泄漏，以及火灾、爆炸、井喷等安全生产风险事故引发的伴生/次生污染物对环境的影响</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综上，</w:t>
      </w:r>
      <w:r>
        <w:rPr>
          <w:rFonts w:hint="default" w:ascii="Times New Roman" w:hAnsi="Times New Roman" w:cs="Times New Roman"/>
          <w:color w:val="000000" w:themeColor="text1"/>
          <w:highlight w:val="none"/>
          <w14:textFill>
            <w14:solidFill>
              <w14:schemeClr w14:val="tx1"/>
            </w14:solidFill>
          </w14:textFill>
        </w:rPr>
        <w:t>本项目环境影响</w:t>
      </w:r>
      <w:r>
        <w:rPr>
          <w:rFonts w:hint="eastAsia" w:cs="Times New Roman"/>
          <w:color w:val="000000" w:themeColor="text1"/>
          <w:highlight w:val="none"/>
          <w:lang w:val="en-US" w:eastAsia="zh-CN"/>
          <w14:textFill>
            <w14:solidFill>
              <w14:schemeClr w14:val="tx1"/>
            </w14:solidFill>
          </w14:textFill>
        </w:rPr>
        <w:t>识别</w:t>
      </w:r>
      <w:r>
        <w:rPr>
          <w:rFonts w:hint="default" w:ascii="Times New Roman" w:hAnsi="Times New Roman" w:cs="Times New Roman"/>
          <w:color w:val="000000" w:themeColor="text1"/>
          <w:highlight w:val="none"/>
          <w14:textFill>
            <w14:solidFill>
              <w14:schemeClr w14:val="tx1"/>
            </w14:solidFill>
          </w14:textFill>
        </w:rPr>
        <w:t>见表2.4-1。</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本项目环境影响分析表</w:t>
      </w:r>
    </w:p>
    <w:tbl>
      <w:tblPr>
        <w:tblStyle w:val="52"/>
        <w:tblW w:w="8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01"/>
        <w:gridCol w:w="7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601" w:type="dxa"/>
            <w:vAlign w:val="center"/>
          </w:tcPr>
          <w:p>
            <w:pPr>
              <w:pStyle w:val="295"/>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影响类别</w:t>
            </w:r>
          </w:p>
        </w:tc>
        <w:tc>
          <w:tcPr>
            <w:tcW w:w="7715" w:type="dxa"/>
            <w:vAlign w:val="center"/>
          </w:tcPr>
          <w:p>
            <w:pPr>
              <w:pStyle w:val="295"/>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环境影响内容</w:t>
            </w:r>
            <w:r>
              <w:rPr>
                <w:rFonts w:hint="default" w:ascii="Times New Roman" w:hAnsi="Times New Roman" w:cs="Times New Roman"/>
                <w:b/>
                <w:bCs/>
                <w:color w:val="000000" w:themeColor="text1"/>
                <w:highlight w:val="none"/>
                <w:lang w:val="en-US" w:eastAsia="zh-CN"/>
                <w14:textFill>
                  <w14:solidFill>
                    <w14:schemeClr w14:val="tx1"/>
                  </w14:solidFill>
                </w14:textFill>
              </w:rPr>
              <w:t>识别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601" w:type="dxa"/>
            <w:vAlign w:val="center"/>
          </w:tcPr>
          <w:p>
            <w:pPr>
              <w:pStyle w:val="295"/>
              <w:keepNext w:val="0"/>
              <w:keepLines w:val="0"/>
              <w:pageBreakBefore w:val="0"/>
              <w:kinsoku/>
              <w:wordWrap/>
              <w:overflowPunct/>
              <w:topLinePunct w:val="0"/>
              <w:autoSpaceDE/>
              <w:autoSpaceDN/>
              <w:bidi w:val="0"/>
              <w:adjustRightInd w:val="0"/>
              <w:snapToGrid w:val="0"/>
              <w:spacing w:line="320" w:lineRule="exac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生态</w:t>
            </w:r>
          </w:p>
        </w:tc>
        <w:tc>
          <w:tcPr>
            <w:tcW w:w="7715" w:type="dxa"/>
            <w:vAlign w:val="center"/>
          </w:tcPr>
          <w:p>
            <w:pPr>
              <w:pStyle w:val="250"/>
              <w:keepNext w:val="0"/>
              <w:keepLines w:val="0"/>
              <w:pageBreakBefore w:val="0"/>
              <w:widowControl w:val="0"/>
              <w:kinsoku/>
              <w:wordWrap/>
              <w:overflowPunct/>
              <w:topLinePunct w:val="0"/>
              <w:autoSpaceDE/>
              <w:autoSpaceDN/>
              <w:bidi w:val="0"/>
              <w:adjustRightInd w:val="0"/>
              <w:snapToGrid w:val="0"/>
              <w:spacing w:line="320" w:lineRule="exact"/>
              <w:ind w:left="0" w:leftChars="0" w:firstLine="420" w:firstLineChars="200"/>
              <w:textAlignment w:val="auto"/>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（1）施工期</w:t>
            </w:r>
          </w:p>
          <w:p>
            <w:pPr>
              <w:pStyle w:val="250"/>
              <w:keepNext w:val="0"/>
              <w:keepLines w:val="0"/>
              <w:pageBreakBefore w:val="0"/>
              <w:widowControl w:val="0"/>
              <w:kinsoku/>
              <w:wordWrap/>
              <w:overflowPunct/>
              <w:topLinePunct w:val="0"/>
              <w:autoSpaceDE/>
              <w:autoSpaceDN/>
              <w:bidi w:val="0"/>
              <w:adjustRightInd w:val="0"/>
              <w:snapToGrid w:val="0"/>
              <w:spacing w:line="320" w:lineRule="exact"/>
              <w:ind w:left="0" w:leftChars="0" w:firstLine="420" w:firstLineChars="200"/>
              <w:textAlignment w:val="auto"/>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临时占地</w:t>
            </w:r>
            <w:r>
              <w:rPr>
                <w:rFonts w:hint="eastAsia" w:cs="Times New Roman"/>
                <w:color w:val="000000" w:themeColor="text1"/>
                <w:kern w:val="2"/>
                <w:sz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土石方工程开挖（本项目土石方开挖量较小，除施工期临时生活区外不新增占地）引起的自然地貌的改变和地表自然及人工植被的破坏，进而引起土地利用改变</w:t>
            </w:r>
            <w:r>
              <w:rPr>
                <w:rFonts w:hint="eastAsia" w:cs="Times New Roman"/>
                <w:color w:val="000000" w:themeColor="text1"/>
                <w:kern w:val="2"/>
                <w:sz w:val="21"/>
                <w:highlight w:val="none"/>
                <w:lang w:val="en-US" w:eastAsia="zh-CN" w:bidi="ar-SA"/>
                <w14:textFill>
                  <w14:solidFill>
                    <w14:schemeClr w14:val="tx1"/>
                  </w14:solidFill>
                </w14:textFill>
              </w:rPr>
              <w:t>、原有</w:t>
            </w: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生态破坏及水土流失。</w:t>
            </w:r>
          </w:p>
          <w:p>
            <w:pPr>
              <w:pStyle w:val="250"/>
              <w:keepNext w:val="0"/>
              <w:keepLines w:val="0"/>
              <w:pageBreakBefore w:val="0"/>
              <w:widowControl w:val="0"/>
              <w:kinsoku/>
              <w:wordWrap/>
              <w:overflowPunct/>
              <w:topLinePunct w:val="0"/>
              <w:autoSpaceDE/>
              <w:autoSpaceDN/>
              <w:bidi w:val="0"/>
              <w:adjustRightInd w:val="0"/>
              <w:snapToGrid w:val="0"/>
              <w:spacing w:line="320" w:lineRule="exact"/>
              <w:ind w:left="0" w:leftChars="0" w:firstLine="420" w:firstLineChars="200"/>
              <w:textAlignment w:val="auto"/>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（2）试采期</w:t>
            </w:r>
          </w:p>
          <w:p>
            <w:pPr>
              <w:pStyle w:val="295"/>
              <w:keepNext w:val="0"/>
              <w:keepLines w:val="0"/>
              <w:pageBreakBefore w:val="0"/>
              <w:kinsoku/>
              <w:wordWrap/>
              <w:overflowPunct/>
              <w:topLinePunct w:val="0"/>
              <w:autoSpaceDE/>
              <w:autoSpaceDN/>
              <w:bidi w:val="0"/>
              <w:adjustRightInd w:val="0"/>
              <w:snapToGrid w:val="0"/>
              <w:spacing w:line="320" w:lineRule="exact"/>
              <w:ind w:firstLine="420" w:firstLineChars="200"/>
              <w:jc w:val="left"/>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试采期不会新增占地，也不会带来新的生态影响。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601" w:type="dxa"/>
            <w:vAlign w:val="center"/>
          </w:tcPr>
          <w:p>
            <w:pPr>
              <w:pStyle w:val="295"/>
              <w:keepNext w:val="0"/>
              <w:keepLines w:val="0"/>
              <w:pageBreakBefore w:val="0"/>
              <w:kinsoku/>
              <w:wordWrap/>
              <w:overflowPunct/>
              <w:topLinePunct w:val="0"/>
              <w:autoSpaceDE/>
              <w:autoSpaceDN/>
              <w:bidi w:val="0"/>
              <w:adjustRightInd w:val="0"/>
              <w:snapToGrid w:val="0"/>
              <w:spacing w:line="320" w:lineRule="exac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地表水</w:t>
            </w:r>
          </w:p>
        </w:tc>
        <w:tc>
          <w:tcPr>
            <w:tcW w:w="7715" w:type="dxa"/>
            <w:vAlign w:val="center"/>
          </w:tcPr>
          <w:p>
            <w:pPr>
              <w:pStyle w:val="250"/>
              <w:keepNext w:val="0"/>
              <w:keepLines w:val="0"/>
              <w:pageBreakBefore w:val="0"/>
              <w:widowControl w:val="0"/>
              <w:numPr>
                <w:ilvl w:val="0"/>
                <w:numId w:val="8"/>
              </w:numPr>
              <w:kinsoku/>
              <w:wordWrap/>
              <w:overflowPunct/>
              <w:topLinePunct w:val="0"/>
              <w:autoSpaceDE/>
              <w:autoSpaceDN/>
              <w:bidi w:val="0"/>
              <w:adjustRightInd w:val="0"/>
              <w:snapToGrid w:val="0"/>
              <w:spacing w:line="320" w:lineRule="exact"/>
              <w:ind w:left="0" w:leftChars="0" w:firstLine="420" w:firstLineChars="200"/>
              <w:textAlignment w:val="auto"/>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施工期：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Chars="0" w:firstLine="420" w:firstLineChars="200"/>
              <w:textAlignment w:val="auto"/>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钻前工程：</w:t>
            </w:r>
            <w:r>
              <w:rPr>
                <w:rFonts w:hint="eastAsia" w:ascii="Times New Roman" w:hAnsi="Times New Roman" w:eastAsia="宋体" w:cs="Times New Roman"/>
                <w:color w:val="000000" w:themeColor="text1"/>
                <w:kern w:val="2"/>
                <w:sz w:val="21"/>
                <w:highlight w:val="none"/>
                <w:lang w:val="en-US" w:eastAsia="zh-CN" w:bidi="ar-SA"/>
                <w14:textFill>
                  <w14:solidFill>
                    <w14:schemeClr w14:val="tx1"/>
                  </w14:solidFill>
                </w14:textFill>
              </w:rPr>
              <w:t>钻前施工废水、</w:t>
            </w: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施工人员产生的生活污水对地表水环境的影响；</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钻井工程：钻井废水、场地</w:t>
            </w:r>
            <w:r>
              <w:rPr>
                <w:rFonts w:hint="default" w:ascii="Times New Roman" w:hAnsi="Times New Roman" w:cs="Times New Roman"/>
                <w:color w:val="000000" w:themeColor="text1"/>
                <w:kern w:val="2"/>
                <w:sz w:val="21"/>
                <w:highlight w:val="none"/>
                <w:lang w:val="en-US" w:eastAsia="zh-CN" w:bidi="ar-SA"/>
                <w14:textFill>
                  <w14:solidFill>
                    <w14:schemeClr w14:val="tx1"/>
                  </w14:solidFill>
                </w14:textFill>
              </w:rPr>
              <w:t>初期</w:t>
            </w: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雨水、生活污水等对地表水的影响；</w:t>
            </w:r>
          </w:p>
          <w:p>
            <w:pPr>
              <w:pStyle w:val="250"/>
              <w:keepNext w:val="0"/>
              <w:keepLines w:val="0"/>
              <w:pageBreakBefore w:val="0"/>
              <w:widowControl w:val="0"/>
              <w:kinsoku/>
              <w:wordWrap/>
              <w:overflowPunct/>
              <w:topLinePunct w:val="0"/>
              <w:autoSpaceDE/>
              <w:autoSpaceDN/>
              <w:bidi w:val="0"/>
              <w:adjustRightInd w:val="0"/>
              <w:snapToGrid w:val="0"/>
              <w:spacing w:line="320" w:lineRule="exact"/>
              <w:ind w:left="0" w:leftChars="0" w:firstLine="420" w:firstLineChars="200"/>
              <w:textAlignment w:val="auto"/>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储层改造工程：洗井废水、压裂返排液、生活污水对地表水的影响</w:t>
            </w:r>
            <w:r>
              <w:rPr>
                <w:rFonts w:hint="eastAsia" w:cs="Times New Roman"/>
                <w:color w:val="000000" w:themeColor="text1"/>
                <w:kern w:val="2"/>
                <w:sz w:val="21"/>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highlight w:val="none"/>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试采期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highlight w:val="none"/>
                <w:lang w:val="en-US" w:eastAsia="zh-CN" w:bidi="ar-SA"/>
                <w14:textFill>
                  <w14:solidFill>
                    <w14:schemeClr w14:val="tx1"/>
                  </w14:solidFill>
                </w14:textFill>
              </w:rPr>
              <w:t>试采工程</w:t>
            </w:r>
            <w: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t>：气田水（含初期压裂返排液）对地表水的影响。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601" w:type="dxa"/>
            <w:vAlign w:val="center"/>
          </w:tcPr>
          <w:p>
            <w:pPr>
              <w:pStyle w:val="295"/>
              <w:keepNext w:val="0"/>
              <w:keepLines w:val="0"/>
              <w:pageBreakBefore w:val="0"/>
              <w:kinsoku/>
              <w:wordWrap/>
              <w:overflowPunct/>
              <w:topLinePunct w:val="0"/>
              <w:autoSpaceDE/>
              <w:autoSpaceDN/>
              <w:bidi w:val="0"/>
              <w:adjustRightInd w:val="0"/>
              <w:snapToGrid w:val="0"/>
              <w:spacing w:line="320" w:lineRule="exac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地下水</w:t>
            </w:r>
          </w:p>
        </w:tc>
        <w:tc>
          <w:tcPr>
            <w:tcW w:w="7715" w:type="dxa"/>
            <w:vAlign w:val="center"/>
          </w:tcPr>
          <w:p>
            <w:pPr>
              <w:keepNext w:val="0"/>
              <w:keepLines w:val="0"/>
              <w:pageBreakBefore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（1）罐体循环使用导致发生腐蚀出现废水渗漏</w:t>
            </w:r>
            <w:r>
              <w:rPr>
                <w:rFonts w:hint="eastAsia" w:cs="Times New Roman"/>
                <w:color w:val="000000" w:themeColor="text1"/>
                <w:kern w:val="2"/>
                <w:sz w:val="21"/>
                <w:szCs w:val="20"/>
                <w:highlight w:val="none"/>
                <w:lang w:val="en-US" w:eastAsia="zh-CN" w:bidi="ar-SA"/>
                <w14:textFill>
                  <w14:solidFill>
                    <w14:schemeClr w14:val="tx1"/>
                  </w14:solidFill>
                </w14:textFill>
              </w:rPr>
              <w:t>；</w:t>
            </w:r>
          </w:p>
          <w:p>
            <w:pPr>
              <w:keepNext w:val="0"/>
              <w:keepLines w:val="0"/>
              <w:pageBreakBefore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eastAsia" w:cs="Times New Roman"/>
                <w:color w:val="000000" w:themeColor="text1"/>
                <w:kern w:val="2"/>
                <w:sz w:val="21"/>
                <w:szCs w:val="20"/>
                <w:highlight w:val="none"/>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雨季产生地面溢流</w:t>
            </w:r>
            <w:r>
              <w:rPr>
                <w:rFonts w:hint="eastAsia" w:cs="Times New Roman"/>
                <w:color w:val="000000" w:themeColor="text1"/>
                <w:kern w:val="2"/>
                <w:sz w:val="21"/>
                <w:szCs w:val="20"/>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外溢废水进入井场未硬化地面入渗；</w:t>
            </w:r>
          </w:p>
          <w:p>
            <w:pPr>
              <w:keepNext w:val="0"/>
              <w:keepLines w:val="0"/>
              <w:pageBreakBefore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w:t>
            </w:r>
            <w:r>
              <w:rPr>
                <w:rFonts w:hint="eastAsia" w:cs="Times New Roman"/>
                <w:color w:val="000000" w:themeColor="text1"/>
                <w:kern w:val="2"/>
                <w:sz w:val="21"/>
                <w:szCs w:val="20"/>
                <w:highlight w:val="none"/>
                <w:lang w:val="en-US" w:eastAsia="zh-CN" w:bidi="ar-SA"/>
                <w14:textFill>
                  <w14:solidFill>
                    <w14:schemeClr w14:val="tx1"/>
                  </w14:solidFill>
                </w14:textFill>
              </w:rPr>
              <w:t>3</w:t>
            </w: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物料跑冒滴漏，钻井过程中物料管理不严格、化学品堆放不当、柴油泄漏等</w:t>
            </w:r>
            <w:r>
              <w:rPr>
                <w:rFonts w:hint="eastAsia" w:cs="Times New Roman"/>
                <w:color w:val="000000" w:themeColor="text1"/>
                <w:kern w:val="2"/>
                <w:sz w:val="21"/>
                <w:szCs w:val="20"/>
                <w:highlight w:val="none"/>
                <w:lang w:val="en-US" w:eastAsia="zh-CN" w:bidi="ar-SA"/>
                <w14:textFill>
                  <w14:solidFill>
                    <w14:schemeClr w14:val="tx1"/>
                  </w14:solidFill>
                </w14:textFill>
              </w:rPr>
              <w:t>对</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地下水</w:t>
            </w:r>
            <w:r>
              <w:rPr>
                <w:rFonts w:hint="eastAsia" w:cs="Times New Roman"/>
                <w:color w:val="000000" w:themeColor="text1"/>
                <w:kern w:val="2"/>
                <w:sz w:val="21"/>
                <w:szCs w:val="20"/>
                <w:highlight w:val="none"/>
                <w:lang w:val="en-US" w:eastAsia="zh-CN" w:bidi="ar-SA"/>
                <w14:textFill>
                  <w14:solidFill>
                    <w14:schemeClr w14:val="tx1"/>
                  </w14:solidFill>
                </w14:textFill>
              </w:rPr>
              <w:t>造成</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不同程度的污染；</w:t>
            </w:r>
          </w:p>
          <w:p>
            <w:pPr>
              <w:keepNext w:val="0"/>
              <w:keepLines w:val="0"/>
              <w:pageBreakBefore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w:t>
            </w:r>
            <w:r>
              <w:rPr>
                <w:rFonts w:hint="eastAsia" w:cs="Times New Roman"/>
                <w:color w:val="000000" w:themeColor="text1"/>
                <w:kern w:val="2"/>
                <w:sz w:val="21"/>
                <w:szCs w:val="20"/>
                <w:highlight w:val="none"/>
                <w:lang w:val="en-US" w:eastAsia="zh-CN" w:bidi="ar-SA"/>
                <w14:textFill>
                  <w14:solidFill>
                    <w14:schemeClr w14:val="tx1"/>
                  </w14:solidFill>
                </w14:textFill>
              </w:rPr>
              <w:t>4</w:t>
            </w: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放喷池防渗不到位，池内收集暂存的返排液渗漏，有可能造成不同程度的地下水污染；</w:t>
            </w:r>
          </w:p>
          <w:p>
            <w:pPr>
              <w:keepNext w:val="0"/>
              <w:keepLines w:val="0"/>
              <w:pageBreakBefore w:val="0"/>
              <w:widowControl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w:t>
            </w:r>
            <w:r>
              <w:rPr>
                <w:rFonts w:hint="eastAsia" w:cs="Times New Roman"/>
                <w:color w:val="000000" w:themeColor="text1"/>
                <w:kern w:val="2"/>
                <w:sz w:val="21"/>
                <w:szCs w:val="20"/>
                <w:highlight w:val="none"/>
                <w:lang w:val="en-US" w:eastAsia="zh-CN" w:bidi="ar-SA"/>
                <w14:textFill>
                  <w14:solidFill>
                    <w14:schemeClr w14:val="tx1"/>
                  </w14:solidFill>
                </w14:textFill>
              </w:rPr>
              <w:t>5</w:t>
            </w: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井口作业区、泥浆循环系统区、泥浆不落地装置区散落的泥浆、废水进入井场未硬化地面入渗；</w:t>
            </w:r>
          </w:p>
          <w:p>
            <w:pPr>
              <w:pStyle w:val="123"/>
              <w:keepNext w:val="0"/>
              <w:keepLines w:val="0"/>
              <w:pageBreakBefore w:val="0"/>
              <w:widowControl w:val="0"/>
              <w:kinsoku/>
              <w:wordWrap/>
              <w:overflowPunct/>
              <w:topLinePunct w:val="0"/>
              <w:autoSpaceDE/>
              <w:autoSpaceDN/>
              <w:bidi w:val="0"/>
              <w:adjustRightInd w:val="0"/>
              <w:snapToGrid w:val="0"/>
              <w:spacing w:line="320" w:lineRule="exact"/>
              <w:ind w:firstLine="482" w:firstLineChars="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w:t>
            </w:r>
            <w:r>
              <w:rPr>
                <w:rFonts w:hint="eastAsia" w:cs="Times New Roman"/>
                <w:color w:val="000000" w:themeColor="text1"/>
                <w:kern w:val="2"/>
                <w:sz w:val="21"/>
                <w:szCs w:val="20"/>
                <w:highlight w:val="none"/>
                <w:lang w:val="en-US" w:eastAsia="zh-CN" w:bidi="ar-SA"/>
                <w14:textFill>
                  <w14:solidFill>
                    <w14:schemeClr w14:val="tx1"/>
                  </w14:solidFill>
                </w14:textFill>
              </w:rPr>
              <w:t>6</w:t>
            </w: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压裂过程井筒破裂，压裂液进入含水层。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601" w:type="dxa"/>
            <w:vAlign w:val="center"/>
          </w:tcPr>
          <w:p>
            <w:pPr>
              <w:pStyle w:val="295"/>
              <w:keepNext w:val="0"/>
              <w:keepLines w:val="0"/>
              <w:pageBreakBefore w:val="0"/>
              <w:kinsoku/>
              <w:wordWrap/>
              <w:overflowPunct/>
              <w:topLinePunct w:val="0"/>
              <w:autoSpaceDE/>
              <w:autoSpaceDN/>
              <w:bidi w:val="0"/>
              <w:adjustRightInd w:val="0"/>
              <w:snapToGrid w:val="0"/>
              <w:spacing w:line="320" w:lineRule="exac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大气</w:t>
            </w:r>
          </w:p>
        </w:tc>
        <w:tc>
          <w:tcPr>
            <w:tcW w:w="7715" w:type="dxa"/>
            <w:vAlign w:val="center"/>
          </w:tcPr>
          <w:p>
            <w:pPr>
              <w:pStyle w:val="250"/>
              <w:keepNext w:val="0"/>
              <w:keepLines w:val="0"/>
              <w:pageBreakBefore w:val="0"/>
              <w:widowControl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（1）施工期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钻前工程：施工扬尘、运输和作业车辆排放的汽车尾气等对大气环境的影响；</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钻井工程：备用柴油动力机/柴油发电机组等产生的燃料燃烧废气对大气环境的影响；钻遇地层异常高压时可能进行的事故放喷废气影响。</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储层改造工程：测试放喷废气、压裂车施工机械尾气对大气环境的影响；</w:t>
            </w:r>
          </w:p>
          <w:p>
            <w:pPr>
              <w:pStyle w:val="250"/>
              <w:keepNext w:val="0"/>
              <w:keepLines w:val="0"/>
              <w:pageBreakBefore w:val="0"/>
              <w:widowControl w:val="0"/>
              <w:numPr>
                <w:ilvl w:val="0"/>
                <w:numId w:val="7"/>
              </w:numPr>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试采期</w:t>
            </w:r>
          </w:p>
          <w:p>
            <w:pPr>
              <w:keepNext w:val="0"/>
              <w:keepLines w:val="0"/>
              <w:pageBreakBefore w:val="0"/>
              <w:widowControl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试采工程</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：非正常工况下的检修废气</w:t>
            </w:r>
            <w:r>
              <w:rPr>
                <w:rFonts w:hint="eastAsia" w:cs="Times New Roman"/>
                <w:color w:val="000000" w:themeColor="text1"/>
                <w:kern w:val="2"/>
                <w:sz w:val="21"/>
                <w:szCs w:val="20"/>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事故放空废气对大气环境的影响。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601" w:type="dxa"/>
            <w:vAlign w:val="center"/>
          </w:tcPr>
          <w:p>
            <w:pPr>
              <w:pStyle w:val="295"/>
              <w:keepNext w:val="0"/>
              <w:keepLines w:val="0"/>
              <w:pageBreakBefore w:val="0"/>
              <w:kinsoku/>
              <w:wordWrap/>
              <w:overflowPunct/>
              <w:topLinePunct w:val="0"/>
              <w:autoSpaceDE/>
              <w:autoSpaceDN/>
              <w:bidi w:val="0"/>
              <w:adjustRightInd w:val="0"/>
              <w:snapToGrid w:val="0"/>
              <w:spacing w:line="320" w:lineRule="exac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声环境</w:t>
            </w:r>
          </w:p>
        </w:tc>
        <w:tc>
          <w:tcPr>
            <w:tcW w:w="7715" w:type="dxa"/>
            <w:vAlign w:val="center"/>
          </w:tcPr>
          <w:p>
            <w:pPr>
              <w:pStyle w:val="250"/>
              <w:keepNext w:val="0"/>
              <w:keepLines w:val="0"/>
              <w:pageBreakBefore w:val="0"/>
              <w:widowControl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（1）施工期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钻前工程：施工机械产生的机械噪声影响；</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钻井工程：钻井施工作业设备（钻机、泥浆泵、振动筛等）及辅助设施（备用柴油动力机、柴油发电机组等）产生的机械噪声影响；固井作业、下套管、起下钻具、钻机气路控制系统操作时快速放气阀放气、跳钻时吊环与水龙头的撞击等所产生的其他噪声影响；钻遇地层异常高压时可能进行的事故放喷时产生的产生的高压气流噪声影响</w:t>
            </w:r>
            <w:r>
              <w:rPr>
                <w:rFonts w:hint="eastAsia" w:cs="Times New Roman"/>
                <w:color w:val="000000" w:themeColor="text1"/>
                <w:kern w:val="2"/>
                <w:sz w:val="21"/>
                <w:szCs w:val="20"/>
                <w:highlight w:val="none"/>
                <w:lang w:val="en-US" w:eastAsia="zh-CN" w:bidi="ar-SA"/>
                <w14:textFill>
                  <w14:solidFill>
                    <w14:schemeClr w14:val="tx1"/>
                  </w14:solidFill>
                </w14:textFill>
              </w:rPr>
              <w:t>；</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储层改造工程：测试放喷时产生的高压气流噪声；</w:t>
            </w:r>
          </w:p>
          <w:p>
            <w:pPr>
              <w:pStyle w:val="250"/>
              <w:keepNext w:val="0"/>
              <w:keepLines w:val="0"/>
              <w:pageBreakBefore w:val="0"/>
              <w:widowControl w:val="0"/>
              <w:numPr>
                <w:ilvl w:val="0"/>
                <w:numId w:val="7"/>
              </w:numPr>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试采期</w:t>
            </w:r>
          </w:p>
          <w:p>
            <w:pPr>
              <w:pStyle w:val="295"/>
              <w:keepNext w:val="0"/>
              <w:keepLines w:val="0"/>
              <w:pageBreakBefore w:val="0"/>
              <w:widowControl/>
              <w:kinsoku/>
              <w:wordWrap/>
              <w:overflowPunct/>
              <w:topLinePunct w:val="0"/>
              <w:autoSpaceDE/>
              <w:autoSpaceDN/>
              <w:bidi w:val="0"/>
              <w:adjustRightInd w:val="0"/>
              <w:snapToGrid w:val="0"/>
              <w:spacing w:line="320" w:lineRule="exact"/>
              <w:ind w:firstLine="420" w:firstLineChars="200"/>
              <w:jc w:val="left"/>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试采工程</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：各类站场设备的气流摩擦噪声影响及非正常工况下的放空噪声。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601" w:type="dxa"/>
            <w:vAlign w:val="center"/>
          </w:tcPr>
          <w:p>
            <w:pPr>
              <w:pStyle w:val="295"/>
              <w:keepNext w:val="0"/>
              <w:keepLines w:val="0"/>
              <w:pageBreakBefore w:val="0"/>
              <w:kinsoku/>
              <w:wordWrap/>
              <w:overflowPunct/>
              <w:topLinePunct w:val="0"/>
              <w:autoSpaceDE/>
              <w:autoSpaceDN/>
              <w:bidi w:val="0"/>
              <w:adjustRightInd w:val="0"/>
              <w:snapToGrid w:val="0"/>
              <w:spacing w:line="320" w:lineRule="exac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固体废弃物</w:t>
            </w:r>
          </w:p>
        </w:tc>
        <w:tc>
          <w:tcPr>
            <w:tcW w:w="7715" w:type="dxa"/>
            <w:vAlign w:val="center"/>
          </w:tcPr>
          <w:p>
            <w:pPr>
              <w:pStyle w:val="250"/>
              <w:keepNext w:val="0"/>
              <w:keepLines w:val="0"/>
              <w:pageBreakBefore w:val="0"/>
              <w:widowControl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（1）施工期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钻前工程：弃土石方、生活垃圾、建筑垃圾等；</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钻井工程：水基钻井固废（废水基岩屑、废水基泥浆等）、油基钻井固废（若钻遇复杂地层时，废油基岩屑、废油基泥浆等）、废油及其他含油废物、废包装材料、生活垃圾等。</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储层改造工程：废包装材料、生活垃圾等；</w:t>
            </w:r>
          </w:p>
          <w:p>
            <w:pPr>
              <w:pStyle w:val="250"/>
              <w:keepNext w:val="0"/>
              <w:keepLines w:val="0"/>
              <w:pageBreakBefore w:val="0"/>
              <w:widowControl w:val="0"/>
              <w:numPr>
                <w:ilvl w:val="0"/>
                <w:numId w:val="7"/>
              </w:numPr>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试采期</w:t>
            </w:r>
          </w:p>
          <w:p>
            <w:pPr>
              <w:keepNext w:val="0"/>
              <w:keepLines w:val="0"/>
              <w:pageBreakBefore w:val="0"/>
              <w:widowControl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试采工程</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r>
              <w:rPr>
                <w:rFonts w:hint="eastAsia" w:cs="Times New Roman"/>
                <w:color w:val="000000" w:themeColor="text1"/>
                <w:kern w:val="2"/>
                <w:sz w:val="21"/>
                <w:szCs w:val="20"/>
                <w:highlight w:val="none"/>
                <w:lang w:val="en-US" w:eastAsia="zh-CN" w:bidi="ar-SA"/>
                <w14:textFill>
                  <w14:solidFill>
                    <w14:schemeClr w14:val="tx1"/>
                  </w14:solidFill>
                </w14:textFill>
              </w:rPr>
              <w:t>试采期无固体废物产生</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601" w:type="dxa"/>
            <w:vAlign w:val="center"/>
          </w:tcPr>
          <w:p>
            <w:pPr>
              <w:pStyle w:val="295"/>
              <w:keepNext w:val="0"/>
              <w:keepLines w:val="0"/>
              <w:pageBreakBefore w:val="0"/>
              <w:kinsoku/>
              <w:wordWrap/>
              <w:overflowPunct/>
              <w:topLinePunct w:val="0"/>
              <w:autoSpaceDE/>
              <w:autoSpaceDN/>
              <w:bidi w:val="0"/>
              <w:adjustRightInd w:val="0"/>
              <w:snapToGrid w:val="0"/>
              <w:spacing w:line="320" w:lineRule="exac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土壤</w:t>
            </w:r>
          </w:p>
        </w:tc>
        <w:tc>
          <w:tcPr>
            <w:tcW w:w="7715" w:type="dxa"/>
            <w:vAlign w:val="center"/>
          </w:tcPr>
          <w:p>
            <w:pPr>
              <w:pStyle w:val="250"/>
              <w:keepNext w:val="0"/>
              <w:keepLines w:val="0"/>
              <w:pageBreakBefore w:val="0"/>
              <w:widowControl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（1）施工期</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钻前工程：土壤扰动；施工机械等燃烧废气，通过降雨或沉降进入土壤；</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钻井工程：施工机械燃烧废气、钻遇异常高压时的事故放喷废气等通过降雨或沉降进入土壤；泥浆不落地装置区及泥浆循环系统、泥浆料台区、储备罐区、油罐区、柴油机组区、放喷池等区域在事故情况和降雨情况下</w:t>
            </w:r>
            <w:r>
              <w:rPr>
                <w:rFonts w:hint="eastAsia" w:cs="Times New Roman"/>
                <w:color w:val="000000" w:themeColor="text1"/>
                <w:kern w:val="2"/>
                <w:sz w:val="21"/>
                <w:szCs w:val="20"/>
                <w:highlight w:val="none"/>
                <w:lang w:val="en-US" w:eastAsia="zh-CN" w:bidi="ar-SA"/>
                <w14:textFill>
                  <w14:solidFill>
                    <w14:schemeClr w14:val="tx1"/>
                  </w14:solidFill>
                </w14:textFill>
              </w:rPr>
              <w:t>导致</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废水及油类物质发生地面漫流；泥浆不落地装置区及泥浆循环系统、泥浆料台区、储备罐区、油罐区、放喷池、方井周边、钻井固废暂存区、发电机房、柴油机组区等区域，在事故情况下会造成污染物的泄露，通过垂直入渗途径污染土壤；</w:t>
            </w:r>
          </w:p>
          <w:p>
            <w:pPr>
              <w:pStyle w:val="250"/>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firstLine="420" w:firstLineChars="20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储层改造工程：施工机械燃烧废气、测试放喷废气等通过降雨或沉降进入土壤；</w:t>
            </w:r>
          </w:p>
          <w:p>
            <w:pPr>
              <w:pStyle w:val="250"/>
              <w:keepNext w:val="0"/>
              <w:keepLines w:val="0"/>
              <w:pageBreakBefore w:val="0"/>
              <w:widowControl w:val="0"/>
              <w:numPr>
                <w:ilvl w:val="0"/>
                <w:numId w:val="7"/>
              </w:numPr>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试采期</w:t>
            </w:r>
          </w:p>
          <w:p>
            <w:pPr>
              <w:pStyle w:val="295"/>
              <w:keepNext w:val="0"/>
              <w:keepLines w:val="0"/>
              <w:pageBreakBefore w:val="0"/>
              <w:widowControl/>
              <w:kinsoku/>
              <w:wordWrap/>
              <w:overflowPunct/>
              <w:topLinePunct w:val="0"/>
              <w:autoSpaceDE/>
              <w:autoSpaceDN/>
              <w:bidi w:val="0"/>
              <w:adjustRightInd w:val="0"/>
              <w:snapToGrid w:val="0"/>
              <w:spacing w:line="320" w:lineRule="exact"/>
              <w:ind w:firstLine="420" w:firstLineChars="200"/>
              <w:jc w:val="left"/>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0"/>
                <w:highlight w:val="none"/>
                <w:lang w:val="en-US" w:eastAsia="zh-CN" w:bidi="ar-SA"/>
                <w14:textFill>
                  <w14:solidFill>
                    <w14:schemeClr w14:val="tx1"/>
                  </w14:solidFill>
                </w14:textFill>
              </w:rPr>
              <w:t>试采工程</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：污水泄漏、渗漏，以及废水未妥善处置转运（发生泄漏或</w:t>
            </w:r>
            <w:r>
              <w:rPr>
                <w:rFonts w:hint="eastAsia" w:cs="Times New Roman"/>
                <w:color w:val="000000" w:themeColor="text1"/>
                <w:kern w:val="2"/>
                <w:sz w:val="21"/>
                <w:szCs w:val="20"/>
                <w:highlight w:val="none"/>
                <w:lang w:val="en-US" w:eastAsia="zh-CN" w:bidi="ar-SA"/>
                <w14:textFill>
                  <w14:solidFill>
                    <w14:schemeClr w14:val="tx1"/>
                  </w14:solidFill>
                </w14:textFill>
              </w:rPr>
              <w:t>漫流</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），对区域土壤环境造成污染影响</w:t>
            </w:r>
            <w:r>
              <w:rPr>
                <w:rFonts w:hint="eastAsia" w:cs="Times New Roman"/>
                <w:color w:val="000000" w:themeColor="text1"/>
                <w:kern w:val="2"/>
                <w:sz w:val="21"/>
                <w:szCs w:val="20"/>
                <w:highlight w:val="none"/>
                <w:lang w:val="en-US" w:eastAsia="zh-CN" w:bidi="ar-SA"/>
                <w14:textFill>
                  <w14:solidFill>
                    <w14:schemeClr w14:val="tx1"/>
                  </w14:solidFill>
                </w14:textFill>
              </w:rPr>
              <w:t>；含硫天然气</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通过</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大气沉降</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、降雨</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等方式对周边土壤有一定影响</w:t>
            </w:r>
            <w:r>
              <w:rPr>
                <w:rFonts w:hint="eastAsia" w:cs="Times New Roman"/>
                <w:color w:val="000000" w:themeColor="text1"/>
                <w:szCs w:val="2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 w:hRule="atLeast"/>
          <w:jc w:val="center"/>
        </w:trPr>
        <w:tc>
          <w:tcPr>
            <w:tcW w:w="601" w:type="dxa"/>
            <w:vAlign w:val="center"/>
          </w:tcPr>
          <w:p>
            <w:pPr>
              <w:pStyle w:val="295"/>
              <w:keepNext w:val="0"/>
              <w:keepLines w:val="0"/>
              <w:pageBreakBefore w:val="0"/>
              <w:kinsoku/>
              <w:wordWrap/>
              <w:overflowPunct/>
              <w:topLinePunct w:val="0"/>
              <w:autoSpaceDE/>
              <w:autoSpaceDN/>
              <w:bidi w:val="0"/>
              <w:adjustRightInd w:val="0"/>
              <w:snapToGrid w:val="0"/>
              <w:spacing w:line="320" w:lineRule="exact"/>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环境风险</w:t>
            </w:r>
          </w:p>
        </w:tc>
        <w:tc>
          <w:tcPr>
            <w:tcW w:w="7715" w:type="dxa"/>
            <w:vAlign w:val="center"/>
          </w:tcPr>
          <w:p>
            <w:pPr>
              <w:keepNext w:val="0"/>
              <w:keepLines w:val="0"/>
              <w:pageBreakBefore w:val="0"/>
              <w:widowControl w:val="0"/>
              <w:kinsoku/>
              <w:wordWrap/>
              <w:overflowPunct/>
              <w:topLinePunct w:val="0"/>
              <w:autoSpaceDE/>
              <w:autoSpaceDN/>
              <w:bidi w:val="0"/>
              <w:adjustRightInd w:val="0"/>
              <w:snapToGrid w:val="0"/>
              <w:spacing w:line="320" w:lineRule="exact"/>
              <w:ind w:firstLine="480"/>
              <w:textAlignment w:val="auto"/>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含硫天然气、油基钻井固废、柴油等危险物质泄漏，以及火灾、爆炸、井喷等安全生产风险事故引发的伴生/次生污染物对环境的影响。</w:t>
            </w:r>
          </w:p>
        </w:tc>
      </w:tr>
    </w:tbl>
    <w:p>
      <w:pPr>
        <w:pStyle w:val="250"/>
        <w:ind w:firstLine="480"/>
        <w:rPr>
          <w:rFonts w:hint="default" w:ascii="Times New Roman" w:hAnsi="Times New Roman" w:cs="Times New Roman"/>
          <w:color w:val="000000" w:themeColor="text1"/>
          <w:highlight w:val="none"/>
          <w14:textFill>
            <w14:solidFill>
              <w14:schemeClr w14:val="tx1"/>
            </w14:solidFill>
          </w14:textFill>
        </w:rPr>
      </w:pPr>
    </w:p>
    <w:p>
      <w:pPr>
        <w:pStyle w:val="25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根据环境影响矩阵表，分析环境影响因子的影响类型和影响程度，其结果见表2.4-2。</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环境影响要素矩阵</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0"/>
        <w:gridCol w:w="1345"/>
        <w:gridCol w:w="538"/>
        <w:gridCol w:w="540"/>
        <w:gridCol w:w="540"/>
        <w:gridCol w:w="539"/>
        <w:gridCol w:w="541"/>
        <w:gridCol w:w="541"/>
        <w:gridCol w:w="539"/>
        <w:gridCol w:w="471"/>
        <w:gridCol w:w="70"/>
        <w:gridCol w:w="541"/>
        <w:gridCol w:w="539"/>
        <w:gridCol w:w="541"/>
        <w:gridCol w:w="5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类别</w:t>
            </w:r>
          </w:p>
        </w:tc>
        <w:tc>
          <w:tcPr>
            <w:tcW w:w="809"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环境因子</w:t>
            </w:r>
          </w:p>
        </w:tc>
        <w:tc>
          <w:tcPr>
            <w:tcW w:w="1298" w:type="pct"/>
            <w:gridSpan w:val="4"/>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工程施工</w:t>
            </w:r>
          </w:p>
        </w:tc>
        <w:tc>
          <w:tcPr>
            <w:tcW w:w="1257" w:type="pct"/>
            <w:gridSpan w:val="4"/>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正常运行</w:t>
            </w:r>
          </w:p>
        </w:tc>
        <w:tc>
          <w:tcPr>
            <w:tcW w:w="1341" w:type="pct"/>
            <w:gridSpan w:val="5"/>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非正常工况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809"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有利</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tc>
        <w:tc>
          <w:tcPr>
            <w:tcW w:w="32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不利</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tc>
        <w:tc>
          <w:tcPr>
            <w:tcW w:w="32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较大</w:t>
            </w:r>
          </w:p>
        </w:tc>
        <w:tc>
          <w:tcPr>
            <w:tcW w:w="32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较轻</w:t>
            </w:r>
          </w:p>
        </w:tc>
        <w:tc>
          <w:tcPr>
            <w:tcW w:w="32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有利</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tc>
        <w:tc>
          <w:tcPr>
            <w:tcW w:w="32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不利</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tc>
        <w:tc>
          <w:tcPr>
            <w:tcW w:w="32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较大</w:t>
            </w:r>
          </w:p>
        </w:tc>
        <w:tc>
          <w:tcPr>
            <w:tcW w:w="325" w:type="pct"/>
            <w:gridSpan w:val="2"/>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较轻</w:t>
            </w:r>
          </w:p>
        </w:tc>
        <w:tc>
          <w:tcPr>
            <w:tcW w:w="32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有利</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tc>
        <w:tc>
          <w:tcPr>
            <w:tcW w:w="32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不利</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tc>
        <w:tc>
          <w:tcPr>
            <w:tcW w:w="32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较大</w:t>
            </w:r>
          </w:p>
        </w:tc>
        <w:tc>
          <w:tcPr>
            <w:tcW w:w="32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较轻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环境质量</w:t>
            </w:r>
          </w:p>
        </w:tc>
        <w:tc>
          <w:tcPr>
            <w:tcW w:w="80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地表水</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0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环境空气</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0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声环境</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自然生态环境</w:t>
            </w:r>
          </w:p>
        </w:tc>
        <w:tc>
          <w:tcPr>
            <w:tcW w:w="80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地形地貌</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0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生态环境</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0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土壤</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0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植被</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0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水土流失</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0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土地利用</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0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减少温室效应</w:t>
            </w: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2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bl>
    <w:p>
      <w:pPr>
        <w:pageBreakBefore w:val="0"/>
        <w:widowControl w:val="0"/>
        <w:tabs>
          <w:tab w:val="left" w:pos="0"/>
        </w:tabs>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pageBreakBefore w:val="0"/>
        <w:widowControl w:val="0"/>
        <w:tabs>
          <w:tab w:val="left" w:pos="0"/>
        </w:tabs>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根据表2.4-1和表2.4-2的分析结果可知，拟建工程主要影响为</w:t>
      </w:r>
      <w:r>
        <w:rPr>
          <w:rFonts w:hint="eastAsia" w:cs="Times New Roman"/>
          <w:color w:val="000000" w:themeColor="text1"/>
          <w:highlight w:val="none"/>
          <w:lang w:val="en-US" w:eastAsia="zh-CN"/>
          <w14:textFill>
            <w14:solidFill>
              <w14:schemeClr w14:val="tx1"/>
            </w14:solidFill>
          </w14:textFill>
        </w:rPr>
        <w:t>施工期及试采期产生的生态影响及污染影响</w:t>
      </w:r>
      <w:r>
        <w:rPr>
          <w:rFonts w:hint="default" w:ascii="Times New Roman" w:hAnsi="Times New Roman" w:cs="Times New Roman"/>
          <w:color w:val="000000" w:themeColor="text1"/>
          <w:highlight w:val="none"/>
          <w14:textFill>
            <w14:solidFill>
              <w14:schemeClr w14:val="tx1"/>
            </w14:solidFill>
          </w14:textFill>
        </w:rPr>
        <w:t>，同时非正常工况下的</w:t>
      </w:r>
      <w:r>
        <w:rPr>
          <w:rFonts w:hint="eastAsia" w:cs="Times New Roman"/>
          <w:color w:val="000000" w:themeColor="text1"/>
          <w:highlight w:val="none"/>
          <w:lang w:val="en-US" w:eastAsia="zh-CN"/>
          <w14:textFill>
            <w14:solidFill>
              <w14:schemeClr w14:val="tx1"/>
            </w14:solidFill>
          </w14:textFill>
        </w:rPr>
        <w:t>大气</w:t>
      </w:r>
      <w:r>
        <w:rPr>
          <w:rFonts w:hint="default" w:ascii="Times New Roman" w:hAnsi="Times New Roman" w:cs="Times New Roman"/>
          <w:color w:val="000000" w:themeColor="text1"/>
          <w:highlight w:val="none"/>
          <w14:textFill>
            <w14:solidFill>
              <w14:schemeClr w14:val="tx1"/>
            </w14:solidFill>
          </w14:textFill>
        </w:rPr>
        <w:t>影响</w:t>
      </w:r>
      <w:r>
        <w:rPr>
          <w:rFonts w:hint="eastAsia" w:cs="Times New Roman"/>
          <w:color w:val="000000" w:themeColor="text1"/>
          <w:highlight w:val="none"/>
          <w:lang w:val="en-US" w:eastAsia="zh-CN"/>
          <w14:textFill>
            <w14:solidFill>
              <w14:schemeClr w14:val="tx1"/>
            </w14:solidFill>
          </w14:textFill>
        </w:rPr>
        <w:t>及环境风险</w:t>
      </w:r>
      <w:r>
        <w:rPr>
          <w:rFonts w:hint="default" w:ascii="Times New Roman" w:hAnsi="Times New Roman" w:cs="Times New Roman"/>
          <w:color w:val="000000" w:themeColor="text1"/>
          <w:highlight w:val="none"/>
          <w14:textFill>
            <w14:solidFill>
              <w14:schemeClr w14:val="tx1"/>
            </w14:solidFill>
          </w14:textFill>
        </w:rPr>
        <w:t>也是项目</w:t>
      </w:r>
      <w:r>
        <w:rPr>
          <w:rFonts w:hint="eastAsia" w:cs="Times New Roman"/>
          <w:color w:val="000000" w:themeColor="text1"/>
          <w:highlight w:val="none"/>
          <w:lang w:val="en-US" w:eastAsia="zh-CN"/>
          <w14:textFill>
            <w14:solidFill>
              <w14:schemeClr w14:val="tx1"/>
            </w14:solidFill>
          </w14:textFill>
        </w:rPr>
        <w:t>需重点关注的问题</w:t>
      </w:r>
      <w:r>
        <w:rPr>
          <w:rFonts w:hint="default" w:ascii="Times New Roman" w:hAnsi="Times New Roman" w:cs="Times New Roman"/>
          <w:color w:val="000000" w:themeColor="text1"/>
          <w:highlight w:val="none"/>
          <w14:textFill>
            <w14:solidFill>
              <w14:schemeClr w14:val="tx1"/>
            </w14:solidFill>
          </w14:textFill>
        </w:rPr>
        <w:t>。</w:t>
      </w:r>
    </w:p>
    <w:p>
      <w:pPr>
        <w:pStyle w:val="4"/>
        <w:pageBreakBefore w:val="0"/>
        <w:widowControl w:val="0"/>
        <w:kinsoku/>
        <w:wordWrap/>
        <w:overflowPunct/>
        <w:topLinePunct w:val="0"/>
        <w:autoSpaceDE/>
        <w:autoSpaceDN/>
        <w:bidi w:val="0"/>
        <w:adjustRightInd w:val="0"/>
        <w:snapToGrid w:val="0"/>
        <w:spacing w:before="0" w:beforeLines="0" w:line="360" w:lineRule="auto"/>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9" w:name="_Toc120173063"/>
      <w:r>
        <w:rPr>
          <w:rFonts w:hint="default" w:ascii="Times New Roman" w:hAnsi="Times New Roman" w:cs="Times New Roman"/>
          <w:color w:val="000000" w:themeColor="text1"/>
          <w:highlight w:val="none"/>
          <w:lang w:eastAsia="zh-CN"/>
          <w14:textFill>
            <w14:solidFill>
              <w14:schemeClr w14:val="tx1"/>
            </w14:solidFill>
          </w14:textFill>
        </w:rPr>
        <w:t>评价因子筛选</w:t>
      </w:r>
      <w:bookmarkEnd w:id="39"/>
    </w:p>
    <w:p>
      <w:pPr>
        <w:pageBreakBefore w:val="0"/>
        <w:widowControl w:val="0"/>
        <w:tabs>
          <w:tab w:val="left" w:pos="0"/>
        </w:tabs>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根据建设项目特点、环境影响的主要特征和方式，结合区域自然生态环境情况、区域环境功能要求、 环境保护目标、评价标准和环境制约因素等，筛选确定项目主要评价因子如下：</w:t>
      </w:r>
    </w:p>
    <w:p>
      <w:pPr>
        <w:pStyle w:val="201"/>
        <w:pageBreakBefore w:val="0"/>
        <w:kinsoku/>
        <w:wordWrap/>
        <w:overflowPunct/>
        <w:topLinePunct w:val="0"/>
        <w:autoSpaceDE/>
        <w:autoSpaceDN/>
        <w:bidi w:val="0"/>
        <w:adjustRightInd w:val="0"/>
        <w:snapToGrid w:val="0"/>
        <w:spacing w:before="0" w:beforeLines="0" w:line="360" w:lineRule="auto"/>
        <w:rPr>
          <w:rFonts w:hint="default" w:ascii="Times New Roman" w:hAnsi="Times New Roman" w:cs="Times New Roman"/>
          <w:color w:val="000000" w:themeColor="text1"/>
          <w:highlight w:val="none"/>
          <w14:textFill>
            <w14:solidFill>
              <w14:schemeClr w14:val="tx1"/>
            </w14:solidFill>
          </w14:textFill>
        </w:rPr>
        <w:sectPr>
          <w:pgSz w:w="11906" w:h="16838"/>
          <w:pgMar w:top="1440" w:right="1800" w:bottom="1440" w:left="1800" w:header="964" w:footer="964" w:gutter="0"/>
          <w:pgBorders>
            <w:top w:val="none" w:sz="0" w:space="0"/>
            <w:left w:val="none" w:sz="0" w:space="0"/>
            <w:bottom w:val="none" w:sz="0" w:space="0"/>
            <w:right w:val="none" w:sz="0" w:space="0"/>
          </w:pgBorders>
          <w:cols w:space="425" w:num="1"/>
          <w:docGrid w:type="lines" w:linePitch="326" w:charSpace="0"/>
        </w:sectPr>
      </w:pP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本项目环境影响评价因子筛选表</w:t>
      </w:r>
    </w:p>
    <w:tbl>
      <w:tblPr>
        <w:tblStyle w:val="5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6"/>
        <w:gridCol w:w="865"/>
        <w:gridCol w:w="1444"/>
        <w:gridCol w:w="2885"/>
        <w:gridCol w:w="2238"/>
        <w:gridCol w:w="1938"/>
        <w:gridCol w:w="1867"/>
        <w:gridCol w:w="15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tcBorders>
              <w:tl2br w:val="single" w:color="auto" w:sz="4" w:space="0"/>
            </w:tcBorders>
            <w:vAlign w:val="center"/>
          </w:tcPr>
          <w:p>
            <w:pPr>
              <w:pStyle w:val="201"/>
              <w:spacing w:before="0" w:beforeLines="0"/>
              <w:jc w:val="right"/>
              <w:rPr>
                <w:rFonts w:hint="default" w:ascii="Times New Roman" w:hAnsi="Times New Roman" w:eastAsia="宋体" w:cs="Times New Roman"/>
                <w:b/>
                <w:bCs/>
                <w:color w:val="000000" w:themeColor="text1"/>
                <w:highlight w:val="none"/>
                <w14:textFill>
                  <w14:solidFill>
                    <w14:schemeClr w14:val="tx1"/>
                  </w14:solidFill>
                </w14:textFill>
              </w:rPr>
            </w:pPr>
            <w:bookmarkStart w:id="40" w:name="_Hlk152582718"/>
            <w:r>
              <w:rPr>
                <w:rFonts w:hint="default" w:ascii="Times New Roman" w:hAnsi="Times New Roman" w:eastAsia="宋体" w:cs="Times New Roman"/>
                <w:b/>
                <w:bCs/>
                <w:color w:val="000000" w:themeColor="text1"/>
                <w:highlight w:val="none"/>
                <w14:textFill>
                  <w14:solidFill>
                    <w14:schemeClr w14:val="tx1"/>
                  </w14:solidFill>
                </w14:textFill>
              </w:rPr>
              <w:t>环境要素</w:t>
            </w:r>
          </w:p>
          <w:p>
            <w:pPr>
              <w:pStyle w:val="202"/>
              <w:spacing w:before="0" w:after="0" w:line="240" w:lineRule="auto"/>
              <w:ind w:firstLine="0" w:firstLineChars="0"/>
              <w:jc w:val="both"/>
              <w:rPr>
                <w:rFonts w:hint="default" w:ascii="Times New Roman" w:hAnsi="Times New Roman" w:cs="Times New Roman"/>
                <w:b/>
                <w:bCs/>
                <w:color w:val="000000" w:themeColor="text1"/>
                <w:kern w:val="2"/>
                <w:sz w:val="21"/>
                <w:szCs w:val="21"/>
                <w:highlight w:val="none"/>
                <w14:textFill>
                  <w14:solidFill>
                    <w14:schemeClr w14:val="tx1"/>
                  </w14:solidFill>
                </w14:textFill>
              </w:rPr>
            </w:pPr>
            <w:r>
              <w:rPr>
                <w:rFonts w:hint="default" w:ascii="Times New Roman" w:hAnsi="Times New Roman" w:cs="Times New Roman"/>
                <w:b/>
                <w:bCs/>
                <w:color w:val="000000" w:themeColor="text1"/>
                <w:kern w:val="2"/>
                <w:sz w:val="21"/>
                <w:szCs w:val="21"/>
                <w:highlight w:val="none"/>
                <w14:textFill>
                  <w14:solidFill>
                    <w14:schemeClr w14:val="tx1"/>
                  </w14:solidFill>
                </w14:textFill>
              </w:rPr>
              <w:t>单项工程</w:t>
            </w:r>
          </w:p>
        </w:tc>
        <w:tc>
          <w:tcPr>
            <w:tcW w:w="305" w:type="pct"/>
            <w:vAlign w:val="center"/>
          </w:tcPr>
          <w:p>
            <w:pPr>
              <w:pStyle w:val="201"/>
              <w:spacing w:before="0" w:beforeLines="0"/>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时期</w:t>
            </w:r>
          </w:p>
        </w:tc>
        <w:tc>
          <w:tcPr>
            <w:tcW w:w="509" w:type="pct"/>
            <w:vAlign w:val="center"/>
          </w:tcPr>
          <w:p>
            <w:pPr>
              <w:pStyle w:val="201"/>
              <w:spacing w:before="0" w:beforeLines="0"/>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大气</w:t>
            </w:r>
          </w:p>
        </w:tc>
        <w:tc>
          <w:tcPr>
            <w:tcW w:w="1017" w:type="pct"/>
            <w:vAlign w:val="center"/>
          </w:tcPr>
          <w:p>
            <w:pPr>
              <w:pStyle w:val="201"/>
              <w:spacing w:before="0" w:beforeLines="0"/>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地表水</w:t>
            </w:r>
          </w:p>
        </w:tc>
        <w:tc>
          <w:tcPr>
            <w:tcW w:w="789" w:type="pct"/>
            <w:vAlign w:val="center"/>
          </w:tcPr>
          <w:p>
            <w:pPr>
              <w:pStyle w:val="201"/>
              <w:spacing w:before="0" w:beforeLines="0"/>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地下水</w:t>
            </w:r>
          </w:p>
        </w:tc>
        <w:tc>
          <w:tcPr>
            <w:tcW w:w="683" w:type="pct"/>
            <w:vAlign w:val="center"/>
          </w:tcPr>
          <w:p>
            <w:pPr>
              <w:pStyle w:val="201"/>
              <w:spacing w:before="0" w:beforeLines="0"/>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土壤</w:t>
            </w:r>
          </w:p>
        </w:tc>
        <w:tc>
          <w:tcPr>
            <w:tcW w:w="658" w:type="pct"/>
            <w:vAlign w:val="center"/>
          </w:tcPr>
          <w:p>
            <w:pPr>
              <w:pStyle w:val="201"/>
              <w:spacing w:before="0" w:beforeLines="0"/>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生态</w:t>
            </w:r>
          </w:p>
        </w:tc>
        <w:tc>
          <w:tcPr>
            <w:tcW w:w="529" w:type="pct"/>
            <w:vAlign w:val="center"/>
          </w:tcPr>
          <w:p>
            <w:pPr>
              <w:pStyle w:val="201"/>
              <w:spacing w:before="0" w:beforeLines="0"/>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钻前工程</w:t>
            </w:r>
          </w:p>
        </w:tc>
        <w:tc>
          <w:tcPr>
            <w:tcW w:w="305"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施工期</w:t>
            </w:r>
          </w:p>
        </w:tc>
        <w:tc>
          <w:tcPr>
            <w:tcW w:w="50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颗粒物</w:t>
            </w:r>
          </w:p>
        </w:tc>
        <w:tc>
          <w:tcPr>
            <w:tcW w:w="1017"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BOD</w:t>
            </w:r>
            <w:r>
              <w:rPr>
                <w:rFonts w:hint="default" w:ascii="Times New Roman" w:hAnsi="Times New Roman" w:eastAsia="宋体" w:cs="Times New Roman"/>
                <w:color w:val="000000" w:themeColor="text1"/>
                <w:highlight w:val="none"/>
                <w:vertAlign w:val="subscript"/>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t>、COD、悬浮物、氨氮等</w:t>
            </w:r>
          </w:p>
        </w:tc>
        <w:tc>
          <w:tcPr>
            <w:tcW w:w="78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耗氧量、氨氮、石油类等</w:t>
            </w:r>
          </w:p>
        </w:tc>
        <w:tc>
          <w:tcPr>
            <w:tcW w:w="683"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658"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地表扰动面积及 类型、生态系统完整性</w:t>
            </w:r>
          </w:p>
        </w:tc>
        <w:tc>
          <w:tcPr>
            <w:tcW w:w="52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钻井工程</w:t>
            </w:r>
          </w:p>
        </w:tc>
        <w:tc>
          <w:tcPr>
            <w:tcW w:w="305"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施工期</w:t>
            </w:r>
          </w:p>
        </w:tc>
        <w:tc>
          <w:tcPr>
            <w:tcW w:w="50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SO</w:t>
            </w:r>
            <w:r>
              <w:rPr>
                <w:rFonts w:hint="default" w:ascii="Times New Roman" w:hAnsi="Times New Roman" w:eastAsia="宋体" w:cs="Times New Roman"/>
                <w:color w:val="000000" w:themeColor="text1"/>
                <w:highlight w:val="none"/>
                <w:vertAlign w:val="subscript"/>
                <w14:textFill>
                  <w14:solidFill>
                    <w14:schemeClr w14:val="tx1"/>
                  </w14:solidFill>
                </w14:textFill>
              </w:rPr>
              <w:t>2</w:t>
            </w:r>
            <w:r>
              <w:rPr>
                <w:rFonts w:hint="default" w:ascii="Times New Roman" w:hAnsi="Times New Roman" w:eastAsia="宋体" w:cs="Times New Roman"/>
                <w:color w:val="000000" w:themeColor="text1"/>
                <w:highlight w:val="none"/>
                <w14:textFill>
                  <w14:solidFill>
                    <w14:schemeClr w14:val="tx1"/>
                  </w14:solidFill>
                </w14:textFill>
              </w:rPr>
              <w:t>、NOx、非甲烷总烃</w:t>
            </w:r>
          </w:p>
        </w:tc>
        <w:tc>
          <w:tcPr>
            <w:tcW w:w="1017"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pH值、悬浮物、COD、BOD</w:t>
            </w:r>
            <w:r>
              <w:rPr>
                <w:rFonts w:hint="default" w:ascii="Times New Roman" w:hAnsi="Times New Roman" w:eastAsia="宋体" w:cs="Times New Roman"/>
                <w:color w:val="000000" w:themeColor="text1"/>
                <w:highlight w:val="none"/>
                <w:vertAlign w:val="subscript"/>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t>、氨氮、总磷、石油类、挥发酚、硫化物、阴离子表面活性剂、汞、总铬、 六价铬、镉、砷、镍、铅</w:t>
            </w:r>
          </w:p>
        </w:tc>
        <w:tc>
          <w:tcPr>
            <w:tcW w:w="78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pH值、挥发酚、耗氧量、氨氮、硫化物、氯化物、石油类、总硬度、溶解性总固体、钡、汞、砷、六价铬等</w:t>
            </w:r>
          </w:p>
        </w:tc>
        <w:tc>
          <w:tcPr>
            <w:tcW w:w="683"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pH值、石油类、石油烃（C6~C9）、石油烃（C10~C40）、汞、砷、六价铬、土壤盐分含量等</w:t>
            </w:r>
          </w:p>
        </w:tc>
        <w:tc>
          <w:tcPr>
            <w:tcW w:w="658"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52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昼间等效声级（L</w:t>
            </w:r>
            <w:r>
              <w:rPr>
                <w:rFonts w:hint="default" w:ascii="Times New Roman" w:hAnsi="Times New Roman" w:eastAsia="宋体" w:cs="Times New Roman"/>
                <w:color w:val="000000" w:themeColor="text1"/>
                <w:highlight w:val="none"/>
                <w:vertAlign w:val="subscript"/>
                <w14:textFill>
                  <w14:solidFill>
                    <w14:schemeClr w14:val="tx1"/>
                  </w14:solidFill>
                </w14:textFill>
              </w:rPr>
              <w:t>d</w:t>
            </w:r>
            <w:r>
              <w:rPr>
                <w:rFonts w:hint="default" w:ascii="Times New Roman" w:hAnsi="Times New Roman" w:eastAsia="宋体" w:cs="Times New Roman"/>
                <w:color w:val="000000" w:themeColor="text1"/>
                <w:highlight w:val="none"/>
                <w14:textFill>
                  <w14:solidFill>
                    <w14:schemeClr w14:val="tx1"/>
                  </w14:solidFill>
                </w14:textFill>
              </w:rPr>
              <w:t>）、夜间等效声级（L</w:t>
            </w:r>
            <w:r>
              <w:rPr>
                <w:rFonts w:hint="default" w:ascii="Times New Roman" w:hAnsi="Times New Roman" w:eastAsia="宋体" w:cs="Times New Roman"/>
                <w:color w:val="000000" w:themeColor="text1"/>
                <w:highlight w:val="none"/>
                <w:vertAlign w:val="subscript"/>
                <w14:textFill>
                  <w14:solidFill>
                    <w14:schemeClr w14:val="tx1"/>
                  </w14:solidFill>
                </w14:textFill>
              </w:rPr>
              <w:t>n</w:t>
            </w: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储层改造工程</w:t>
            </w:r>
          </w:p>
        </w:tc>
        <w:tc>
          <w:tcPr>
            <w:tcW w:w="305"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施工期</w:t>
            </w:r>
          </w:p>
        </w:tc>
        <w:tc>
          <w:tcPr>
            <w:tcW w:w="50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SO</w:t>
            </w:r>
            <w:r>
              <w:rPr>
                <w:rFonts w:hint="default" w:ascii="Times New Roman" w:hAnsi="Times New Roman" w:eastAsia="宋体" w:cs="Times New Roman"/>
                <w:color w:val="000000" w:themeColor="text1"/>
                <w:highlight w:val="none"/>
                <w:vertAlign w:val="subscript"/>
                <w14:textFill>
                  <w14:solidFill>
                    <w14:schemeClr w14:val="tx1"/>
                  </w14:solidFill>
                </w14:textFill>
              </w:rPr>
              <w:t>2</w:t>
            </w:r>
            <w:r>
              <w:rPr>
                <w:rFonts w:hint="default" w:ascii="Times New Roman" w:hAnsi="Times New Roman" w:eastAsia="宋体" w:cs="Times New Roman"/>
                <w:color w:val="000000" w:themeColor="text1"/>
                <w:highlight w:val="none"/>
                <w14:textFill>
                  <w14:solidFill>
                    <w14:schemeClr w14:val="tx1"/>
                  </w14:solidFill>
                </w14:textFill>
              </w:rPr>
              <w:t>、NOx、非甲烷总烃</w:t>
            </w:r>
          </w:p>
        </w:tc>
        <w:tc>
          <w:tcPr>
            <w:tcW w:w="1017"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pH值、悬浮物、COD、BOD</w:t>
            </w:r>
            <w:r>
              <w:rPr>
                <w:rFonts w:hint="default" w:ascii="Times New Roman" w:hAnsi="Times New Roman" w:eastAsia="宋体" w:cs="Times New Roman"/>
                <w:color w:val="000000" w:themeColor="text1"/>
                <w:highlight w:val="none"/>
                <w:vertAlign w:val="subscript"/>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t>、氨氮、总磷、石油类、挥发酚、硫化物、阴离子表面活性剂、汞、总铬、 六价铬、镉、砷、镍、铅</w:t>
            </w:r>
          </w:p>
        </w:tc>
        <w:tc>
          <w:tcPr>
            <w:tcW w:w="78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pH值、挥发酚、耗氧量、氨氮、硫化物、氯化物、石油类、总硬度、溶解性总固体、钡、汞、砷、六价铬等</w:t>
            </w:r>
          </w:p>
        </w:tc>
        <w:tc>
          <w:tcPr>
            <w:tcW w:w="683"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pH值、石油类、石油烃（C6~C9）、石油烃（C10~C40）、汞、砷、六价铬、土壤盐分含量等</w:t>
            </w:r>
          </w:p>
        </w:tc>
        <w:tc>
          <w:tcPr>
            <w:tcW w:w="658"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p>
        </w:tc>
        <w:tc>
          <w:tcPr>
            <w:tcW w:w="52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昼间等效声级（L</w:t>
            </w:r>
            <w:r>
              <w:rPr>
                <w:rFonts w:hint="default" w:ascii="Times New Roman" w:hAnsi="Times New Roman" w:eastAsia="宋体" w:cs="Times New Roman"/>
                <w:color w:val="000000" w:themeColor="text1"/>
                <w:highlight w:val="none"/>
                <w:vertAlign w:val="subscript"/>
                <w14:textFill>
                  <w14:solidFill>
                    <w14:schemeClr w14:val="tx1"/>
                  </w14:solidFill>
                </w14:textFill>
              </w:rPr>
              <w:t>d</w:t>
            </w:r>
            <w:r>
              <w:rPr>
                <w:rFonts w:hint="default" w:ascii="Times New Roman" w:hAnsi="Times New Roman" w:eastAsia="宋体" w:cs="Times New Roman"/>
                <w:color w:val="000000" w:themeColor="text1"/>
                <w:highlight w:val="none"/>
                <w14:textFill>
                  <w14:solidFill>
                    <w14:schemeClr w14:val="tx1"/>
                  </w14:solidFill>
                </w14:textFill>
              </w:rPr>
              <w:t>）、夜间等效声级（L</w:t>
            </w:r>
            <w:r>
              <w:rPr>
                <w:rFonts w:hint="default" w:ascii="Times New Roman" w:hAnsi="Times New Roman" w:eastAsia="宋体" w:cs="Times New Roman"/>
                <w:color w:val="000000" w:themeColor="text1"/>
                <w:highlight w:val="none"/>
                <w:vertAlign w:val="subscript"/>
                <w14:textFill>
                  <w14:solidFill>
                    <w14:schemeClr w14:val="tx1"/>
                  </w14:solidFill>
                </w14:textFill>
              </w:rPr>
              <w:t>n</w:t>
            </w: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Merge w:val="restar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油气集输工程</w:t>
            </w:r>
          </w:p>
        </w:tc>
        <w:tc>
          <w:tcPr>
            <w:tcW w:w="305"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施工期</w:t>
            </w:r>
          </w:p>
        </w:tc>
        <w:tc>
          <w:tcPr>
            <w:tcW w:w="50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颗粒物</w:t>
            </w:r>
          </w:p>
        </w:tc>
        <w:tc>
          <w:tcPr>
            <w:tcW w:w="1017"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BOD5、COD、悬浮物、氨 氮等</w:t>
            </w:r>
          </w:p>
        </w:tc>
        <w:tc>
          <w:tcPr>
            <w:tcW w:w="78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耗氧量、氨氮、石油类等</w:t>
            </w:r>
          </w:p>
        </w:tc>
        <w:tc>
          <w:tcPr>
            <w:tcW w:w="683"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658"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地表扰动面积及类型、生物量损失、物种多样性、生态系统完整性等</w:t>
            </w:r>
          </w:p>
        </w:tc>
        <w:tc>
          <w:tcPr>
            <w:tcW w:w="52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Merge w:val="continue"/>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p>
        </w:tc>
        <w:tc>
          <w:tcPr>
            <w:tcW w:w="305"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运营期</w:t>
            </w:r>
          </w:p>
        </w:tc>
        <w:tc>
          <w:tcPr>
            <w:tcW w:w="50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SO</w:t>
            </w:r>
            <w:r>
              <w:rPr>
                <w:rFonts w:hint="default" w:ascii="Times New Roman" w:hAnsi="Times New Roman" w:eastAsia="宋体" w:cs="Times New Roman"/>
                <w:color w:val="000000" w:themeColor="text1"/>
                <w:highlight w:val="none"/>
                <w:vertAlign w:val="subscript"/>
                <w14:textFill>
                  <w14:solidFill>
                    <w14:schemeClr w14:val="tx1"/>
                  </w14:solidFill>
                </w14:textFill>
              </w:rPr>
              <w:t>2</w:t>
            </w:r>
            <w:r>
              <w:rPr>
                <w:rFonts w:hint="default" w:ascii="Times New Roman" w:hAnsi="Times New Roman" w:eastAsia="宋体" w:cs="Times New Roman"/>
                <w:color w:val="000000" w:themeColor="text1"/>
                <w:highlight w:val="none"/>
                <w14:textFill>
                  <w14:solidFill>
                    <w14:schemeClr w14:val="tx1"/>
                  </w14:solidFill>
                </w14:textFill>
              </w:rPr>
              <w:t>、NOx、硫化氢、非甲烷总烃</w:t>
            </w:r>
          </w:p>
        </w:tc>
        <w:tc>
          <w:tcPr>
            <w:tcW w:w="1017"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pH 值、悬浮物、COD、BOD</w:t>
            </w:r>
            <w:r>
              <w:rPr>
                <w:rFonts w:hint="default" w:ascii="Times New Roman" w:hAnsi="Times New Roman" w:eastAsia="宋体" w:cs="Times New Roman"/>
                <w:color w:val="000000" w:themeColor="text1"/>
                <w:highlight w:val="none"/>
                <w:vertAlign w:val="subscript"/>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t>、氨氮、总磷、石油类、挥发酚、硫化物、阴离子表面活性剂、汞、总铬、六价铬、镉、砷、镍、铅</w:t>
            </w:r>
          </w:p>
        </w:tc>
        <w:tc>
          <w:tcPr>
            <w:tcW w:w="789" w:type="pct"/>
            <w:vAlign w:val="center"/>
          </w:tcPr>
          <w:p>
            <w:pPr>
              <w:ind w:firstLine="42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耗氧量、氨氮、石油类等</w:t>
            </w:r>
          </w:p>
        </w:tc>
        <w:tc>
          <w:tcPr>
            <w:tcW w:w="683"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658"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土壤肥力或林地立地条件、生物多样性、生态系统完整性等</w:t>
            </w:r>
          </w:p>
        </w:tc>
        <w:tc>
          <w:tcPr>
            <w:tcW w:w="529" w:type="pct"/>
            <w:vAlign w:val="center"/>
          </w:tcPr>
          <w:p>
            <w:pPr>
              <w:pStyle w:val="201"/>
              <w:spacing w:before="0" w:beforeLine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昼间等效声级（L</w:t>
            </w:r>
            <w:r>
              <w:rPr>
                <w:rFonts w:hint="default" w:ascii="Times New Roman" w:hAnsi="Times New Roman" w:eastAsia="宋体" w:cs="Times New Roman"/>
                <w:color w:val="000000" w:themeColor="text1"/>
                <w:highlight w:val="none"/>
                <w:vertAlign w:val="subscript"/>
                <w14:textFill>
                  <w14:solidFill>
                    <w14:schemeClr w14:val="tx1"/>
                  </w14:solidFill>
                </w14:textFill>
              </w:rPr>
              <w:t>d</w:t>
            </w:r>
            <w:r>
              <w:rPr>
                <w:rFonts w:hint="default" w:ascii="Times New Roman" w:hAnsi="Times New Roman" w:eastAsia="宋体" w:cs="Times New Roman"/>
                <w:color w:val="000000" w:themeColor="text1"/>
                <w:highlight w:val="none"/>
                <w14:textFill>
                  <w14:solidFill>
                    <w14:schemeClr w14:val="tx1"/>
                  </w14:solidFill>
                </w14:textFill>
              </w:rPr>
              <w:t>）、夜间等效声级（L</w:t>
            </w:r>
            <w:r>
              <w:rPr>
                <w:rFonts w:hint="default" w:ascii="Times New Roman" w:hAnsi="Times New Roman" w:eastAsia="宋体" w:cs="Times New Roman"/>
                <w:color w:val="000000" w:themeColor="text1"/>
                <w:highlight w:val="none"/>
                <w:vertAlign w:val="subscript"/>
                <w14:textFill>
                  <w14:solidFill>
                    <w14:schemeClr w14:val="tx1"/>
                  </w14:solidFill>
                </w14:textFill>
              </w:rPr>
              <w:t>n</w:t>
            </w:r>
            <w:r>
              <w:rPr>
                <w:rFonts w:hint="default" w:ascii="Times New Roman" w:hAnsi="Times New Roman" w:eastAsia="宋体" w:cs="Times New Roman"/>
                <w:color w:val="000000" w:themeColor="text1"/>
                <w:highlight w:val="none"/>
                <w14:textFill>
                  <w14:solidFill>
                    <w14:schemeClr w14:val="tx1"/>
                  </w14:solidFill>
                </w14:textFill>
              </w:rPr>
              <w:t>）</w:t>
            </w:r>
          </w:p>
        </w:tc>
      </w:tr>
      <w:bookmarkEnd w:id="40"/>
    </w:tbl>
    <w:p>
      <w:pPr>
        <w:pStyle w:val="201"/>
        <w:spacing w:before="163"/>
        <w:rPr>
          <w:rFonts w:hint="default" w:ascii="Times New Roman" w:hAnsi="Times New Roman" w:cs="Times New Roman"/>
          <w:color w:val="000000" w:themeColor="text1"/>
          <w:highlight w:val="none"/>
          <w14:textFill>
            <w14:solidFill>
              <w14:schemeClr w14:val="tx1"/>
            </w14:solidFill>
          </w14:textFill>
        </w:rPr>
        <w:sectPr>
          <w:pgSz w:w="16838" w:h="11906" w:orient="landscape"/>
          <w:pgMar w:top="1797" w:right="1440" w:bottom="1797" w:left="1440" w:header="964" w:footer="964" w:gutter="0"/>
          <w:pgBorders>
            <w:top w:val="none" w:sz="0" w:space="0"/>
            <w:left w:val="none" w:sz="0" w:space="0"/>
            <w:bottom w:val="none" w:sz="0" w:space="0"/>
            <w:right w:val="none" w:sz="0" w:space="0"/>
          </w:pgBorders>
          <w:cols w:space="425" w:num="1"/>
          <w:docGrid w:type="linesAndChars" w:linePitch="326" w:charSpace="0"/>
        </w:sectPr>
      </w:pP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1" w:name="_Toc14533"/>
      <w:r>
        <w:rPr>
          <w:rFonts w:hint="default" w:ascii="Times New Roman" w:hAnsi="Times New Roman" w:cs="Times New Roman"/>
          <w:color w:val="000000" w:themeColor="text1"/>
          <w:highlight w:val="none"/>
          <w:lang w:eastAsia="zh-CN"/>
          <w14:textFill>
            <w14:solidFill>
              <w14:schemeClr w14:val="tx1"/>
            </w14:solidFill>
          </w14:textFill>
        </w:rPr>
        <w:t>环境功能区划与评价标准</w:t>
      </w:r>
      <w:bookmarkEnd w:id="41"/>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2" w:name="_Toc120173065"/>
      <w:r>
        <w:rPr>
          <w:rFonts w:hint="default" w:ascii="Times New Roman" w:hAnsi="Times New Roman" w:cs="Times New Roman"/>
          <w:color w:val="000000" w:themeColor="text1"/>
          <w:highlight w:val="none"/>
          <w:lang w:eastAsia="zh-CN"/>
          <w14:textFill>
            <w14:solidFill>
              <w14:schemeClr w14:val="tx1"/>
            </w14:solidFill>
          </w14:textFill>
        </w:rPr>
        <w:t>环境功能区划</w:t>
      </w:r>
      <w:bookmarkEnd w:id="42"/>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（1）大气环境功能区划</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工程建设区域属</w:t>
      </w:r>
      <w:r>
        <w:rPr>
          <w:rFonts w:hint="eastAsia" w:cs="Times New Roman"/>
          <w:bCs/>
          <w:color w:val="000000" w:themeColor="text1"/>
          <w:szCs w:val="24"/>
          <w:highlight w:val="none"/>
          <w:lang w:val="en-US" w:eastAsia="zh-CN"/>
          <w14:textFill>
            <w14:solidFill>
              <w14:schemeClr w14:val="tx1"/>
            </w14:solidFill>
          </w14:textFill>
        </w:rPr>
        <w:t>农村</w:t>
      </w:r>
      <w:r>
        <w:rPr>
          <w:rFonts w:hint="default" w:ascii="Times New Roman" w:hAnsi="Times New Roman" w:cs="Times New Roman"/>
          <w:bCs/>
          <w:color w:val="000000" w:themeColor="text1"/>
          <w:szCs w:val="24"/>
          <w:highlight w:val="none"/>
          <w14:textFill>
            <w14:solidFill>
              <w14:schemeClr w14:val="tx1"/>
            </w14:solidFill>
          </w14:textFill>
        </w:rPr>
        <w:t>环境，根据《环境空气质量标准》（GB3095-2012）划分，工程建设区属2类地区，执行《环境空气质量标准》（GB3095-2012）中的二级标准。</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（2）地表水环境功能区划</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根据宣汉县地表水功能区划，本项目周边地表水中河及其支流为《地表水环境质量标准》（GB3838-2002）Ⅲ类水域。</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（3）地下水环境功能区划</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eastAsia" w:ascii="Times New Roman" w:hAnsi="Times New Roman" w:eastAsia="宋体" w:cs="Times New Roman"/>
          <w:bCs/>
          <w:color w:val="000000" w:themeColor="text1"/>
          <w:szCs w:val="24"/>
          <w:highlight w:val="none"/>
          <w:lang w:eastAsia="zh-CN"/>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项目所在区域地下水属于III类地下水功能区</w:t>
      </w:r>
      <w:r>
        <w:rPr>
          <w:rFonts w:hint="eastAsia"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地下水环境质量执行《地下水质量标准》（GB/T14848-2017）</w:t>
      </w:r>
      <w:r>
        <w:rPr>
          <w:rFonts w:hint="eastAsia" w:cs="Times New Roman"/>
          <w:bCs/>
          <w:color w:val="000000" w:themeColor="text1"/>
          <w:szCs w:val="24"/>
          <w:highlight w:val="none"/>
          <w:lang w:val="en-US" w:eastAsia="zh-CN"/>
          <w14:textFill>
            <w14:solidFill>
              <w14:schemeClr w14:val="tx1"/>
            </w14:solidFill>
          </w14:textFill>
        </w:rPr>
        <w:t>中</w:t>
      </w:r>
      <w:r>
        <w:rPr>
          <w:rFonts w:hint="default" w:ascii="Times New Roman" w:hAnsi="Times New Roman" w:cs="Times New Roman"/>
          <w:bCs/>
          <w:color w:val="000000" w:themeColor="text1"/>
          <w:szCs w:val="24"/>
          <w:highlight w:val="none"/>
          <w14:textFill>
            <w14:solidFill>
              <w14:schemeClr w14:val="tx1"/>
            </w14:solidFill>
          </w14:textFill>
        </w:rPr>
        <w:t>III类标准</w:t>
      </w:r>
      <w:r>
        <w:rPr>
          <w:rFonts w:hint="eastAsia" w:cs="Times New Roman"/>
          <w:bCs/>
          <w:color w:val="000000" w:themeColor="text1"/>
          <w:szCs w:val="24"/>
          <w:highlight w:val="none"/>
          <w:lang w:eastAsia="zh-CN"/>
          <w14:textFill>
            <w14:solidFill>
              <w14:schemeClr w14:val="tx1"/>
            </w14:solidFill>
          </w14:textFill>
        </w:rPr>
        <w:t>。</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（4）声环境功能区划</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项目位于宣汉县普光镇北斗村，根据《声环境质量标准》（GB3096-2008），功能区划属2类区域。</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（5）生态功能区划</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Cs/>
          <w:color w:val="000000" w:themeColor="text1"/>
          <w:szCs w:val="24"/>
          <w:highlight w:val="none"/>
          <w14:textFill>
            <w14:solidFill>
              <w14:schemeClr w14:val="tx1"/>
            </w14:solidFill>
          </w14:textFill>
        </w:rPr>
      </w:pPr>
      <w:r>
        <w:rPr>
          <w:rFonts w:hint="default" w:ascii="Times New Roman" w:hAnsi="Times New Roman" w:eastAsia="宋体" w:cs="Times New Roman"/>
          <w:bCs/>
          <w:color w:val="000000" w:themeColor="text1"/>
          <w:szCs w:val="24"/>
          <w:highlight w:val="none"/>
          <w14:textFill>
            <w14:solidFill>
              <w14:schemeClr w14:val="tx1"/>
            </w14:solidFill>
          </w14:textFill>
        </w:rPr>
        <w:t>根据《四川省生态功能区划》，本项目位于四川盆地亚热带湿润气候生态区，属于</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位于</w:t>
      </w:r>
      <w:r>
        <w:rPr>
          <w:rFonts w:hint="default" w:ascii="Times New Roman" w:hAnsi="Times New Roman" w:eastAsia="宋体" w:cs="Times New Roman"/>
          <w:bCs/>
          <w:color w:val="000000" w:themeColor="text1"/>
          <w:szCs w:val="24"/>
          <w:highlight w:val="none"/>
          <w14:textFill>
            <w14:solidFill>
              <w14:schemeClr w14:val="tx1"/>
            </w14:solidFill>
          </w14:textFill>
        </w:rPr>
        <w:t>Ⅰ四川盆地亚热带农林生态区——</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I-3盆北秦巴山地常绿阔叶林-针阔混交林生态亚区</w:t>
      </w:r>
      <w:r>
        <w:rPr>
          <w:rFonts w:hint="default" w:ascii="Times New Roman" w:hAnsi="Times New Roman" w:eastAsia="宋体" w:cs="Times New Roman"/>
          <w:bCs/>
          <w:color w:val="000000" w:themeColor="text1"/>
          <w:szCs w:val="24"/>
          <w:highlight w:val="none"/>
          <w14:textFill>
            <w14:solidFill>
              <w14:schemeClr w14:val="tx1"/>
            </w14:solidFill>
          </w14:textFill>
        </w:rPr>
        <w:t>——</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I-3-2大巴山水源涵养与土壤保持生态功能区</w:t>
      </w:r>
      <w:r>
        <w:rPr>
          <w:rFonts w:hint="default" w:ascii="Times New Roman" w:hAnsi="Times New Roman" w:eastAsia="宋体" w:cs="Times New Roman"/>
          <w:bCs/>
          <w:color w:val="000000" w:themeColor="text1"/>
          <w:szCs w:val="24"/>
          <w:highlight w:val="none"/>
          <w14:textFill>
            <w14:solidFill>
              <w14:schemeClr w14:val="tx1"/>
            </w14:solidFill>
          </w14:textFill>
        </w:rPr>
        <w:t>，该生态功能区的主导功能是</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水源涵养功能，土壤保持功能</w:t>
      </w:r>
      <w:r>
        <w:rPr>
          <w:rFonts w:hint="default" w:ascii="Times New Roman" w:hAnsi="Times New Roman" w:eastAsia="宋体" w:cs="Times New Roman"/>
          <w:bCs/>
          <w:color w:val="000000" w:themeColor="text1"/>
          <w:szCs w:val="24"/>
          <w:highlight w:val="none"/>
          <w14:textFill>
            <w14:solidFill>
              <w14:schemeClr w14:val="tx1"/>
            </w14:solidFill>
          </w14:textFill>
        </w:rPr>
        <w:t>。</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（6）水土流失防治区划分</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根据达州市水利局《关于水土保持“两区”划分的公告》，本项目涉及</w:t>
      </w:r>
      <w:r>
        <w:rPr>
          <w:rFonts w:hint="default" w:ascii="Times New Roman" w:hAnsi="Times New Roman" w:cs="Times New Roman"/>
          <w:color w:val="000000" w:themeColor="text1"/>
          <w:highlight w:val="none"/>
          <w14:textFill>
            <w14:solidFill>
              <w14:schemeClr w14:val="tx1"/>
            </w14:solidFill>
          </w14:textFill>
        </w:rPr>
        <w:t>水土流失重点预防区及水土流失重点治理区</w:t>
      </w:r>
      <w:r>
        <w:rPr>
          <w:rFonts w:hint="default" w:ascii="Times New Roman" w:hAnsi="Times New Roman" w:cs="Times New Roman"/>
          <w:bCs/>
          <w:color w:val="000000" w:themeColor="text1"/>
          <w:szCs w:val="24"/>
          <w:highlight w:val="none"/>
          <w14:textFill>
            <w14:solidFill>
              <w14:schemeClr w14:val="tx1"/>
            </w14:solidFill>
          </w14:textFill>
        </w:rPr>
        <w:t>。</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3" w:name="_Toc120173066"/>
      <w:r>
        <w:rPr>
          <w:rFonts w:hint="default" w:ascii="Times New Roman" w:hAnsi="Times New Roman" w:cs="Times New Roman"/>
          <w:color w:val="000000" w:themeColor="text1"/>
          <w:highlight w:val="none"/>
          <w:lang w:eastAsia="zh-CN"/>
          <w14:textFill>
            <w14:solidFill>
              <w14:schemeClr w14:val="tx1"/>
            </w14:solidFill>
          </w14:textFill>
        </w:rPr>
        <w:t>环境质量标准</w:t>
      </w:r>
      <w:bookmarkEnd w:id="43"/>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（1）地表水</w:t>
      </w:r>
    </w:p>
    <w:p>
      <w:pPr>
        <w:pStyle w:val="27"/>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本项目地表水执行《地表水环境质量标准》（GB3838-2002）</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表1中</w:t>
      </w:r>
      <w:r>
        <w:rPr>
          <w:rFonts w:hint="default" w:ascii="Times New Roman" w:hAnsi="Times New Roman" w:cs="Times New Roman"/>
          <w:bCs/>
          <w:color w:val="000000" w:themeColor="text1"/>
          <w:szCs w:val="24"/>
          <w:highlight w:val="none"/>
          <w14:textFill>
            <w14:solidFill>
              <w14:schemeClr w14:val="tx1"/>
            </w14:solidFill>
          </w14:textFill>
        </w:rPr>
        <w:t>Ⅲ类水域标准，</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其中</w:t>
      </w:r>
      <w:r>
        <w:rPr>
          <w:rFonts w:hint="default" w:ascii="Times New Roman" w:hAnsi="Times New Roman" w:cs="Times New Roman"/>
          <w:bCs/>
          <w:color w:val="000000" w:themeColor="text1"/>
          <w:szCs w:val="24"/>
          <w:highlight w:val="none"/>
          <w14:textFill>
            <w14:solidFill>
              <w14:schemeClr w14:val="tx1"/>
            </w14:solidFill>
          </w14:textFill>
        </w:rPr>
        <w:t>氯化物执行《地表水环境质量标准》（GB3838-2002）中表2标准限值。</w:t>
      </w:r>
    </w:p>
    <w:p>
      <w:pPr>
        <w:pStyle w:val="18"/>
        <w:rPr>
          <w:rFonts w:hint="default"/>
          <w:color w:val="000000" w:themeColor="text1"/>
          <w:highlight w:val="none"/>
          <w14:textFill>
            <w14:solidFill>
              <w14:schemeClr w14:val="tx1"/>
            </w14:solidFill>
          </w14:textFill>
        </w:rPr>
      </w:pP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地表水环境质量标准</w:t>
      </w:r>
      <w:r>
        <w:rPr>
          <w:rFonts w:hint="eastAsia" w:cs="Times New Roman"/>
          <w:color w:val="000000" w:themeColor="text1"/>
          <w:highlight w:val="none"/>
          <w:lang w:val="en-US" w:eastAsia="zh-CN"/>
          <w14:textFill>
            <w14:solidFill>
              <w14:schemeClr w14:val="tx1"/>
            </w14:solidFill>
          </w14:textFill>
        </w:rPr>
        <w:t>限值</w:t>
      </w:r>
      <w:r>
        <w:rPr>
          <w:rFonts w:hint="default" w:ascii="Times New Roman" w:hAnsi="Times New Roman" w:cs="Times New Roman"/>
          <w:color w:val="000000" w:themeColor="text1"/>
          <w:highlight w:val="none"/>
          <w14:textFill>
            <w14:solidFill>
              <w14:schemeClr w14:val="tx1"/>
            </w14:solidFill>
          </w14:textFill>
        </w:rPr>
        <w:t xml:space="preserve">   单位：mg/L</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6"/>
        <w:gridCol w:w="680"/>
        <w:gridCol w:w="864"/>
        <w:gridCol w:w="738"/>
        <w:gridCol w:w="793"/>
        <w:gridCol w:w="779"/>
        <w:gridCol w:w="835"/>
        <w:gridCol w:w="794"/>
        <w:gridCol w:w="821"/>
        <w:gridCol w:w="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6"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w:t>
            </w:r>
          </w:p>
        </w:tc>
        <w:tc>
          <w:tcPr>
            <w:tcW w:w="68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pH</w:t>
            </w:r>
          </w:p>
        </w:tc>
        <w:tc>
          <w:tcPr>
            <w:tcW w:w="864"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COD</w:t>
            </w:r>
            <w:r>
              <w:rPr>
                <w:rFonts w:hint="default" w:ascii="Times New Roman" w:hAnsi="Times New Roman" w:cs="Times New Roman"/>
                <w:b/>
                <w:bCs/>
                <w:color w:val="000000" w:themeColor="text1"/>
                <w:highlight w:val="none"/>
                <w:vertAlign w:val="subscript"/>
                <w14:textFill>
                  <w14:solidFill>
                    <w14:schemeClr w14:val="tx1"/>
                  </w14:solidFill>
                </w14:textFill>
              </w:rPr>
              <w:t>Cr</w:t>
            </w:r>
          </w:p>
        </w:tc>
        <w:tc>
          <w:tcPr>
            <w:tcW w:w="738"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石油类</w:t>
            </w:r>
          </w:p>
        </w:tc>
        <w:tc>
          <w:tcPr>
            <w:tcW w:w="793"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BOD</w:t>
            </w:r>
            <w:r>
              <w:rPr>
                <w:rFonts w:hint="default" w:ascii="Times New Roman" w:hAnsi="Times New Roman" w:cs="Times New Roman"/>
                <w:b/>
                <w:bCs/>
                <w:color w:val="000000" w:themeColor="text1"/>
                <w:highlight w:val="none"/>
                <w:vertAlign w:val="subscript"/>
                <w14:textFill>
                  <w14:solidFill>
                    <w14:schemeClr w14:val="tx1"/>
                  </w14:solidFill>
                </w14:textFill>
              </w:rPr>
              <w:t>5</w:t>
            </w:r>
          </w:p>
        </w:tc>
        <w:tc>
          <w:tcPr>
            <w:tcW w:w="77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六价铬</w:t>
            </w:r>
          </w:p>
        </w:tc>
        <w:tc>
          <w:tcPr>
            <w:tcW w:w="835"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挥发酚</w:t>
            </w:r>
          </w:p>
        </w:tc>
        <w:tc>
          <w:tcPr>
            <w:tcW w:w="794"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NH</w:t>
            </w:r>
            <w:r>
              <w:rPr>
                <w:rFonts w:hint="default" w:ascii="Times New Roman" w:hAnsi="Times New Roman" w:cs="Times New Roman"/>
                <w:b/>
                <w:bCs/>
                <w:color w:val="000000" w:themeColor="text1"/>
                <w:highlight w:val="none"/>
                <w:vertAlign w:val="sub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-N</w:t>
            </w:r>
          </w:p>
        </w:tc>
        <w:tc>
          <w:tcPr>
            <w:tcW w:w="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硫化物</w:t>
            </w:r>
          </w:p>
        </w:tc>
        <w:tc>
          <w:tcPr>
            <w:tcW w:w="81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氯化物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6" w:type="dxa"/>
            <w:vAlign w:val="center"/>
          </w:tcPr>
          <w:p>
            <w:pPr>
              <w:pStyle w:val="295"/>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标准</w:t>
            </w:r>
            <w:r>
              <w:rPr>
                <w:rFonts w:hint="eastAsia" w:cs="Times New Roman"/>
                <w:color w:val="000000" w:themeColor="text1"/>
                <w:highlight w:val="none"/>
                <w:lang w:val="en-US" w:eastAsia="zh-CN"/>
                <w14:textFill>
                  <w14:solidFill>
                    <w14:schemeClr w14:val="tx1"/>
                  </w14:solidFill>
                </w14:textFill>
              </w:rPr>
              <w:t>值</w:t>
            </w:r>
          </w:p>
        </w:tc>
        <w:tc>
          <w:tcPr>
            <w:tcW w:w="68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6～9</w:t>
            </w:r>
          </w:p>
        </w:tc>
        <w:tc>
          <w:tcPr>
            <w:tcW w:w="86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w:t>
            </w:r>
          </w:p>
        </w:tc>
        <w:tc>
          <w:tcPr>
            <w:tcW w:w="73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≤0.05</w:t>
            </w:r>
          </w:p>
        </w:tc>
        <w:tc>
          <w:tcPr>
            <w:tcW w:w="79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77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≤0.05</w:t>
            </w:r>
          </w:p>
        </w:tc>
        <w:tc>
          <w:tcPr>
            <w:tcW w:w="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≤0.005</w:t>
            </w:r>
          </w:p>
        </w:tc>
        <w:tc>
          <w:tcPr>
            <w:tcW w:w="79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82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w:t>
            </w:r>
          </w:p>
        </w:tc>
        <w:tc>
          <w:tcPr>
            <w:tcW w:w="81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w:t>
            </w:r>
          </w:p>
        </w:tc>
      </w:tr>
    </w:tbl>
    <w:p>
      <w:pPr>
        <w:pStyle w:val="2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pStyle w:val="2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（2）地下水</w:t>
      </w:r>
    </w:p>
    <w:p>
      <w:pPr>
        <w:pStyle w:val="27"/>
        <w:keepNext w:val="0"/>
        <w:keepLines w:val="0"/>
        <w:pageBreakBefore w:val="0"/>
        <w:widowControl w:val="0"/>
        <w:kinsoku/>
        <w:wordWrap/>
        <w:overflowPunct/>
        <w:topLinePunct w:val="0"/>
        <w:autoSpaceDE/>
        <w:autoSpaceDN/>
        <w:bidi w:val="0"/>
        <w:adjustRightInd w:val="0"/>
        <w:snapToGrid w:val="0"/>
        <w:ind w:firstLine="472"/>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pacing w:val="-4"/>
          <w:highlight w:val="none"/>
          <w14:textFill>
            <w14:solidFill>
              <w14:schemeClr w14:val="tx1"/>
            </w14:solidFill>
          </w14:textFill>
        </w:rPr>
        <w:t>地下水环境执行《地下水质量标准》（GB/T 14848-2017）中III类标准，</w:t>
      </w:r>
      <w:r>
        <w:rPr>
          <w:rFonts w:hint="eastAsia" w:ascii="Times New Roman" w:hAnsi="Times New Roman" w:cs="Times New Roman"/>
          <w:color w:val="000000" w:themeColor="text1"/>
          <w:spacing w:val="-4"/>
          <w:highlight w:val="none"/>
          <w:lang w:val="en-US" w:eastAsia="zh-CN"/>
          <w14:textFill>
            <w14:solidFill>
              <w14:schemeClr w14:val="tx1"/>
            </w14:solidFill>
          </w14:textFill>
        </w:rPr>
        <w:t>其中</w:t>
      </w:r>
      <w:r>
        <w:rPr>
          <w:rFonts w:hint="default" w:ascii="Times New Roman" w:hAnsi="Times New Roman" w:cs="Times New Roman"/>
          <w:color w:val="000000" w:themeColor="text1"/>
          <w:spacing w:val="-4"/>
          <w:highlight w:val="none"/>
          <w14:textFill>
            <w14:solidFill>
              <w14:schemeClr w14:val="tx1"/>
            </w14:solidFill>
          </w14:textFill>
        </w:rPr>
        <w:t>石油类参照执行《地表水环境质量标准》（ GB 3838-2002）表1中III类标准</w:t>
      </w:r>
      <w:r>
        <w:rPr>
          <w:rFonts w:hint="default" w:ascii="Times New Roman" w:hAnsi="Times New Roman" w:cs="Times New Roman"/>
          <w:bCs/>
          <w:color w:val="000000" w:themeColor="text1"/>
          <w:szCs w:val="24"/>
          <w:highlight w:val="none"/>
          <w14:textFill>
            <w14:solidFill>
              <w14:schemeClr w14:val="tx1"/>
            </w14:solidFill>
          </w14:textFill>
        </w:rPr>
        <w:t>，标准值见表2.5-2。</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地下水质量标准限值   单位：mg/L</w:t>
      </w:r>
    </w:p>
    <w:tbl>
      <w:tblPr>
        <w:tblStyle w:val="59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2035"/>
        <w:gridCol w:w="1398"/>
        <w:gridCol w:w="931"/>
        <w:gridCol w:w="2035"/>
        <w:gridCol w:w="1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b/>
                <w:bCs/>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b/>
                <w:bCs/>
                <w:snapToGrid w:val="0"/>
                <w:color w:val="000000" w:themeColor="text1"/>
                <w:highlight w:val="none"/>
                <w14:textFill>
                  <w14:solidFill>
                    <w14:schemeClr w14:val="tx1"/>
                  </w14:solidFill>
                </w14:textFill>
                <w14:ligatures w14:val="standardContextual"/>
              </w:rPr>
              <w:t>序号</w:t>
            </w:r>
          </w:p>
        </w:tc>
        <w:tc>
          <w:tcPr>
            <w:tcW w:w="1194" w:type="pct"/>
            <w:vAlign w:val="center"/>
          </w:tcPr>
          <w:p>
            <w:pPr>
              <w:pStyle w:val="295"/>
              <w:spacing w:line="240" w:lineRule="auto"/>
              <w:ind w:firstLine="0"/>
              <w:rPr>
                <w:rFonts w:hint="default" w:ascii="Times New Roman" w:hAnsi="Times New Roman" w:eastAsia="Times New Roman" w:cs="Times New Roman"/>
                <w:b/>
                <w:bCs/>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b/>
                <w:bCs/>
                <w:snapToGrid w:val="0"/>
                <w:color w:val="000000" w:themeColor="text1"/>
                <w:highlight w:val="none"/>
                <w14:textFill>
                  <w14:solidFill>
                    <w14:schemeClr w14:val="tx1"/>
                  </w14:solidFill>
                </w14:textFill>
                <w14:ligatures w14:val="standardContextual"/>
              </w:rPr>
              <w:t>指标</w:t>
            </w:r>
          </w:p>
        </w:tc>
        <w:tc>
          <w:tcPr>
            <w:tcW w:w="820" w:type="pct"/>
            <w:vAlign w:val="center"/>
          </w:tcPr>
          <w:p>
            <w:pPr>
              <w:pStyle w:val="295"/>
              <w:spacing w:line="240" w:lineRule="auto"/>
              <w:ind w:firstLine="0"/>
              <w:rPr>
                <w:rFonts w:hint="default" w:ascii="Times New Roman" w:hAnsi="Times New Roman" w:eastAsia="Times New Roman" w:cs="Times New Roman"/>
                <w:b/>
                <w:bCs/>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b/>
                <w:bCs/>
                <w:snapToGrid w:val="0"/>
                <w:color w:val="000000" w:themeColor="text1"/>
                <w:highlight w:val="none"/>
                <w14:textFill>
                  <w14:solidFill>
                    <w14:schemeClr w14:val="tx1"/>
                  </w14:solidFill>
                </w14:textFill>
                <w14:ligatures w14:val="standardContextual"/>
              </w:rPr>
              <w:t>标准值</w:t>
            </w:r>
          </w:p>
        </w:tc>
        <w:tc>
          <w:tcPr>
            <w:tcW w:w="546" w:type="pct"/>
            <w:vAlign w:val="center"/>
          </w:tcPr>
          <w:p>
            <w:pPr>
              <w:pStyle w:val="295"/>
              <w:spacing w:line="240" w:lineRule="auto"/>
              <w:ind w:firstLine="0"/>
              <w:rPr>
                <w:rFonts w:hint="default" w:ascii="Times New Roman" w:hAnsi="Times New Roman" w:eastAsia="Times New Roman" w:cs="Times New Roman"/>
                <w:b/>
                <w:bCs/>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b/>
                <w:bCs/>
                <w:snapToGrid w:val="0"/>
                <w:color w:val="000000" w:themeColor="text1"/>
                <w:highlight w:val="none"/>
                <w14:textFill>
                  <w14:solidFill>
                    <w14:schemeClr w14:val="tx1"/>
                  </w14:solidFill>
                </w14:textFill>
                <w14:ligatures w14:val="standardContextual"/>
              </w:rPr>
              <w:t>序号</w:t>
            </w:r>
          </w:p>
        </w:tc>
        <w:tc>
          <w:tcPr>
            <w:tcW w:w="1194" w:type="pct"/>
            <w:vAlign w:val="center"/>
          </w:tcPr>
          <w:p>
            <w:pPr>
              <w:pStyle w:val="295"/>
              <w:spacing w:line="240" w:lineRule="auto"/>
              <w:ind w:firstLine="0"/>
              <w:rPr>
                <w:rFonts w:hint="default" w:ascii="Times New Roman" w:hAnsi="Times New Roman" w:eastAsia="Times New Roman" w:cs="Times New Roman"/>
                <w:b/>
                <w:bCs/>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b/>
                <w:bCs/>
                <w:snapToGrid w:val="0"/>
                <w:color w:val="000000" w:themeColor="text1"/>
                <w:highlight w:val="none"/>
                <w14:textFill>
                  <w14:solidFill>
                    <w14:schemeClr w14:val="tx1"/>
                  </w14:solidFill>
                </w14:textFill>
                <w14:ligatures w14:val="standardContextual"/>
              </w:rPr>
              <w:t>污染物</w:t>
            </w:r>
          </w:p>
        </w:tc>
        <w:tc>
          <w:tcPr>
            <w:tcW w:w="732" w:type="pct"/>
            <w:vAlign w:val="center"/>
          </w:tcPr>
          <w:p>
            <w:pPr>
              <w:pStyle w:val="295"/>
              <w:spacing w:line="240" w:lineRule="auto"/>
              <w:ind w:firstLine="0"/>
              <w:rPr>
                <w:rFonts w:hint="default" w:ascii="Times New Roman" w:hAnsi="Times New Roman" w:eastAsia="Times New Roman" w:cs="Times New Roman"/>
                <w:b/>
                <w:bCs/>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b/>
                <w:bCs/>
                <w:snapToGrid w:val="0"/>
                <w:color w:val="000000" w:themeColor="text1"/>
                <w:highlight w:val="none"/>
                <w14:textFill>
                  <w14:solidFill>
                    <w14:schemeClr w14:val="tx1"/>
                  </w14:solidFill>
                </w14:textFill>
                <w14:ligatures w14:val="standardContextual"/>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pH</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6.5-8.5</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13</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溶解性总固体</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2</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氨氮</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≤0.5</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14</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耗氧量</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3</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硝酸盐</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≤20</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15</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氯化物</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4</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亚硝酸盐</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≤1.0</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16</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总大肠杆菌</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5</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挥发性酚</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≤0.002</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17</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细菌总数</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6</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氰化物</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≤0.05</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18</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石油类</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7</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砷</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≤0.01</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19</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铬（六价）</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8</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汞</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≤0.001</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20</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硫酸盐</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9</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总硬度</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≤450</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21</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钠</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10</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铅</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≤0.01</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22</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硫化物</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11</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氟化物</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≤1.0</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23</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铁</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12</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镉</w:t>
            </w:r>
          </w:p>
        </w:tc>
        <w:tc>
          <w:tcPr>
            <w:tcW w:w="820"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≤0.005</w:t>
            </w:r>
          </w:p>
        </w:tc>
        <w:tc>
          <w:tcPr>
            <w:tcW w:w="546"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24</w:t>
            </w:r>
          </w:p>
        </w:tc>
        <w:tc>
          <w:tcPr>
            <w:tcW w:w="119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锰</w:t>
            </w:r>
          </w:p>
        </w:tc>
        <w:tc>
          <w:tcPr>
            <w:tcW w:w="73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t>≤0.1</w:t>
            </w: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（3）环境空气</w:t>
      </w:r>
    </w:p>
    <w:p>
      <w:pPr>
        <w:pStyle w:val="2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评价区域环境空气执行《环境空气质量标准》（GB3095-2012）二级标准；</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其中</w:t>
      </w:r>
      <w:r>
        <w:rPr>
          <w:rFonts w:hint="default" w:ascii="Times New Roman" w:hAnsi="Times New Roman" w:cs="Times New Roman"/>
          <w:bCs/>
          <w:color w:val="000000" w:themeColor="text1"/>
          <w:szCs w:val="24"/>
          <w:highlight w:val="none"/>
          <w14:textFill>
            <w14:solidFill>
              <w14:schemeClr w14:val="tx1"/>
            </w14:solidFill>
          </w14:textFill>
        </w:rPr>
        <w:t>非甲烷总烃执行《大气污染物综合排放标准详解》中标准限值</w:t>
      </w:r>
      <w:r>
        <w:rPr>
          <w:rFonts w:hint="eastAsia"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硫化氢执行《环境影响评价技术导则大气环境》（HJ2.2-2018）中附录D相关限值。具体标准限值见表2.5-3。</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环境空气质量标准</w:t>
      </w:r>
      <w:r>
        <w:rPr>
          <w:rFonts w:hint="eastAsia" w:cs="Times New Roman"/>
          <w:color w:val="000000" w:themeColor="text1"/>
          <w:highlight w:val="none"/>
          <w:lang w:val="en-US" w:eastAsia="zh-CN"/>
          <w14:textFill>
            <w14:solidFill>
              <w14:schemeClr w14:val="tx1"/>
            </w14:solidFill>
          </w14:textFill>
        </w:rPr>
        <w:t>限值</w:t>
      </w:r>
      <w:r>
        <w:rPr>
          <w:rFonts w:hint="default" w:ascii="Times New Roman" w:hAnsi="Times New Roman" w:cs="Times New Roman"/>
          <w:color w:val="000000" w:themeColor="text1"/>
          <w:highlight w:val="none"/>
          <w14:textFill>
            <w14:solidFill>
              <w14:schemeClr w14:val="tx1"/>
            </w14:solidFill>
          </w14:textFill>
        </w:rPr>
        <w:t xml:space="preserve">   单位：mg/m</w:t>
      </w:r>
      <w:r>
        <w:rPr>
          <w:rFonts w:hint="default" w:ascii="Times New Roman" w:hAnsi="Times New Roman" w:cs="Times New Roman"/>
          <w:color w:val="000000" w:themeColor="text1"/>
          <w:highlight w:val="none"/>
          <w:vertAlign w:val="superscript"/>
          <w14:textFill>
            <w14:solidFill>
              <w14:schemeClr w14:val="tx1"/>
            </w14:solidFill>
          </w14:textFill>
        </w:rPr>
        <w:t>3</w:t>
      </w:r>
    </w:p>
    <w:tbl>
      <w:tblPr>
        <w:tblStyle w:val="52"/>
        <w:tblW w:w="51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1"/>
        <w:gridCol w:w="1811"/>
        <w:gridCol w:w="1811"/>
        <w:gridCol w:w="3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blHeader/>
          <w:jc w:val="center"/>
        </w:trPr>
        <w:tc>
          <w:tcPr>
            <w:tcW w:w="1481"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w:t>
            </w:r>
          </w:p>
        </w:tc>
        <w:tc>
          <w:tcPr>
            <w:tcW w:w="3526" w:type="dxa"/>
            <w:gridSpan w:val="2"/>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浓度限值</w:t>
            </w:r>
          </w:p>
        </w:tc>
        <w:tc>
          <w:tcPr>
            <w:tcW w:w="3611"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tblHeader/>
          <w:jc w:val="center"/>
        </w:trPr>
        <w:tc>
          <w:tcPr>
            <w:tcW w:w="148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763"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取值时间</w:t>
            </w:r>
          </w:p>
        </w:tc>
        <w:tc>
          <w:tcPr>
            <w:tcW w:w="1763"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标准限值</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PM</w:t>
            </w:r>
            <w:r>
              <w:rPr>
                <w:rFonts w:hint="default" w:ascii="Times New Roman" w:hAnsi="Times New Roman" w:cs="Times New Roman"/>
                <w:color w:val="000000" w:themeColor="text1"/>
                <w:highlight w:val="none"/>
                <w:vertAlign w:val="subscript"/>
                <w14:textFill>
                  <w14:solidFill>
                    <w14:schemeClr w14:val="tx1"/>
                  </w14:solidFill>
                </w14:textFill>
              </w:rPr>
              <w:t>10</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5"/>
              <w:rPr>
                <w:rFonts w:hint="default" w:ascii="Times New Roman" w:hAnsi="Times New Roman" w:cs="Times New Roman"/>
                <w:color w:val="000000" w:themeColor="text1"/>
                <w:highlight w:val="none"/>
                <w:vertAlign w:val="subscript"/>
                <w14:textFill>
                  <w14:solidFill>
                    <w14:schemeClr w14:val="tx1"/>
                  </w14:solidFill>
                </w14:textFill>
              </w:rPr>
            </w:pP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24小时平均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PM</w:t>
            </w:r>
            <w:r>
              <w:rPr>
                <w:rFonts w:hint="default" w:ascii="Times New Roman" w:hAnsi="Times New Roman" w:cs="Times New Roman"/>
                <w:color w:val="000000" w:themeColor="text1"/>
                <w:highlight w:val="none"/>
                <w:vertAlign w:val="subscript"/>
                <w14:textFill>
                  <w14:solidFill>
                    <w14:schemeClr w14:val="tx1"/>
                  </w14:solidFill>
                </w14:textFill>
              </w:rPr>
              <w:t>2.5</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35μg/m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5"/>
              <w:rPr>
                <w:rFonts w:hint="default" w:ascii="Times New Roman" w:hAnsi="Times New Roman" w:cs="Times New Roman"/>
                <w:color w:val="000000" w:themeColor="text1"/>
                <w:highlight w:val="none"/>
                <w:vertAlign w:val="subscript"/>
                <w14:textFill>
                  <w14:solidFill>
                    <w14:schemeClr w14:val="tx1"/>
                  </w14:solidFill>
                </w14:textFill>
              </w:rPr>
            </w:pP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24小时平均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5"/>
              <w:rPr>
                <w:rFonts w:hint="default" w:ascii="Times New Roman" w:hAnsi="Times New Roman" w:cs="Times New Roman"/>
                <w:color w:val="000000" w:themeColor="text1"/>
                <w:highlight w:val="none"/>
                <w:vertAlign w:val="subscript"/>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SO</w:t>
            </w:r>
            <w:r>
              <w:rPr>
                <w:rFonts w:hint="default" w:ascii="Times New Roman" w:hAnsi="Times New Roman" w:cs="Times New Roman"/>
                <w:color w:val="000000" w:themeColor="text1"/>
                <w:highlight w:val="none"/>
                <w:vertAlign w:val="subscript"/>
                <w14:textFill>
                  <w14:solidFill>
                    <w14:schemeClr w14:val="tx1"/>
                  </w14:solidFill>
                </w14:textFill>
              </w:rPr>
              <w:t>2</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48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24小时平均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48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1小时平均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NO</w:t>
            </w:r>
            <w:r>
              <w:rPr>
                <w:rFonts w:hint="default" w:ascii="Times New Roman" w:hAnsi="Times New Roman" w:cs="Times New Roman"/>
                <w:color w:val="000000" w:themeColor="text1"/>
                <w:highlight w:val="none"/>
                <w:vertAlign w:val="subscript"/>
                <w14:textFill>
                  <w14:solidFill>
                    <w14:schemeClr w14:val="tx1"/>
                  </w14:solidFill>
                </w14:textFill>
              </w:rPr>
              <w:t>2</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40μg/m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24小时平均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80μg/m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1小时平均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TSP</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24小时平均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300μg/m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CO</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24小时平均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4mg/m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1小时平均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10mg/m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iCs/>
                <w:color w:val="000000" w:themeColor="text1"/>
                <w:kern w:val="0"/>
                <w:szCs w:val="21"/>
                <w:highlight w:val="none"/>
                <w14:textFill>
                  <w14:solidFill>
                    <w14:schemeClr w14:val="tx1"/>
                  </w14:solidFill>
                </w14:textFill>
              </w:rPr>
              <w:t>O</w:t>
            </w:r>
            <w:r>
              <w:rPr>
                <w:rFonts w:hint="default" w:ascii="Times New Roman" w:hAnsi="Times New Roman" w:cs="Times New Roman"/>
                <w:iCs/>
                <w:color w:val="000000" w:themeColor="text1"/>
                <w:kern w:val="0"/>
                <w:szCs w:val="21"/>
                <w:highlight w:val="none"/>
                <w:vertAlign w:val="subscript"/>
                <w14:textFill>
                  <w14:solidFill>
                    <w14:schemeClr w14:val="tx1"/>
                  </w14:solidFill>
                </w14:textFill>
              </w:rPr>
              <w:t>3</w:t>
            </w:r>
          </w:p>
        </w:tc>
        <w:tc>
          <w:tcPr>
            <w:tcW w:w="1763"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iCs/>
                <w:color w:val="000000" w:themeColor="text1"/>
                <w:szCs w:val="21"/>
                <w:highlight w:val="none"/>
                <w14:textFill>
                  <w14:solidFill>
                    <w14:schemeClr w14:val="tx1"/>
                  </w14:solidFill>
                </w14:textFill>
              </w:rPr>
              <w:t>8小时平均</w:t>
            </w:r>
          </w:p>
        </w:tc>
        <w:tc>
          <w:tcPr>
            <w:tcW w:w="1763"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iCs/>
                <w:color w:val="000000" w:themeColor="text1"/>
                <w:szCs w:val="21"/>
                <w:highlight w:val="none"/>
                <w14:textFill>
                  <w14:solidFill>
                    <w14:schemeClr w14:val="tx1"/>
                  </w14:solidFill>
                </w14:textFill>
              </w:rPr>
              <w:t>160</w:t>
            </w:r>
            <w:r>
              <w:rPr>
                <w:rFonts w:hint="default" w:ascii="Times New Roman" w:hAnsi="Times New Roman" w:cs="Times New Roman"/>
                <w:iCs/>
                <w:color w:val="000000" w:themeColor="text1"/>
                <w:kern w:val="0"/>
                <w:szCs w:val="21"/>
                <w:highlight w:val="none"/>
                <w14:textFill>
                  <w14:solidFill>
                    <w14:schemeClr w14:val="tx1"/>
                  </w14:solidFill>
                </w14:textFill>
              </w:rPr>
              <w:t>μg/m</w:t>
            </w:r>
            <w:r>
              <w:rPr>
                <w:rFonts w:hint="default" w:ascii="Times New Roman" w:hAnsi="Times New Roman" w:cs="Times New Roman"/>
                <w:iCs/>
                <w:color w:val="000000" w:themeColor="text1"/>
                <w:kern w:val="0"/>
                <w:szCs w:val="2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63"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iCs/>
                <w:color w:val="000000" w:themeColor="text1"/>
                <w:szCs w:val="21"/>
                <w:highlight w:val="none"/>
                <w14:textFill>
                  <w14:solidFill>
                    <w14:schemeClr w14:val="tx1"/>
                  </w14:solidFill>
                </w14:textFill>
              </w:rPr>
              <w:t>1小时平均</w:t>
            </w:r>
          </w:p>
        </w:tc>
        <w:tc>
          <w:tcPr>
            <w:tcW w:w="1763"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iCs/>
                <w:color w:val="000000" w:themeColor="text1"/>
                <w:szCs w:val="21"/>
                <w:highlight w:val="none"/>
                <w14:textFill>
                  <w14:solidFill>
                    <w14:schemeClr w14:val="tx1"/>
                  </w14:solidFill>
                </w14:textFill>
              </w:rPr>
              <w:t>200</w:t>
            </w:r>
            <w:r>
              <w:rPr>
                <w:rFonts w:hint="default" w:ascii="Times New Roman" w:hAnsi="Times New Roman" w:cs="Times New Roman"/>
                <w:iCs/>
                <w:color w:val="000000" w:themeColor="text1"/>
                <w:kern w:val="0"/>
                <w:szCs w:val="21"/>
                <w:highlight w:val="none"/>
                <w14:textFill>
                  <w14:solidFill>
                    <w14:schemeClr w14:val="tx1"/>
                  </w14:solidFill>
                </w14:textFill>
              </w:rPr>
              <w:t>μg/m</w:t>
            </w:r>
            <w:r>
              <w:rPr>
                <w:rFonts w:hint="default" w:ascii="Times New Roman" w:hAnsi="Times New Roman" w:cs="Times New Roman"/>
                <w:iCs/>
                <w:color w:val="000000" w:themeColor="text1"/>
                <w:kern w:val="0"/>
                <w:szCs w:val="21"/>
                <w:highlight w:val="none"/>
                <w:vertAlign w:val="superscript"/>
                <w14:textFill>
                  <w14:solidFill>
                    <w14:schemeClr w14:val="tx1"/>
                  </w14:solidFill>
                </w14:textFill>
              </w:rPr>
              <w:t>3</w:t>
            </w:r>
          </w:p>
        </w:tc>
        <w:tc>
          <w:tcPr>
            <w:tcW w:w="361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硫化氢</w:t>
            </w:r>
          </w:p>
        </w:tc>
        <w:tc>
          <w:tcPr>
            <w:tcW w:w="1763" w:type="dxa"/>
            <w:vAlign w:val="center"/>
          </w:tcPr>
          <w:p>
            <w:pPr>
              <w:pStyle w:val="295"/>
              <w:rPr>
                <w:rFonts w:hint="default" w:ascii="Times New Roman" w:hAnsi="Times New Roman" w:cs="Times New Roman"/>
                <w:i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1小时平均</w:t>
            </w:r>
          </w:p>
        </w:tc>
        <w:tc>
          <w:tcPr>
            <w:tcW w:w="1763" w:type="dxa"/>
            <w:vAlign w:val="center"/>
          </w:tcPr>
          <w:p>
            <w:pPr>
              <w:pStyle w:val="295"/>
              <w:rPr>
                <w:rFonts w:hint="default" w:ascii="Times New Roman" w:hAnsi="Times New Roman" w:cs="Times New Roman"/>
                <w:i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r>
              <w:rPr>
                <w:rFonts w:hint="default" w:ascii="Times New Roman" w:hAnsi="Times New Roman" w:cs="Times New Roman"/>
                <w:iCs/>
                <w:color w:val="000000" w:themeColor="text1"/>
                <w:kern w:val="0"/>
                <w:szCs w:val="21"/>
                <w:highlight w:val="none"/>
                <w14:textFill>
                  <w14:solidFill>
                    <w14:schemeClr w14:val="tx1"/>
                  </w14:solidFill>
                </w14:textFill>
              </w:rPr>
              <w:t>μ</w:t>
            </w:r>
            <w:r>
              <w:rPr>
                <w:rFonts w:hint="default" w:ascii="Times New Roman" w:hAnsi="Times New Roman" w:cs="Times New Roman"/>
                <w:color w:val="000000" w:themeColor="text1"/>
                <w:highlight w:val="none"/>
                <w14:textFill>
                  <w14:solidFill>
                    <w14:schemeClr w14:val="tx1"/>
                  </w14:solidFill>
                </w14:textFill>
              </w:rPr>
              <w:t>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《环境影响评价技术导则大气环境》（HJ2.2-2018）中附录D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4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非甲烷总烃</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1小时平均</w:t>
            </w:r>
          </w:p>
        </w:tc>
        <w:tc>
          <w:tcPr>
            <w:tcW w:w="176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2mg/m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11"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《大气污染物综合排放标准详解》</w:t>
            </w: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（4）声环境</w:t>
      </w:r>
    </w:p>
    <w:p>
      <w:pPr>
        <w:pStyle w:val="2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项目区域声环境执行《声环境质量标准》（GB3096-2008）2类功能区标准，标准限值见表2.5-4。</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声环境质量标准   单位：dB（A）</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9"/>
        <w:gridCol w:w="3161"/>
        <w:gridCol w:w="3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类别</w:t>
            </w:r>
          </w:p>
        </w:tc>
        <w:tc>
          <w:tcPr>
            <w:tcW w:w="316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昼间</w:t>
            </w:r>
          </w:p>
        </w:tc>
        <w:tc>
          <w:tcPr>
            <w:tcW w:w="316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bookmarkStart w:id="44" w:name="_Toc107494216"/>
            <w:bookmarkStart w:id="45" w:name="_Toc88465928"/>
            <w:bookmarkStart w:id="46" w:name="_Toc89099427"/>
            <w:bookmarkStart w:id="47" w:name="_Toc120173067"/>
            <w:r>
              <w:rPr>
                <w:rFonts w:hint="default" w:ascii="Times New Roman" w:hAnsi="Times New Roman" w:cs="Times New Roman"/>
                <w:b/>
                <w:bCs/>
                <w:color w:val="000000" w:themeColor="text1"/>
                <w:highlight w:val="none"/>
                <w14:textFill>
                  <w14:solidFill>
                    <w14:schemeClr w14:val="tx1"/>
                  </w14:solidFill>
                </w14:textFill>
              </w:rPr>
              <w:t>夜间</w:t>
            </w:r>
            <w:bookmarkEnd w:id="44"/>
            <w:bookmarkEnd w:id="45"/>
            <w:bookmarkEnd w:id="46"/>
            <w:bookmarkEnd w:id="4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89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2类功能区</w:t>
            </w:r>
          </w:p>
        </w:tc>
        <w:tc>
          <w:tcPr>
            <w:tcW w:w="316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w:t>
            </w:r>
          </w:p>
        </w:tc>
        <w:tc>
          <w:tcPr>
            <w:tcW w:w="316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w:t>
            </w: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（5）土壤环境</w:t>
      </w:r>
    </w:p>
    <w:p>
      <w:pPr>
        <w:pStyle w:val="2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本项目所在区域用地范围内执行《土壤环境质量 建设用地土壤污染风险管控标准（试行）（GB36600—2018）》第二类用地筛选值</w:t>
      </w:r>
      <w:r>
        <w:rPr>
          <w:rFonts w:hint="eastAsia"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项目周边耕地执行《土壤环境质量 农用地土壤污染风险管控标准（试行）（GB15618—2018）》风险筛选值，</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其中</w:t>
      </w:r>
      <w:r>
        <w:rPr>
          <w:rFonts w:hint="default" w:ascii="Times New Roman" w:hAnsi="Times New Roman" w:cs="Times New Roman"/>
          <w:bCs/>
          <w:color w:val="000000" w:themeColor="text1"/>
          <w:szCs w:val="24"/>
          <w:highlight w:val="none"/>
          <w14:textFill>
            <w14:solidFill>
              <w14:schemeClr w14:val="tx1"/>
            </w14:solidFill>
          </w14:textFill>
        </w:rPr>
        <w:t>农用地石油烃参考第一类建设用地筛选值为826mg/kg。具体筛选值见表2.5-5和表2.5-6。</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建设用地（第二类用地）土壤环境质量筛选值   单位：mg/kg</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57" w:type="dxa"/>
          <w:bottom w:w="0" w:type="dxa"/>
          <w:right w:w="57" w:type="dxa"/>
        </w:tblCellMar>
      </w:tblPr>
      <w:tblGrid>
        <w:gridCol w:w="949"/>
        <w:gridCol w:w="992"/>
        <w:gridCol w:w="1276"/>
        <w:gridCol w:w="1134"/>
        <w:gridCol w:w="992"/>
        <w:gridCol w:w="984"/>
        <w:gridCol w:w="971"/>
        <w:gridCol w:w="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砷</w:t>
            </w:r>
          </w:p>
        </w:tc>
        <w:tc>
          <w:tcPr>
            <w:tcW w:w="1276"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镉</w:t>
            </w:r>
          </w:p>
        </w:tc>
        <w:tc>
          <w:tcPr>
            <w:tcW w:w="113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铬（6价）</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铜</w:t>
            </w:r>
          </w:p>
        </w:tc>
        <w:tc>
          <w:tcPr>
            <w:tcW w:w="98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铅</w:t>
            </w:r>
          </w:p>
        </w:tc>
        <w:tc>
          <w:tcPr>
            <w:tcW w:w="971"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汞</w:t>
            </w:r>
          </w:p>
        </w:tc>
        <w:tc>
          <w:tcPr>
            <w:tcW w:w="92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筛选值</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65</w:t>
            </w:r>
          </w:p>
        </w:tc>
        <w:tc>
          <w:tcPr>
            <w:tcW w:w="113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5.7</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18000</w:t>
            </w:r>
          </w:p>
        </w:tc>
        <w:tc>
          <w:tcPr>
            <w:tcW w:w="98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800</w:t>
            </w:r>
          </w:p>
        </w:tc>
        <w:tc>
          <w:tcPr>
            <w:tcW w:w="971"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92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四氯化碳</w:t>
            </w:r>
          </w:p>
        </w:tc>
        <w:tc>
          <w:tcPr>
            <w:tcW w:w="1276"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氯仿</w:t>
            </w:r>
          </w:p>
        </w:tc>
        <w:tc>
          <w:tcPr>
            <w:tcW w:w="113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氯甲烷</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1,1-二氯乙烷</w:t>
            </w:r>
          </w:p>
        </w:tc>
        <w:tc>
          <w:tcPr>
            <w:tcW w:w="98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1,2-二氯乙烷</w:t>
            </w:r>
          </w:p>
        </w:tc>
        <w:tc>
          <w:tcPr>
            <w:tcW w:w="971"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1,1-二氯乙烯</w:t>
            </w:r>
          </w:p>
        </w:tc>
        <w:tc>
          <w:tcPr>
            <w:tcW w:w="92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顺-1,1-二氯乙烯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筛选值</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2.8</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0.9</w:t>
            </w:r>
          </w:p>
        </w:tc>
        <w:tc>
          <w:tcPr>
            <w:tcW w:w="113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37</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w:t>
            </w:r>
          </w:p>
        </w:tc>
        <w:tc>
          <w:tcPr>
            <w:tcW w:w="98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971"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66</w:t>
            </w:r>
          </w:p>
        </w:tc>
        <w:tc>
          <w:tcPr>
            <w:tcW w:w="92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反-1,1-二氯乙烯</w:t>
            </w:r>
          </w:p>
        </w:tc>
        <w:tc>
          <w:tcPr>
            <w:tcW w:w="1276"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二氯甲烷</w:t>
            </w:r>
          </w:p>
        </w:tc>
        <w:tc>
          <w:tcPr>
            <w:tcW w:w="113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1,2-二氯丙烷</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1,1，1,2-四氯乙烷</w:t>
            </w:r>
          </w:p>
        </w:tc>
        <w:tc>
          <w:tcPr>
            <w:tcW w:w="98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1,1，2,2-四氯乙烷</w:t>
            </w:r>
          </w:p>
        </w:tc>
        <w:tc>
          <w:tcPr>
            <w:tcW w:w="971"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四氯乙烯</w:t>
            </w:r>
          </w:p>
        </w:tc>
        <w:tc>
          <w:tcPr>
            <w:tcW w:w="92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1,1,1-三氯乙烷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筛选值</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54</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616</w:t>
            </w:r>
          </w:p>
        </w:tc>
        <w:tc>
          <w:tcPr>
            <w:tcW w:w="113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98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6.8</w:t>
            </w:r>
          </w:p>
        </w:tc>
        <w:tc>
          <w:tcPr>
            <w:tcW w:w="971"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53</w:t>
            </w:r>
          </w:p>
        </w:tc>
        <w:tc>
          <w:tcPr>
            <w:tcW w:w="92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1,1,2-三氯乙烷</w:t>
            </w:r>
          </w:p>
        </w:tc>
        <w:tc>
          <w:tcPr>
            <w:tcW w:w="1276"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三氯乙烯</w:t>
            </w:r>
          </w:p>
        </w:tc>
        <w:tc>
          <w:tcPr>
            <w:tcW w:w="113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1,2,3-三氯乙丙烷</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氯乙烯</w:t>
            </w:r>
          </w:p>
        </w:tc>
        <w:tc>
          <w:tcPr>
            <w:tcW w:w="98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苯</w:t>
            </w:r>
          </w:p>
        </w:tc>
        <w:tc>
          <w:tcPr>
            <w:tcW w:w="971"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氯苯</w:t>
            </w:r>
          </w:p>
        </w:tc>
        <w:tc>
          <w:tcPr>
            <w:tcW w:w="92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1,2-二氯苯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筛选值</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2.8</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2.8</w:t>
            </w:r>
          </w:p>
        </w:tc>
        <w:tc>
          <w:tcPr>
            <w:tcW w:w="113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0.43</w:t>
            </w:r>
          </w:p>
        </w:tc>
        <w:tc>
          <w:tcPr>
            <w:tcW w:w="98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971"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270</w:t>
            </w:r>
          </w:p>
        </w:tc>
        <w:tc>
          <w:tcPr>
            <w:tcW w:w="92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1,4-二氯苯</w:t>
            </w:r>
          </w:p>
        </w:tc>
        <w:tc>
          <w:tcPr>
            <w:tcW w:w="1276"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乙苯</w:t>
            </w:r>
          </w:p>
        </w:tc>
        <w:tc>
          <w:tcPr>
            <w:tcW w:w="113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苯乙烯</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甲苯</w:t>
            </w:r>
          </w:p>
        </w:tc>
        <w:tc>
          <w:tcPr>
            <w:tcW w:w="1955" w:type="dxa"/>
            <w:gridSpan w:val="2"/>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间二甲苯+对二甲苯</w:t>
            </w:r>
          </w:p>
        </w:tc>
        <w:tc>
          <w:tcPr>
            <w:tcW w:w="92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邻二甲苯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筛选值</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28</w:t>
            </w:r>
          </w:p>
        </w:tc>
        <w:tc>
          <w:tcPr>
            <w:tcW w:w="113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1290</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1200</w:t>
            </w:r>
          </w:p>
        </w:tc>
        <w:tc>
          <w:tcPr>
            <w:tcW w:w="1955" w:type="dxa"/>
            <w:gridSpan w:val="2"/>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570</w:t>
            </w:r>
          </w:p>
        </w:tc>
        <w:tc>
          <w:tcPr>
            <w:tcW w:w="92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硝基苯</w:t>
            </w:r>
          </w:p>
        </w:tc>
        <w:tc>
          <w:tcPr>
            <w:tcW w:w="1276"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苯胺</w:t>
            </w:r>
          </w:p>
        </w:tc>
        <w:tc>
          <w:tcPr>
            <w:tcW w:w="113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2-氯酚</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苯并〔a〕蒽</w:t>
            </w:r>
          </w:p>
        </w:tc>
        <w:tc>
          <w:tcPr>
            <w:tcW w:w="98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苯并〔a〕芘</w:t>
            </w:r>
          </w:p>
        </w:tc>
        <w:tc>
          <w:tcPr>
            <w:tcW w:w="971"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苯并〔b〕荧蒽</w:t>
            </w:r>
          </w:p>
        </w:tc>
        <w:tc>
          <w:tcPr>
            <w:tcW w:w="92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苯并〔k〕荧蒽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筛选值</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76</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260</w:t>
            </w:r>
          </w:p>
        </w:tc>
        <w:tc>
          <w:tcPr>
            <w:tcW w:w="113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2256</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c>
          <w:tcPr>
            <w:tcW w:w="98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c>
          <w:tcPr>
            <w:tcW w:w="971"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c>
          <w:tcPr>
            <w:tcW w:w="92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䓛</w:t>
            </w:r>
          </w:p>
        </w:tc>
        <w:tc>
          <w:tcPr>
            <w:tcW w:w="1276"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二苯并〔a,h〕蒽</w:t>
            </w:r>
          </w:p>
        </w:tc>
        <w:tc>
          <w:tcPr>
            <w:tcW w:w="2126" w:type="dxa"/>
            <w:gridSpan w:val="2"/>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茆并〔1,2,3-cd〕芘</w:t>
            </w:r>
          </w:p>
        </w:tc>
        <w:tc>
          <w:tcPr>
            <w:tcW w:w="98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萘</w:t>
            </w:r>
          </w:p>
        </w:tc>
        <w:tc>
          <w:tcPr>
            <w:tcW w:w="1895" w:type="dxa"/>
            <w:gridSpan w:val="2"/>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石油烃（C</w:t>
            </w:r>
            <w:r>
              <w:rPr>
                <w:rFonts w:hint="default" w:ascii="Times New Roman" w:hAnsi="Times New Roman" w:cs="Times New Roman"/>
                <w:b/>
                <w:bCs/>
                <w:color w:val="000000" w:themeColor="text1"/>
                <w:highlight w:val="none"/>
                <w:vertAlign w:val="subscript"/>
                <w14:textFill>
                  <w14:solidFill>
                    <w14:schemeClr w14:val="tx1"/>
                  </w14:solidFill>
                </w14:textFill>
              </w:rPr>
              <w:t>10</w:t>
            </w:r>
            <w:r>
              <w:rPr>
                <w:rFonts w:hint="default" w:ascii="Times New Roman" w:hAnsi="Times New Roman" w:cs="Times New Roman"/>
                <w:b/>
                <w:bCs/>
                <w:color w:val="000000" w:themeColor="text1"/>
                <w:highlight w:val="none"/>
                <w14:textFill>
                  <w14:solidFill>
                    <w14:schemeClr w14:val="tx1"/>
                  </w14:solidFill>
                </w14:textFill>
              </w:rPr>
              <w:t>~C</w:t>
            </w:r>
            <w:r>
              <w:rPr>
                <w:rFonts w:hint="default" w:ascii="Times New Roman" w:hAnsi="Times New Roman" w:cs="Times New Roman"/>
                <w:b/>
                <w:bCs/>
                <w:color w:val="000000" w:themeColor="text1"/>
                <w:highlight w:val="none"/>
                <w:vertAlign w:val="subscript"/>
                <w14:textFill>
                  <w14:solidFill>
                    <w14:schemeClr w14:val="tx1"/>
                  </w14:solidFill>
                </w14:textFill>
              </w:rPr>
              <w:t>40</w:t>
            </w:r>
            <w:r>
              <w:rPr>
                <w:rFonts w:hint="default" w:ascii="Times New Roman" w:hAnsi="Times New Roman" w:cs="Times New Roman"/>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筛选值</w:t>
            </w:r>
          </w:p>
        </w:tc>
        <w:tc>
          <w:tcPr>
            <w:tcW w:w="99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1293</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c>
          <w:tcPr>
            <w:tcW w:w="2126" w:type="dxa"/>
            <w:gridSpan w:val="2"/>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c>
          <w:tcPr>
            <w:tcW w:w="98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w:t>
            </w:r>
          </w:p>
        </w:tc>
        <w:tc>
          <w:tcPr>
            <w:tcW w:w="1895" w:type="dxa"/>
            <w:gridSpan w:val="2"/>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4500</w:t>
            </w:r>
          </w:p>
        </w:tc>
      </w:tr>
    </w:tbl>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农用地（其他）土壤环境质量筛选值   单位：mg/kg</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909"/>
        <w:gridCol w:w="914"/>
        <w:gridCol w:w="914"/>
        <w:gridCol w:w="914"/>
        <w:gridCol w:w="914"/>
        <w:gridCol w:w="914"/>
        <w:gridCol w:w="914"/>
        <w:gridCol w:w="914"/>
        <w:gridCol w:w="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909" w:type="dxa"/>
            <w:vMerge w:val="restart"/>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w:t>
            </w:r>
          </w:p>
        </w:tc>
        <w:tc>
          <w:tcPr>
            <w:tcW w:w="7313" w:type="dxa"/>
            <w:gridSpan w:val="8"/>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828" w:type="dxa"/>
            <w:gridSpan w:val="2"/>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pH≤5.5</w:t>
            </w:r>
          </w:p>
        </w:tc>
        <w:tc>
          <w:tcPr>
            <w:tcW w:w="1828" w:type="dxa"/>
            <w:gridSpan w:val="2"/>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5.5＜pH≤6.5</w:t>
            </w:r>
          </w:p>
        </w:tc>
        <w:tc>
          <w:tcPr>
            <w:tcW w:w="1828" w:type="dxa"/>
            <w:gridSpan w:val="2"/>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6.5＜pH≤7.5</w:t>
            </w:r>
          </w:p>
        </w:tc>
        <w:tc>
          <w:tcPr>
            <w:tcW w:w="1829" w:type="dxa"/>
            <w:gridSpan w:val="2"/>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pH＞7.5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91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水田</w:t>
            </w:r>
          </w:p>
        </w:tc>
        <w:tc>
          <w:tcPr>
            <w:tcW w:w="91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其他</w:t>
            </w:r>
          </w:p>
        </w:tc>
        <w:tc>
          <w:tcPr>
            <w:tcW w:w="91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水田</w:t>
            </w:r>
          </w:p>
        </w:tc>
        <w:tc>
          <w:tcPr>
            <w:tcW w:w="91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其他</w:t>
            </w:r>
          </w:p>
        </w:tc>
        <w:tc>
          <w:tcPr>
            <w:tcW w:w="91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水田</w:t>
            </w:r>
          </w:p>
        </w:tc>
        <w:tc>
          <w:tcPr>
            <w:tcW w:w="91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其他</w:t>
            </w:r>
          </w:p>
        </w:tc>
        <w:tc>
          <w:tcPr>
            <w:tcW w:w="914"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水田</w:t>
            </w:r>
          </w:p>
        </w:tc>
        <w:tc>
          <w:tcPr>
            <w:tcW w:w="915"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镉</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0.3</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0.3</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0.4</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0.3</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0.6</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0.3</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0.8</w:t>
            </w:r>
          </w:p>
        </w:tc>
        <w:tc>
          <w:tcPr>
            <w:tcW w:w="915"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汞</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0.5</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1.3</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0.5</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1.8</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0.6</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2.4</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1.0</w:t>
            </w:r>
          </w:p>
        </w:tc>
        <w:tc>
          <w:tcPr>
            <w:tcW w:w="915"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砷</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40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40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25</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20</w:t>
            </w:r>
          </w:p>
        </w:tc>
        <w:tc>
          <w:tcPr>
            <w:tcW w:w="915"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铅</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80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70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100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90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140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120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240</w:t>
            </w:r>
          </w:p>
        </w:tc>
        <w:tc>
          <w:tcPr>
            <w:tcW w:w="915"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铬</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250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150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250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150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300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200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350</w:t>
            </w:r>
          </w:p>
        </w:tc>
        <w:tc>
          <w:tcPr>
            <w:tcW w:w="915"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铜</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150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50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150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50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200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100</w:t>
            </w:r>
          </w:p>
        </w:tc>
        <w:tc>
          <w:tcPr>
            <w:tcW w:w="914"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200</w:t>
            </w:r>
          </w:p>
        </w:tc>
        <w:tc>
          <w:tcPr>
            <w:tcW w:w="915" w:type="dxa"/>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镍</w:t>
            </w:r>
          </w:p>
        </w:tc>
        <w:tc>
          <w:tcPr>
            <w:tcW w:w="1828" w:type="dxa"/>
            <w:gridSpan w:val="2"/>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60</w:t>
            </w:r>
          </w:p>
        </w:tc>
        <w:tc>
          <w:tcPr>
            <w:tcW w:w="1828" w:type="dxa"/>
            <w:gridSpan w:val="2"/>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70</w:t>
            </w:r>
          </w:p>
        </w:tc>
        <w:tc>
          <w:tcPr>
            <w:tcW w:w="1828" w:type="dxa"/>
            <w:gridSpan w:val="2"/>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100</w:t>
            </w:r>
          </w:p>
        </w:tc>
        <w:tc>
          <w:tcPr>
            <w:tcW w:w="1829" w:type="dxa"/>
            <w:gridSpan w:val="2"/>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锌</w:t>
            </w:r>
          </w:p>
        </w:tc>
        <w:tc>
          <w:tcPr>
            <w:tcW w:w="1828" w:type="dxa"/>
            <w:gridSpan w:val="2"/>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200</w:t>
            </w:r>
          </w:p>
        </w:tc>
        <w:tc>
          <w:tcPr>
            <w:tcW w:w="1828" w:type="dxa"/>
            <w:gridSpan w:val="2"/>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200</w:t>
            </w:r>
          </w:p>
        </w:tc>
        <w:tc>
          <w:tcPr>
            <w:tcW w:w="1828" w:type="dxa"/>
            <w:gridSpan w:val="2"/>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250</w:t>
            </w:r>
          </w:p>
        </w:tc>
        <w:tc>
          <w:tcPr>
            <w:tcW w:w="1829" w:type="dxa"/>
            <w:gridSpan w:val="2"/>
            <w:shd w:val="clear" w:color="auto" w:fill="FFFFFF"/>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300</w:t>
            </w:r>
          </w:p>
        </w:tc>
      </w:tr>
    </w:tbl>
    <w:p>
      <w:pPr>
        <w:pStyle w:val="27"/>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8" w:name="_Toc120173068"/>
      <w:r>
        <w:rPr>
          <w:rFonts w:hint="default" w:ascii="Times New Roman" w:hAnsi="Times New Roman" w:cs="Times New Roman"/>
          <w:color w:val="000000" w:themeColor="text1"/>
          <w:highlight w:val="none"/>
          <w:lang w:eastAsia="zh-CN"/>
          <w14:textFill>
            <w14:solidFill>
              <w14:schemeClr w14:val="tx1"/>
            </w14:solidFill>
          </w14:textFill>
        </w:rPr>
        <w:t>污染物排放标准</w:t>
      </w:r>
      <w:bookmarkEnd w:id="48"/>
    </w:p>
    <w:p>
      <w:pPr>
        <w:pStyle w:val="123"/>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Cs/>
          <w:color w:val="000000" w:themeColor="text1"/>
          <w:highlight w:val="none"/>
          <w14:textFill>
            <w14:solidFill>
              <w14:schemeClr w14:val="tx1"/>
            </w14:solidFill>
          </w14:textFill>
        </w:rPr>
      </w:pPr>
      <w:bookmarkStart w:id="49" w:name="_Hlk48749861"/>
      <w:bookmarkStart w:id="50" w:name="_Hlk48749841"/>
      <w:r>
        <w:rPr>
          <w:rFonts w:hint="default" w:ascii="Times New Roman" w:hAnsi="Times New Roman" w:cs="Times New Roman"/>
          <w:bCs/>
          <w:color w:val="000000" w:themeColor="text1"/>
          <w:highlight w:val="none"/>
          <w14:textFill>
            <w14:solidFill>
              <w14:schemeClr w14:val="tx1"/>
            </w14:solidFill>
          </w14:textFill>
        </w:rPr>
        <w:t>（1）废水</w:t>
      </w:r>
    </w:p>
    <w:bookmarkEnd w:id="49"/>
    <w:p>
      <w:pPr>
        <w:pStyle w:val="27"/>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lang w:val="en-US" w:eastAsia="zh-CN"/>
          <w14:textFill>
            <w14:solidFill>
              <w14:schemeClr w14:val="tx1"/>
            </w14:solidFill>
          </w14:textFill>
        </w:rPr>
      </w:pPr>
      <w:bookmarkStart w:id="51" w:name="_Hlk48749969"/>
      <w:r>
        <w:rPr>
          <w:rFonts w:hint="default" w:ascii="Times New Roman" w:hAnsi="Times New Roman" w:cs="Times New Roman"/>
          <w:bCs/>
          <w:color w:val="000000" w:themeColor="text1"/>
          <w:szCs w:val="24"/>
          <w:highlight w:val="none"/>
          <w:lang w:val="en-US" w:eastAsia="zh-CN"/>
          <w14:textFill>
            <w14:solidFill>
              <w14:schemeClr w14:val="tx1"/>
            </w14:solidFill>
          </w14:textFill>
        </w:rPr>
        <w:t>1）施工期</w:t>
      </w:r>
    </w:p>
    <w:p>
      <w:pPr>
        <w:pStyle w:val="27"/>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①钻前工程：钻前工程</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施工废水</w:t>
      </w:r>
      <w:r>
        <w:rPr>
          <w:rFonts w:hint="default" w:ascii="Times New Roman" w:hAnsi="Times New Roman" w:cs="Times New Roman"/>
          <w:color w:val="000000" w:themeColor="text1"/>
          <w:szCs w:val="24"/>
          <w:highlight w:val="none"/>
          <w:lang w:eastAsia="zh-CN"/>
          <w14:textFill>
            <w14:solidFill>
              <w14:schemeClr w14:val="tx1"/>
            </w14:solidFill>
          </w14:textFill>
        </w:rPr>
        <w:t>经隔油池沉淀处理后回用于洒水降尘</w:t>
      </w:r>
      <w:r>
        <w:rPr>
          <w:rFonts w:hint="default" w:ascii="Times New Roman" w:hAnsi="Times New Roman" w:cs="Times New Roman"/>
          <w:color w:val="000000" w:themeColor="text1"/>
          <w:szCs w:val="24"/>
          <w:highlight w:val="none"/>
          <w14:textFill>
            <w14:solidFill>
              <w14:schemeClr w14:val="tx1"/>
            </w14:solidFill>
          </w14:textFill>
        </w:rPr>
        <w:t>，不外排</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钻前工程人员生活污水依托周边农户已建设施处理</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不外排。</w:t>
      </w:r>
    </w:p>
    <w:p>
      <w:pPr>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②钻井工程：钻井废水与场地初期雨水一并经不落地装置处理后大部分回用于钻井过程，剩余不能回用部分暂存于清洁生产操作平台的废水罐内，定期装车拉运至赵家坝污水处理站处理达标后经普光11井回注站回注</w:t>
      </w:r>
      <w:r>
        <w:rPr>
          <w:rFonts w:hint="eastAsia"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钻井期间</w:t>
      </w:r>
      <w:r>
        <w:rPr>
          <w:rFonts w:hint="default" w:ascii="Times New Roman" w:hAnsi="Times New Roman" w:cs="Times New Roman"/>
          <w:color w:val="000000" w:themeColor="text1"/>
          <w:szCs w:val="24"/>
          <w:highlight w:val="none"/>
          <w:lang w:val="en-US" w:eastAsia="zh-CN"/>
          <w14:textFill>
            <w14:solidFill>
              <w14:schemeClr w14:val="tx1"/>
            </w14:solidFill>
          </w14:textFill>
        </w:rPr>
        <w:t>施工人员</w:t>
      </w:r>
      <w:r>
        <w:rPr>
          <w:rFonts w:hint="default" w:ascii="Times New Roman" w:hAnsi="Times New Roman" w:cs="Times New Roman"/>
          <w:bCs/>
          <w:color w:val="000000" w:themeColor="text1"/>
          <w:szCs w:val="24"/>
          <w:highlight w:val="none"/>
          <w14:textFill>
            <w14:solidFill>
              <w14:schemeClr w14:val="tx1"/>
            </w14:solidFill>
          </w14:textFill>
        </w:rPr>
        <w:t>生活污水</w:t>
      </w:r>
      <w:r>
        <w:rPr>
          <w:rFonts w:hint="default" w:ascii="Times New Roman" w:hAnsi="Times New Roman" w:cs="Times New Roman"/>
          <w:color w:val="000000" w:themeColor="text1"/>
          <w:szCs w:val="24"/>
          <w:highlight w:val="none"/>
          <w14:textFill>
            <w14:solidFill>
              <w14:schemeClr w14:val="tx1"/>
            </w14:solidFill>
          </w14:textFill>
        </w:rPr>
        <w:t>经生态厕所</w:t>
      </w:r>
      <w:r>
        <w:rPr>
          <w:rFonts w:hint="default" w:ascii="Times New Roman" w:hAnsi="Times New Roman" w:cs="Times New Roman"/>
          <w:color w:val="000000" w:themeColor="text1"/>
          <w:szCs w:val="24"/>
          <w:highlight w:val="none"/>
          <w:lang w:val="en-US" w:eastAsia="zh-CN"/>
          <w14:textFill>
            <w14:solidFill>
              <w14:schemeClr w14:val="tx1"/>
            </w14:solidFill>
          </w14:textFill>
        </w:rPr>
        <w:t>收集后定期由密闭罐车拉运至周边生活污水处理厂处理。项目钻井期间无废水外排。</w:t>
      </w:r>
    </w:p>
    <w:p>
      <w:pPr>
        <w:pageBreakBefore w:val="0"/>
        <w:widowControl w:val="0"/>
        <w:kinsoku/>
        <w:wordWrap/>
        <w:overflowPunct/>
        <w:topLinePunct w:val="0"/>
        <w:autoSpaceDE/>
        <w:autoSpaceDN/>
        <w:bidi w:val="0"/>
        <w:adjustRightInd w:val="0"/>
        <w:snapToGrid w:val="0"/>
        <w:textAlignment w:val="auto"/>
        <w:outlineLvl w:val="9"/>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③储层改造工程：储层改造阶段产生的</w:t>
      </w:r>
      <w:r>
        <w:rPr>
          <w:rFonts w:hint="default" w:ascii="Times New Roman" w:hAnsi="Times New Roman" w:cs="Times New Roman"/>
          <w:color w:val="000000" w:themeColor="text1"/>
          <w:highlight w:val="none"/>
          <w14:textFill>
            <w14:solidFill>
              <w14:schemeClr w14:val="tx1"/>
            </w14:solidFill>
          </w14:textFill>
        </w:rPr>
        <w:t>压裂返排液及洗井废水</w:t>
      </w:r>
      <w:r>
        <w:rPr>
          <w:rFonts w:hint="eastAsia" w:cs="Times New Roman"/>
          <w:color w:val="000000" w:themeColor="text1"/>
          <w:highlight w:val="none"/>
          <w:lang w:val="en-US" w:eastAsia="zh-CN"/>
          <w14:textFill>
            <w14:solidFill>
              <w14:schemeClr w14:val="tx1"/>
            </w14:solidFill>
          </w14:textFill>
        </w:rPr>
        <w:t>由放喷池、压裂液储罐收集后，</w:t>
      </w:r>
      <w:r>
        <w:rPr>
          <w:rFonts w:hint="default" w:ascii="Times New Roman" w:hAnsi="Times New Roman" w:cs="Times New Roman"/>
          <w:color w:val="000000" w:themeColor="text1"/>
          <w:highlight w:val="none"/>
          <w:lang w:eastAsia="zh-CN"/>
          <w14:textFill>
            <w14:solidFill>
              <w14:schemeClr w14:val="tx1"/>
            </w14:solidFill>
          </w14:textFill>
        </w:rPr>
        <w:t>优先回用于周边其他井场压裂液配置</w:t>
      </w:r>
      <w:r>
        <w:rPr>
          <w:rFonts w:hint="default" w:ascii="Times New Roman" w:hAnsi="Times New Roman" w:cs="Times New Roman"/>
          <w:color w:val="000000" w:themeColor="text1"/>
          <w:highlight w:val="none"/>
          <w14:textFill>
            <w14:solidFill>
              <w14:schemeClr w14:val="tx1"/>
            </w14:solidFill>
          </w14:textFill>
        </w:rPr>
        <w:t>，不能回用</w:t>
      </w:r>
      <w:r>
        <w:rPr>
          <w:rFonts w:hint="default" w:ascii="Times New Roman" w:hAnsi="Times New Roman" w:cs="Times New Roman"/>
          <w:color w:val="000000" w:themeColor="text1"/>
          <w:highlight w:val="none"/>
          <w:lang w:val="en-US" w:eastAsia="zh-CN"/>
          <w14:textFill>
            <w14:solidFill>
              <w14:schemeClr w14:val="tx1"/>
            </w14:solidFill>
          </w14:textFill>
        </w:rPr>
        <w:t>时</w:t>
      </w:r>
      <w:r>
        <w:rPr>
          <w:rFonts w:hint="default" w:ascii="Times New Roman" w:hAnsi="Times New Roman" w:cs="Times New Roman"/>
          <w:color w:val="000000" w:themeColor="text1"/>
          <w:highlight w:val="none"/>
          <w14:textFill>
            <w14:solidFill>
              <w14:schemeClr w14:val="tx1"/>
            </w14:solidFill>
          </w14:textFill>
        </w:rPr>
        <w:t>用罐车拉运至赵家坝污水处理站处理达标后经普光11井回注站回注</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储层改造期间施工人员</w:t>
      </w:r>
      <w:r>
        <w:rPr>
          <w:rFonts w:hint="default" w:ascii="Times New Roman" w:hAnsi="Times New Roman" w:cs="Times New Roman"/>
          <w:bCs/>
          <w:color w:val="000000" w:themeColor="text1"/>
          <w:szCs w:val="24"/>
          <w:highlight w:val="none"/>
          <w14:textFill>
            <w14:solidFill>
              <w14:schemeClr w14:val="tx1"/>
            </w14:solidFill>
          </w14:textFill>
        </w:rPr>
        <w:t>生活污水</w:t>
      </w:r>
      <w:r>
        <w:rPr>
          <w:rFonts w:hint="default" w:ascii="Times New Roman" w:hAnsi="Times New Roman" w:cs="Times New Roman"/>
          <w:color w:val="000000" w:themeColor="text1"/>
          <w:szCs w:val="24"/>
          <w:highlight w:val="none"/>
          <w14:textFill>
            <w14:solidFill>
              <w14:schemeClr w14:val="tx1"/>
            </w14:solidFill>
          </w14:textFill>
        </w:rPr>
        <w:t>经生态厕所</w:t>
      </w:r>
      <w:r>
        <w:rPr>
          <w:rFonts w:hint="default" w:ascii="Times New Roman" w:hAnsi="Times New Roman" w:cs="Times New Roman"/>
          <w:color w:val="000000" w:themeColor="text1"/>
          <w:szCs w:val="24"/>
          <w:highlight w:val="none"/>
          <w:lang w:val="en-US" w:eastAsia="zh-CN"/>
          <w14:textFill>
            <w14:solidFill>
              <w14:schemeClr w14:val="tx1"/>
            </w14:solidFill>
          </w14:textFill>
        </w:rPr>
        <w:t>收集后定期由密闭罐车拉运至周边生活污水处理厂处理。项目储层改造期间无废水外排。</w:t>
      </w:r>
    </w:p>
    <w:p>
      <w:pPr>
        <w:pageBreakBefore w:val="0"/>
        <w:widowControl w:val="0"/>
        <w:kinsoku/>
        <w:wordWrap/>
        <w:overflowPunct/>
        <w:topLinePunct w:val="0"/>
        <w:autoSpaceDE/>
        <w:autoSpaceDN/>
        <w:bidi w:val="0"/>
        <w:adjustRightInd w:val="0"/>
        <w:snapToGrid w:val="0"/>
        <w:textAlignment w:val="auto"/>
        <w:outlineLvl w:val="9"/>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黑体" w:cs="Times New Roman"/>
          <w:b w:val="0"/>
          <w:bCs w:val="0"/>
          <w:color w:val="000000" w:themeColor="text1"/>
          <w:kern w:val="2"/>
          <w:sz w:val="24"/>
          <w:szCs w:val="24"/>
          <w:highlight w:val="none"/>
          <w:lang w:val="en-US" w:eastAsia="zh-CN" w:bidi="ar-SA"/>
          <w14:textFill>
            <w14:solidFill>
              <w14:schemeClr w14:val="tx1"/>
            </w14:solidFill>
          </w14:textFill>
        </w:rPr>
        <w:t>④</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油气集输工程：油气集输工程在进行井口流程和集气站复建时产生的</w:t>
      </w:r>
      <w:r>
        <w:rPr>
          <w:rFonts w:hint="default" w:ascii="Times New Roman" w:hAnsi="Times New Roman" w:cs="Times New Roman"/>
          <w:color w:val="000000" w:themeColor="text1"/>
          <w:szCs w:val="24"/>
          <w:highlight w:val="none"/>
          <w:lang w:val="en-US" w:eastAsia="zh-CN"/>
          <w14:textFill>
            <w14:solidFill>
              <w14:schemeClr w14:val="tx1"/>
            </w14:solidFill>
          </w14:textFill>
        </w:rPr>
        <w:t>施工人员</w:t>
      </w:r>
      <w:r>
        <w:rPr>
          <w:rFonts w:hint="default" w:ascii="Times New Roman" w:hAnsi="Times New Roman" w:cs="Times New Roman"/>
          <w:color w:val="000000" w:themeColor="text1"/>
          <w:szCs w:val="24"/>
          <w:highlight w:val="none"/>
          <w14:textFill>
            <w14:solidFill>
              <w14:schemeClr w14:val="tx1"/>
            </w14:solidFill>
          </w14:textFill>
        </w:rPr>
        <w:t>生活污水经生态厕所</w:t>
      </w:r>
      <w:r>
        <w:rPr>
          <w:rFonts w:hint="default" w:ascii="Times New Roman" w:hAnsi="Times New Roman" w:cs="Times New Roman"/>
          <w:color w:val="000000" w:themeColor="text1"/>
          <w:szCs w:val="24"/>
          <w:highlight w:val="none"/>
          <w:lang w:val="en-US" w:eastAsia="zh-CN"/>
          <w14:textFill>
            <w14:solidFill>
              <w14:schemeClr w14:val="tx1"/>
            </w14:solidFill>
          </w14:textFill>
        </w:rPr>
        <w:t>收集后定期由密闭罐车拉运至周边生活污水处理厂处理。</w:t>
      </w:r>
    </w:p>
    <w:p>
      <w:pPr>
        <w:pStyle w:val="27"/>
        <w:pageBreakBefore w:val="0"/>
        <w:widowControl w:val="0"/>
        <w:numPr>
          <w:ilvl w:val="0"/>
          <w:numId w:val="9"/>
        </w:numPr>
        <w:kinsoku/>
        <w:wordWrap/>
        <w:overflowPunct/>
        <w:topLinePunct w:val="0"/>
        <w:autoSpaceDE/>
        <w:autoSpaceDN/>
        <w:bidi w:val="0"/>
        <w:adjustRightInd w:val="0"/>
        <w:snapToGrid w:val="0"/>
        <w:ind w:firstLine="480"/>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试采期</w:t>
      </w:r>
    </w:p>
    <w:p>
      <w:pPr>
        <w:pStyle w:val="27"/>
        <w:pageBreakBefore w:val="0"/>
        <w:widowControl w:val="0"/>
        <w:kinsoku/>
        <w:wordWrap/>
        <w:overflowPunct/>
        <w:topLinePunct w:val="0"/>
        <w:autoSpaceDE/>
        <w:autoSpaceDN/>
        <w:bidi w:val="0"/>
        <w:adjustRightInd w:val="0"/>
        <w:snapToGrid w:val="0"/>
        <w:ind w:firstLine="480"/>
        <w:textAlignment w:val="auto"/>
        <w:outlineLvl w:val="9"/>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本项目试采期普光106-2H侧钻井产气经复建后的P106集气站进行计量分离，产生的气田水</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含初期压裂返排液）</w:t>
      </w:r>
      <w:r>
        <w:rPr>
          <w:rFonts w:hint="default" w:ascii="Times New Roman" w:hAnsi="Times New Roman" w:cs="Times New Roman"/>
          <w:color w:val="000000" w:themeColor="text1"/>
          <w:highlight w:val="none"/>
          <w14:textFill>
            <w14:solidFill>
              <w14:schemeClr w14:val="tx1"/>
            </w14:solidFill>
          </w14:textFill>
        </w:rPr>
        <w:t>依托P106集气站</w:t>
      </w:r>
      <w:r>
        <w:rPr>
          <w:rFonts w:hint="eastAsia" w:ascii="Times New Roman" w:hAnsi="Times New Roman" w:cs="Times New Roman"/>
          <w:color w:val="000000" w:themeColor="text1"/>
          <w:highlight w:val="none"/>
          <w:lang w:val="en-US" w:eastAsia="zh-CN"/>
          <w14:textFill>
            <w14:solidFill>
              <w14:schemeClr w14:val="tx1"/>
            </w14:solidFill>
          </w14:textFill>
        </w:rPr>
        <w:t>既有</w:t>
      </w:r>
      <w:r>
        <w:rPr>
          <w:rFonts w:hint="default" w:ascii="Times New Roman" w:hAnsi="Times New Roman" w:cs="Times New Roman"/>
          <w:color w:val="000000" w:themeColor="text1"/>
          <w:highlight w:val="none"/>
          <w14:textFill>
            <w14:solidFill>
              <w14:schemeClr w14:val="tx1"/>
            </w14:solidFill>
          </w14:textFill>
        </w:rPr>
        <w:t>酸液缓冲罐收集暂存，然后通过密闭罐车拉运至赵家坝污水处理站</w:t>
      </w:r>
      <w:r>
        <w:rPr>
          <w:rFonts w:hint="eastAsia" w:ascii="Times New Roman" w:hAnsi="Times New Roman" w:cs="Times New Roman"/>
          <w:color w:val="000000" w:themeColor="text1"/>
          <w:highlight w:val="none"/>
          <w:lang w:val="en-US" w:eastAsia="zh-CN"/>
          <w14:textFill>
            <w14:solidFill>
              <w14:schemeClr w14:val="tx1"/>
            </w14:solidFill>
          </w14:textFill>
        </w:rPr>
        <w:t>处理</w:t>
      </w:r>
      <w:r>
        <w:rPr>
          <w:rFonts w:hint="default" w:ascii="Times New Roman" w:hAnsi="Times New Roman" w:cs="Times New Roman"/>
          <w:color w:val="000000" w:themeColor="text1"/>
          <w:highlight w:val="none"/>
          <w14:textFill>
            <w14:solidFill>
              <w14:schemeClr w14:val="tx1"/>
            </w14:solidFill>
          </w14:textFill>
        </w:rPr>
        <w:t>达到《气田水回注方法》（SY/T 6596-2016）中注入水基本要求后管输至普光11井回注站回注处理，不外排。</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（2）废气</w:t>
      </w:r>
    </w:p>
    <w:p>
      <w:pPr>
        <w:pStyle w:val="27"/>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项目施工期间扬尘执行《四川省施工场地扬尘排放标准》（DB51/2682-2020）（2020年9月1日起）；</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施工期</w:t>
      </w:r>
      <w:r>
        <w:rPr>
          <w:rFonts w:hint="default" w:ascii="Times New Roman" w:hAnsi="Times New Roman" w:cs="Times New Roman"/>
          <w:bCs/>
          <w:color w:val="000000" w:themeColor="text1"/>
          <w:szCs w:val="24"/>
          <w:highlight w:val="none"/>
          <w14:textFill>
            <w14:solidFill>
              <w14:schemeClr w14:val="tx1"/>
            </w14:solidFill>
          </w14:textFill>
        </w:rPr>
        <w:t>钻井期</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阶段</w:t>
      </w:r>
      <w:r>
        <w:rPr>
          <w:rFonts w:hint="default" w:ascii="Times New Roman" w:hAnsi="Times New Roman" w:cs="Times New Roman"/>
          <w:bCs/>
          <w:color w:val="000000" w:themeColor="text1"/>
          <w:szCs w:val="24"/>
          <w:highlight w:val="none"/>
          <w14:textFill>
            <w14:solidFill>
              <w14:schemeClr w14:val="tx1"/>
            </w14:solidFill>
          </w14:textFill>
        </w:rPr>
        <w:t>备用柴油机废气排放</w:t>
      </w:r>
      <w:r>
        <w:rPr>
          <w:rFonts w:hint="default" w:ascii="Times New Roman" w:hAnsi="Times New Roman" w:cs="Times New Roman"/>
          <w:bCs/>
          <w:color w:val="000000" w:themeColor="text1"/>
          <w:szCs w:val="24"/>
          <w:highlight w:val="none"/>
          <w:lang w:eastAsia="zh-CN"/>
          <w14:textFill>
            <w14:solidFill>
              <w14:schemeClr w14:val="tx1"/>
            </w14:solidFill>
          </w14:textFill>
        </w:rPr>
        <w:t>执行</w:t>
      </w:r>
      <w:r>
        <w:rPr>
          <w:rFonts w:hint="default" w:ascii="Times New Roman" w:hAnsi="Times New Roman" w:cs="Times New Roman"/>
          <w:bCs/>
          <w:color w:val="000000" w:themeColor="text1"/>
          <w:szCs w:val="24"/>
          <w:highlight w:val="none"/>
          <w14:textFill>
            <w14:solidFill>
              <w14:schemeClr w14:val="tx1"/>
            </w14:solidFill>
          </w14:textFill>
        </w:rPr>
        <w:t>《大气污染物综合排放标准》（GB16297-1996）；施工期和试采期挥发性有机物无组织排放执行《陆上石油天然气开采工业大气污染物排放标准》（GB39728-2020）。其他废气执行《大气污染物综合排放标准》（GB16297-1996）。</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四川省施工场地扬尘排放标准</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3103"/>
        <w:gridCol w:w="1859"/>
        <w:gridCol w:w="1417"/>
        <w:gridCol w:w="7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监测项目</w:t>
            </w:r>
          </w:p>
        </w:tc>
        <w:tc>
          <w:tcPr>
            <w:tcW w:w="3103" w:type="dxa"/>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区域</w:t>
            </w:r>
          </w:p>
        </w:tc>
        <w:tc>
          <w:tcPr>
            <w:tcW w:w="1859" w:type="dxa"/>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施工阶段</w:t>
            </w:r>
          </w:p>
        </w:tc>
        <w:tc>
          <w:tcPr>
            <w:tcW w:w="1417" w:type="dxa"/>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监测点排放限值（μg/m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w:t>
            </w:r>
          </w:p>
        </w:tc>
        <w:tc>
          <w:tcPr>
            <w:tcW w:w="714" w:type="dxa"/>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1129" w:type="dxa"/>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总悬浮颗粒物（TSP）</w:t>
            </w:r>
          </w:p>
        </w:tc>
        <w:tc>
          <w:tcPr>
            <w:tcW w:w="3103" w:type="dxa"/>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成都市、自贡市、泸州市、德阳市、绵阳市、广元市、遂宁市、内江市、乐山市、南充市、宜宾市、广安市、</w:t>
            </w:r>
            <w:r>
              <w:rPr>
                <w:rFonts w:hint="default" w:ascii="Times New Roman" w:hAnsi="Times New Roman" w:cs="Times New Roman"/>
                <w:color w:val="000000" w:themeColor="text1"/>
                <w:highlight w:val="none"/>
                <w:u w:val="single"/>
                <w14:textFill>
                  <w14:solidFill>
                    <w14:schemeClr w14:val="tx1"/>
                  </w14:solidFill>
                </w14:textFill>
              </w:rPr>
              <w:t>达州市、</w:t>
            </w:r>
            <w:r>
              <w:rPr>
                <w:rFonts w:hint="default" w:ascii="Times New Roman" w:hAnsi="Times New Roman" w:cs="Times New Roman"/>
                <w:color w:val="000000" w:themeColor="text1"/>
                <w:highlight w:val="none"/>
                <w14:textFill>
                  <w14:solidFill>
                    <w14:schemeClr w14:val="tx1"/>
                  </w14:solidFill>
                </w14:textFill>
              </w:rPr>
              <w:t>巴中市、雅安市、眉山市、资阳市</w:t>
            </w:r>
          </w:p>
        </w:tc>
        <w:tc>
          <w:tcPr>
            <w:tcW w:w="1859" w:type="dxa"/>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拆除工程/土方开挖/土方回填阶段</w:t>
            </w:r>
          </w:p>
        </w:tc>
        <w:tc>
          <w:tcPr>
            <w:tcW w:w="1417" w:type="dxa"/>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600</w:t>
            </w:r>
          </w:p>
        </w:tc>
        <w:tc>
          <w:tcPr>
            <w:tcW w:w="714" w:type="dxa"/>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自监测起持续15分钟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103" w:type="dxa"/>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859" w:type="dxa"/>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其他工程阶段</w:t>
            </w:r>
          </w:p>
        </w:tc>
        <w:tc>
          <w:tcPr>
            <w:tcW w:w="1417" w:type="dxa"/>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w:t>
            </w:r>
          </w:p>
        </w:tc>
        <w:tc>
          <w:tcPr>
            <w:tcW w:w="714" w:type="dxa"/>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bl>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大气污染物综合排放标准</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1911"/>
        <w:gridCol w:w="1670"/>
        <w:gridCol w:w="3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34" w:type="pct"/>
            <w:vAlign w:val="center"/>
          </w:tcPr>
          <w:p>
            <w:pPr>
              <w:widowControl/>
              <w:adjustRightInd/>
              <w:spacing w:line="240" w:lineRule="auto"/>
              <w:ind w:firstLine="0" w:firstLineChars="0"/>
              <w:jc w:val="center"/>
              <w:rPr>
                <w:rFonts w:hint="default" w:ascii="Times New Roman" w:hAnsi="Times New Roman" w:cs="Times New Roman"/>
                <w:b/>
                <w:bCs/>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eastAsia="en-US"/>
                <w14:textFill>
                  <w14:solidFill>
                    <w14:schemeClr w14:val="tx1"/>
                  </w14:solidFill>
                </w14:textFill>
              </w:rPr>
              <w:t>污染物</w:t>
            </w:r>
          </w:p>
        </w:tc>
        <w:tc>
          <w:tcPr>
            <w:tcW w:w="1121" w:type="pct"/>
            <w:vAlign w:val="center"/>
          </w:tcPr>
          <w:p>
            <w:pPr>
              <w:widowControl/>
              <w:adjustRightInd/>
              <w:spacing w:line="240" w:lineRule="auto"/>
              <w:ind w:firstLine="0" w:firstLineChars="0"/>
              <w:jc w:val="center"/>
              <w:rPr>
                <w:rFonts w:hint="default" w:ascii="Times New Roman" w:hAnsi="Times New Roman" w:cs="Times New Roman"/>
                <w:b/>
                <w:bCs/>
                <w:color w:val="000000" w:themeColor="text1"/>
                <w:kern w:val="0"/>
                <w:sz w:val="21"/>
                <w:szCs w:val="21"/>
                <w:highlight w:val="none"/>
                <w14:textFill>
                  <w14:solidFill>
                    <w14:schemeClr w14:val="tx1"/>
                  </w14:solidFill>
                </w14:textFill>
              </w:rPr>
            </w:pPr>
            <w:r>
              <w:rPr>
                <w:rFonts w:hint="default" w:ascii="Times New Roman" w:hAnsi="Times New Roman" w:cs="Times New Roman"/>
                <w:b/>
                <w:bCs/>
                <w:color w:val="000000" w:themeColor="text1"/>
                <w:kern w:val="0"/>
                <w:sz w:val="21"/>
                <w:szCs w:val="21"/>
                <w:highlight w:val="none"/>
                <w14:textFill>
                  <w14:solidFill>
                    <w14:schemeClr w14:val="tx1"/>
                  </w14:solidFill>
                </w14:textFill>
              </w:rPr>
              <w:t>最高允许排放浓度（mg/m</w:t>
            </w:r>
            <w:r>
              <w:rPr>
                <w:rFonts w:hint="default" w:ascii="Times New Roman" w:hAnsi="Times New Roman" w:cs="Times New Roman"/>
                <w:b/>
                <w:bCs/>
                <w:color w:val="000000" w:themeColor="text1"/>
                <w:kern w:val="0"/>
                <w:sz w:val="21"/>
                <w:szCs w:val="21"/>
                <w:highlight w:val="none"/>
                <w:vertAlign w:val="superscript"/>
                <w14:textFill>
                  <w14:solidFill>
                    <w14:schemeClr w14:val="tx1"/>
                  </w14:solidFill>
                </w14:textFill>
              </w:rPr>
              <w:t>3</w:t>
            </w:r>
            <w:r>
              <w:rPr>
                <w:rFonts w:hint="default" w:ascii="Times New Roman" w:hAnsi="Times New Roman" w:cs="Times New Roman"/>
                <w:b/>
                <w:bCs/>
                <w:color w:val="000000" w:themeColor="text1"/>
                <w:kern w:val="0"/>
                <w:sz w:val="21"/>
                <w:szCs w:val="21"/>
                <w:highlight w:val="none"/>
                <w14:textFill>
                  <w14:solidFill>
                    <w14:schemeClr w14:val="tx1"/>
                  </w14:solidFill>
                </w14:textFill>
              </w:rPr>
              <w:t>）</w:t>
            </w:r>
          </w:p>
        </w:tc>
        <w:tc>
          <w:tcPr>
            <w:tcW w:w="980" w:type="pct"/>
            <w:vAlign w:val="center"/>
          </w:tcPr>
          <w:p>
            <w:pPr>
              <w:widowControl/>
              <w:adjustRightInd/>
              <w:spacing w:line="240" w:lineRule="auto"/>
              <w:ind w:firstLine="0" w:firstLineChars="0"/>
              <w:jc w:val="center"/>
              <w:rPr>
                <w:rFonts w:hint="default" w:ascii="Times New Roman" w:hAnsi="Times New Roman" w:cs="Times New Roman"/>
                <w:b/>
                <w:bCs/>
                <w:color w:val="000000" w:themeColor="text1"/>
                <w:kern w:val="0"/>
                <w:sz w:val="21"/>
                <w:szCs w:val="21"/>
                <w:highlight w:val="none"/>
                <w14:textFill>
                  <w14:solidFill>
                    <w14:schemeClr w14:val="tx1"/>
                  </w14:solidFill>
                </w14:textFill>
              </w:rPr>
            </w:pPr>
            <w:r>
              <w:rPr>
                <w:rFonts w:hint="default" w:ascii="Times New Roman" w:hAnsi="Times New Roman" w:cs="Times New Roman"/>
                <w:b/>
                <w:bCs/>
                <w:color w:val="000000" w:themeColor="text1"/>
                <w:kern w:val="0"/>
                <w:sz w:val="21"/>
                <w:szCs w:val="21"/>
                <w:highlight w:val="none"/>
                <w14:textFill>
                  <w14:solidFill>
                    <w14:schemeClr w14:val="tx1"/>
                  </w14:solidFill>
                </w14:textFill>
              </w:rPr>
              <w:t>最高允许排放速率（kg/h）</w:t>
            </w:r>
          </w:p>
        </w:tc>
        <w:tc>
          <w:tcPr>
            <w:tcW w:w="2265" w:type="pct"/>
            <w:vAlign w:val="center"/>
          </w:tcPr>
          <w:p>
            <w:pPr>
              <w:widowControl/>
              <w:adjustRightInd/>
              <w:spacing w:line="240" w:lineRule="auto"/>
              <w:ind w:firstLine="0" w:firstLineChars="0"/>
              <w:jc w:val="center"/>
              <w:rPr>
                <w:rFonts w:hint="default" w:ascii="Times New Roman" w:hAnsi="Times New Roman" w:cs="Times New Roman"/>
                <w:b/>
                <w:bCs/>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eastAsia="en-US"/>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34" w:type="pct"/>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*SO</w:t>
            </w:r>
            <w:r>
              <w:rPr>
                <w:rFonts w:hint="default" w:ascii="Times New Roman" w:hAnsi="Times New Roman" w:cs="Times New Roman"/>
                <w:color w:val="000000" w:themeColor="text1"/>
                <w:kern w:val="0"/>
                <w:sz w:val="21"/>
                <w:szCs w:val="21"/>
                <w:highlight w:val="none"/>
                <w:vertAlign w:val="subscript"/>
                <w:lang w:eastAsia="en-US"/>
                <w14:textFill>
                  <w14:solidFill>
                    <w14:schemeClr w14:val="tx1"/>
                  </w14:solidFill>
                </w14:textFill>
              </w:rPr>
              <w:t>2</w:t>
            </w:r>
          </w:p>
        </w:tc>
        <w:tc>
          <w:tcPr>
            <w:tcW w:w="1121" w:type="pct"/>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550</w:t>
            </w:r>
          </w:p>
        </w:tc>
        <w:tc>
          <w:tcPr>
            <w:tcW w:w="980" w:type="pct"/>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c>
          <w:tcPr>
            <w:tcW w:w="2265" w:type="pct"/>
            <w:vMerge w:val="restart"/>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根据2017.1.12环保部长《关于GB16297-1996 的适用范围的回复》，对“</w:t>
            </w:r>
            <w:r>
              <w:rPr>
                <w:rFonts w:hint="default" w:ascii="Times New Roman" w:hAnsi="Times New Roman" w:cs="Times New Roman"/>
                <w:bCs/>
                <w:color w:val="000000" w:themeColor="text1"/>
                <w:kern w:val="0"/>
                <w:sz w:val="21"/>
                <w:szCs w:val="21"/>
                <w:highlight w:val="none"/>
                <w14:textFill>
                  <w14:solidFill>
                    <w14:schemeClr w14:val="tx1"/>
                  </w14:solidFill>
                </w14:textFill>
              </w:rPr>
              <w:t>固定式柴油发电机排气筒高度和排放速率暂不作要求</w:t>
            </w: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34" w:type="pct"/>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*NO</w:t>
            </w:r>
            <w:r>
              <w:rPr>
                <w:rFonts w:hint="default" w:ascii="Times New Roman" w:hAnsi="Times New Roman" w:cs="Times New Roman"/>
                <w:color w:val="000000" w:themeColor="text1"/>
                <w:kern w:val="0"/>
                <w:sz w:val="21"/>
                <w:szCs w:val="21"/>
                <w:highlight w:val="none"/>
                <w:vertAlign w:val="subscript"/>
                <w:lang w:eastAsia="en-US"/>
                <w14:textFill>
                  <w14:solidFill>
                    <w14:schemeClr w14:val="tx1"/>
                  </w14:solidFill>
                </w14:textFill>
              </w:rPr>
              <w:t>x</w:t>
            </w:r>
          </w:p>
        </w:tc>
        <w:tc>
          <w:tcPr>
            <w:tcW w:w="1121" w:type="pct"/>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240</w:t>
            </w:r>
          </w:p>
        </w:tc>
        <w:tc>
          <w:tcPr>
            <w:tcW w:w="980" w:type="pct"/>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c>
          <w:tcPr>
            <w:tcW w:w="2265" w:type="pct"/>
            <w:vMerge w:val="continue"/>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34" w:type="pct"/>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*颗粒物</w:t>
            </w:r>
          </w:p>
        </w:tc>
        <w:tc>
          <w:tcPr>
            <w:tcW w:w="1121" w:type="pct"/>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120</w:t>
            </w:r>
          </w:p>
        </w:tc>
        <w:tc>
          <w:tcPr>
            <w:tcW w:w="980" w:type="pct"/>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c>
          <w:tcPr>
            <w:tcW w:w="2265" w:type="pct"/>
            <w:vMerge w:val="continue"/>
            <w:vAlign w:val="center"/>
          </w:tcPr>
          <w:p>
            <w:pPr>
              <w:widowControl/>
              <w:adjustRightIn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r>
    </w:tbl>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9 陆上石油天然气开采工业大气污染物排放标准</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1604"/>
        <w:gridCol w:w="5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680" w:type="pct"/>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污染物</w:t>
            </w:r>
          </w:p>
        </w:tc>
        <w:tc>
          <w:tcPr>
            <w:tcW w:w="941" w:type="pct"/>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无组织排放（周界外浓度最高点）/（mg/m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w:t>
            </w:r>
          </w:p>
        </w:tc>
        <w:tc>
          <w:tcPr>
            <w:tcW w:w="337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有组织排放标准要求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8" w:hRule="atLeast"/>
          <w:jc w:val="center"/>
        </w:trPr>
        <w:tc>
          <w:tcPr>
            <w:tcW w:w="680"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941"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379" w:type="pct"/>
            <w:vMerge w:val="restart"/>
            <w:vAlign w:val="center"/>
          </w:tcPr>
          <w:p>
            <w:pPr>
              <w:pStyle w:val="295"/>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a）非甲烷总烃排放浓度不超过120mg/m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w:t>
            </w:r>
          </w:p>
          <w:p>
            <w:pPr>
              <w:pStyle w:val="295"/>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b）生产装置和设施排气中非甲烷总烃初始排放速率≥3kg/h的，废气处理设施非甲烷总烃去除效率不低于80%。重点地区生产装置和设施排气中非甲烷总烃初始排放速率≥2kg/h的，废气处理设施非甲烷总烃去除效率不低于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NMHC</w:t>
            </w:r>
          </w:p>
        </w:tc>
        <w:tc>
          <w:tcPr>
            <w:tcW w:w="94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4.0</w:t>
            </w:r>
          </w:p>
        </w:tc>
        <w:tc>
          <w:tcPr>
            <w:tcW w:w="3379"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（3）噪声</w:t>
      </w:r>
    </w:p>
    <w:bookmarkEnd w:id="50"/>
    <w:p>
      <w:pPr>
        <w:pStyle w:val="2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项目施工期执行《建筑施工场界环境噪声排放标准》（GB12523-2011），</w:t>
      </w:r>
      <w:r>
        <w:rPr>
          <w:rFonts w:hint="default" w:ascii="Times New Roman" w:hAnsi="Times New Roman" w:cs="Times New Roman"/>
          <w:color w:val="000000" w:themeColor="text1"/>
          <w:szCs w:val="24"/>
          <w:highlight w:val="none"/>
          <w14:textFill>
            <w14:solidFill>
              <w14:schemeClr w14:val="tx1"/>
            </w14:solidFill>
          </w14:textFill>
        </w:rPr>
        <w:t>试采期</w:t>
      </w:r>
      <w:r>
        <w:rPr>
          <w:rFonts w:hint="default" w:ascii="Times New Roman" w:hAnsi="Times New Roman" w:cs="Times New Roman"/>
          <w:bCs/>
          <w:snapToGrid w:val="0"/>
          <w:color w:val="000000" w:themeColor="text1"/>
          <w:szCs w:val="24"/>
          <w:highlight w:val="none"/>
          <w14:textFill>
            <w14:solidFill>
              <w14:schemeClr w14:val="tx1"/>
            </w14:solidFill>
          </w14:textFill>
        </w:rPr>
        <w:t>执</w:t>
      </w:r>
      <w:r>
        <w:rPr>
          <w:rFonts w:hint="default" w:ascii="Times New Roman" w:hAnsi="Times New Roman" w:cs="Times New Roman"/>
          <w:color w:val="000000" w:themeColor="text1"/>
          <w:szCs w:val="24"/>
          <w:highlight w:val="none"/>
          <w14:textFill>
            <w14:solidFill>
              <w14:schemeClr w14:val="tx1"/>
            </w14:solidFill>
          </w14:textFill>
        </w:rPr>
        <w:t>行《工业企业厂界环境噪声排放标准》（GB12348-2008</w:t>
      </w:r>
      <w:r>
        <w:rPr>
          <w:rFonts w:hint="default" w:ascii="Times New Roman" w:hAnsi="Times New Roman" w:cs="Times New Roman"/>
          <w:bCs/>
          <w:snapToGrid w:val="0"/>
          <w:color w:val="000000" w:themeColor="text1"/>
          <w:szCs w:val="24"/>
          <w:highlight w:val="none"/>
          <w14:textFill>
            <w14:solidFill>
              <w14:schemeClr w14:val="tx1"/>
            </w14:solidFill>
          </w14:textFill>
        </w:rPr>
        <w:t>）2类功能区标准，见表2.5-10</w:t>
      </w:r>
      <w:r>
        <w:rPr>
          <w:rFonts w:hint="default" w:ascii="Times New Roman" w:hAnsi="Times New Roman" w:cs="Times New Roman"/>
          <w:color w:val="000000" w:themeColor="text1"/>
          <w:szCs w:val="24"/>
          <w:highlight w:val="none"/>
          <w14:textFill>
            <w14:solidFill>
              <w14:schemeClr w14:val="tx1"/>
            </w14:solidFill>
          </w14:textFill>
        </w:rPr>
        <w:t>。</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10 噪声污染物排放标准   单位：dB（A）</w:t>
      </w:r>
    </w:p>
    <w:tbl>
      <w:tblPr>
        <w:tblStyle w:val="52"/>
        <w:tblW w:w="822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32"/>
        <w:gridCol w:w="3686"/>
        <w:gridCol w:w="992"/>
        <w:gridCol w:w="1134"/>
        <w:gridCol w:w="117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时段</w:t>
            </w:r>
          </w:p>
        </w:tc>
        <w:tc>
          <w:tcPr>
            <w:tcW w:w="3686"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标准名称及级（类）别</w:t>
            </w:r>
          </w:p>
        </w:tc>
        <w:tc>
          <w:tcPr>
            <w:tcW w:w="3304" w:type="dxa"/>
            <w:gridSpan w:val="3"/>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标准值（单位：dB（A））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w:t>
            </w:r>
          </w:p>
        </w:tc>
        <w:tc>
          <w:tcPr>
            <w:tcW w:w="3686"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《建筑施工场界环境噪声排放标准》（GB12523-2011）</w:t>
            </w:r>
          </w:p>
        </w:tc>
        <w:tc>
          <w:tcPr>
            <w:tcW w:w="99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场界</w:t>
            </w:r>
          </w:p>
        </w:tc>
        <w:tc>
          <w:tcPr>
            <w:tcW w:w="113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昼间</w:t>
            </w:r>
          </w:p>
        </w:tc>
        <w:tc>
          <w:tcPr>
            <w:tcW w:w="117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686"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13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夜间</w:t>
            </w:r>
          </w:p>
        </w:tc>
        <w:tc>
          <w:tcPr>
            <w:tcW w:w="117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w:t>
            </w:r>
          </w:p>
        </w:tc>
        <w:tc>
          <w:tcPr>
            <w:tcW w:w="3686"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《工业企业厂界环境噪声排放标准》（GB12348-2008</w:t>
            </w:r>
            <w:r>
              <w:rPr>
                <w:rFonts w:hint="default" w:ascii="Times New Roman" w:hAnsi="Times New Roman" w:cs="Times New Roman"/>
                <w:bCs/>
                <w:color w:val="000000" w:themeColor="text1"/>
                <w:highlight w:val="none"/>
                <w14:textFill>
                  <w14:solidFill>
                    <w14:schemeClr w14:val="tx1"/>
                  </w14:solidFill>
                </w14:textFill>
              </w:rPr>
              <w:t>）2类标准</w:t>
            </w:r>
          </w:p>
        </w:tc>
        <w:tc>
          <w:tcPr>
            <w:tcW w:w="99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场界</w:t>
            </w:r>
          </w:p>
        </w:tc>
        <w:tc>
          <w:tcPr>
            <w:tcW w:w="113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昼间</w:t>
            </w:r>
          </w:p>
        </w:tc>
        <w:tc>
          <w:tcPr>
            <w:tcW w:w="117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3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686"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13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夜间</w:t>
            </w:r>
          </w:p>
        </w:tc>
        <w:tc>
          <w:tcPr>
            <w:tcW w:w="117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w:t>
            </w:r>
          </w:p>
        </w:tc>
      </w:tr>
    </w:tbl>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（4）固废</w:t>
      </w:r>
    </w:p>
    <w:bookmarkEnd w:id="51"/>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一般固体废物参照执行《一般工业固体废物贮存和填埋污染控制标准》（GB18599-2020）；危险废物执行《危险废物贮存污染控制标准》（GB18597-2023）和《危险废物环境管理指南 陆上石油天然气开采》（2021年12月31日）。</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2" w:name="_Toc19468"/>
      <w:r>
        <w:rPr>
          <w:rFonts w:hint="default" w:ascii="Times New Roman" w:hAnsi="Times New Roman" w:cs="Times New Roman"/>
          <w:color w:val="000000" w:themeColor="text1"/>
          <w:highlight w:val="none"/>
          <w:lang w:eastAsia="zh-CN"/>
          <w14:textFill>
            <w14:solidFill>
              <w14:schemeClr w14:val="tx1"/>
            </w14:solidFill>
          </w14:textFill>
        </w:rPr>
        <w:t>评价工作等级和评价范围</w:t>
      </w:r>
      <w:bookmarkEnd w:id="52"/>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53" w:name="_Toc120173070"/>
      <w:r>
        <w:rPr>
          <w:rFonts w:hint="default" w:ascii="Times New Roman" w:hAnsi="Times New Roman" w:cs="Times New Roman"/>
          <w:color w:val="000000" w:themeColor="text1"/>
          <w:highlight w:val="none"/>
          <w:lang w:eastAsia="zh-CN"/>
          <w14:textFill>
            <w14:solidFill>
              <w14:schemeClr w14:val="tx1"/>
            </w14:solidFill>
          </w14:textFill>
        </w:rPr>
        <w:t>地表水环境</w:t>
      </w:r>
      <w:bookmarkEnd w:id="53"/>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（1）评价工作等级</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lang w:val="en-US" w:eastAsia="zh-CN"/>
          <w14:textFill>
            <w14:solidFill>
              <w14:schemeClr w14:val="tx1"/>
            </w14:solidFill>
          </w14:textFill>
        </w:rPr>
        <w:t>施工期、试采期</w:t>
      </w:r>
      <w:r>
        <w:rPr>
          <w:rFonts w:hint="default" w:ascii="Times New Roman" w:hAnsi="Times New Roman" w:cs="Times New Roman"/>
          <w:bCs/>
          <w:color w:val="000000" w:themeColor="text1"/>
          <w:szCs w:val="24"/>
          <w:highlight w:val="none"/>
          <w14:textFill>
            <w14:solidFill>
              <w14:schemeClr w14:val="tx1"/>
            </w14:solidFill>
          </w14:textFill>
        </w:rPr>
        <w:t>废水均不直接外排，</w:t>
      </w:r>
      <w:r>
        <w:rPr>
          <w:rFonts w:hint="eastAsia" w:cs="Times New Roman"/>
          <w:bCs/>
          <w:color w:val="000000" w:themeColor="text1"/>
          <w:szCs w:val="24"/>
          <w:highlight w:val="none"/>
          <w:lang w:val="en-US" w:eastAsia="zh-CN"/>
          <w14:textFill>
            <w14:solidFill>
              <w14:schemeClr w14:val="tx1"/>
            </w14:solidFill>
          </w14:textFill>
        </w:rPr>
        <w:t>属于间接排放，</w:t>
      </w:r>
      <w:r>
        <w:rPr>
          <w:rFonts w:hint="default" w:ascii="Times New Roman" w:hAnsi="Times New Roman" w:cs="Times New Roman"/>
          <w:bCs/>
          <w:color w:val="000000" w:themeColor="text1"/>
          <w:szCs w:val="24"/>
          <w:highlight w:val="none"/>
          <w14:textFill>
            <w14:solidFill>
              <w14:schemeClr w14:val="tx1"/>
            </w14:solidFill>
          </w14:textFill>
        </w:rPr>
        <w:t>根据《环境影响评价技术导则地表水环境》（HJ2.3-2018）判定地表水评价等级为三级B。</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地表水水污染型建设项目评价工作等级分级</w:t>
      </w:r>
    </w:p>
    <w:tbl>
      <w:tblPr>
        <w:tblStyle w:val="52"/>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742"/>
        <w:gridCol w:w="2356"/>
        <w:gridCol w:w="312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vMerge w:val="restart"/>
            <w:tcBorders>
              <w:top w:val="single" w:color="auto" w:sz="4" w:space="0"/>
              <w:left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评价等级</w:t>
            </w:r>
          </w:p>
        </w:tc>
        <w:tc>
          <w:tcPr>
            <w:tcW w:w="5480" w:type="dxa"/>
            <w:gridSpan w:val="2"/>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判定依据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vMerge w:val="continue"/>
            <w:tcBorders>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23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排放方式</w:t>
            </w:r>
          </w:p>
        </w:tc>
        <w:tc>
          <w:tcPr>
            <w:tcW w:w="3124"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shd w:val="pct10" w:color="auto" w:fill="FFFFFF"/>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废水排放量Q/（m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/d）；水污染物当量W/（无量纲）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w:t>
            </w:r>
          </w:p>
        </w:tc>
        <w:tc>
          <w:tcPr>
            <w:tcW w:w="23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Q≥20000或W≥600000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c>
          <w:tcPr>
            <w:tcW w:w="23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三级A</w:t>
            </w:r>
          </w:p>
        </w:tc>
        <w:tc>
          <w:tcPr>
            <w:tcW w:w="23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Q＜200或W＜6000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三级B</w:t>
            </w:r>
          </w:p>
        </w:tc>
        <w:tc>
          <w:tcPr>
            <w:tcW w:w="23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bl>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（2）评价范围</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根据《环境影响评价技术导则 地表水环境》（HJ2.3-2018）中第5.3.2.2条规定，并结合项目实际情况，本次环评地表水环境影响评价不作预测评价，仅对污、废水的产生情况和依托可行性等进行说明，并进行简单的环境影响分析。因此，本项目不设地表水评价范围。</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54" w:name="_Toc120173071"/>
      <w:r>
        <w:rPr>
          <w:rFonts w:hint="default" w:ascii="Times New Roman" w:hAnsi="Times New Roman" w:cs="Times New Roman"/>
          <w:color w:val="000000" w:themeColor="text1"/>
          <w:highlight w:val="none"/>
          <w:lang w:eastAsia="zh-CN"/>
          <w14:textFill>
            <w14:solidFill>
              <w14:schemeClr w14:val="tx1"/>
            </w14:solidFill>
          </w14:textFill>
        </w:rPr>
        <w:t>地下水环境</w:t>
      </w:r>
      <w:bookmarkEnd w:id="54"/>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（1）评价工作等级</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根据《环境影响评价导则</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地下水环境》（HJ610-2016），评价工作等级的划分应依据建设项目行业分类和地下水环境敏感程度分级进行判定，具体如下：</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1）建设项目行业分类</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本项目属天然气试采项目，根据《环境影响评价导则</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地下水环境》（HJ 610-2016）附录A地下水环境影响评价行业分类表，本项目属其中“天然气、页岩气开采（含净化）”，属于</w:t>
      </w:r>
      <w:r>
        <w:rPr>
          <w:rFonts w:hint="default" w:ascii="Times New Roman" w:hAnsi="Times New Roman" w:cs="Times New Roman"/>
          <w:bCs/>
          <w:color w:val="000000" w:themeColor="text1"/>
          <w:szCs w:val="24"/>
          <w:highlight w:val="none"/>
          <w:lang w:eastAsia="zh-CN"/>
          <w14:textFill>
            <w14:solidFill>
              <w14:schemeClr w14:val="tx1"/>
            </w14:solidFill>
          </w14:textFill>
        </w:rPr>
        <w:t>Ⅱ类</w:t>
      </w:r>
      <w:r>
        <w:rPr>
          <w:rFonts w:hint="default" w:ascii="Times New Roman" w:hAnsi="Times New Roman" w:cs="Times New Roman"/>
          <w:bCs/>
          <w:color w:val="000000" w:themeColor="text1"/>
          <w:szCs w:val="24"/>
          <w:highlight w:val="none"/>
          <w14:textFill>
            <w14:solidFill>
              <w14:schemeClr w14:val="tx1"/>
            </w14:solidFill>
          </w14:textFill>
        </w:rPr>
        <w:t>建设项目。</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2）建设项目地下水环境敏感程度</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建设项目地下水环境敏感程度可分为敏感、较敏感、不敏感三级，分级原则见表2.6-2。</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地下水环境敏感程度分级</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1"/>
        <w:gridCol w:w="4231"/>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5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分级</w:t>
            </w:r>
          </w:p>
        </w:tc>
        <w:tc>
          <w:tcPr>
            <w:tcW w:w="423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项目场地的地下水环境敏感特征</w:t>
            </w:r>
          </w:p>
        </w:tc>
        <w:tc>
          <w:tcPr>
            <w:tcW w:w="284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敏感</w:t>
            </w:r>
          </w:p>
        </w:tc>
        <w:tc>
          <w:tcPr>
            <w:tcW w:w="42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2840"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根据调查，本项目未位于集中式饮用水源保护区和补给径流区内，也不涉及地下水环境相关的其它保护区和分布区；根据现场问询与调查，评价范围内</w:t>
            </w:r>
            <w:r>
              <w:rPr>
                <w:rFonts w:hint="eastAsia"/>
                <w:color w:val="000000" w:themeColor="text1"/>
                <w:highlight w:val="none"/>
                <w:lang w:val="en-US" w:eastAsia="zh-CN"/>
                <w14:textFill>
                  <w14:solidFill>
                    <w14:schemeClr w14:val="tx1"/>
                  </w14:solidFill>
                </w14:textFill>
              </w:rPr>
              <w:t>大部分使用自来水，少量居民使用山泉水</w:t>
            </w:r>
            <w:r>
              <w:rPr>
                <w:rFonts w:hint="default" w:ascii="Times New Roman" w:hAnsi="Times New Roman" w:cs="Times New Roman"/>
                <w:color w:val="000000" w:themeColor="text1"/>
                <w:szCs w:val="21"/>
                <w:highlight w:val="none"/>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地下水评价范围内约有10处泉井，其中</w:t>
            </w:r>
            <w:r>
              <w:rPr>
                <w:rFonts w:hint="eastAsia" w:cs="Times New Roman"/>
                <w:bCs/>
                <w:color w:val="000000" w:themeColor="text1"/>
                <w:szCs w:val="24"/>
                <w:highlight w:val="none"/>
                <w:lang w:val="en-US" w:eastAsia="zh-CN"/>
                <w14:textFill>
                  <w14:solidFill>
                    <w14:schemeClr w14:val="tx1"/>
                  </w14:solidFill>
                </w14:textFill>
              </w:rPr>
              <w:t>还</w:t>
            </w:r>
            <w:r>
              <w:rPr>
                <w:rFonts w:hint="default" w:ascii="Times New Roman" w:hAnsi="Times New Roman" w:cs="Times New Roman"/>
                <w:bCs/>
                <w:color w:val="000000" w:themeColor="text1"/>
                <w:szCs w:val="24"/>
                <w:highlight w:val="none"/>
                <w14:textFill>
                  <w14:solidFill>
                    <w14:schemeClr w14:val="tx1"/>
                  </w14:solidFill>
                </w14:textFill>
              </w:rPr>
              <w:t>作为饮用功能的井泉约3处</w:t>
            </w:r>
            <w:r>
              <w:rPr>
                <w:rFonts w:hint="default" w:ascii="Times New Roman" w:hAnsi="Times New Roman" w:cs="Times New Roman"/>
                <w:color w:val="000000" w:themeColor="text1"/>
                <w:szCs w:val="21"/>
                <w:highlight w:val="none"/>
                <w14:textFill>
                  <w14:solidFill>
                    <w14:schemeClr w14:val="tx1"/>
                  </w14:solidFill>
                </w14:textFill>
              </w:rPr>
              <w:t>。因此，评价区地下水环境敏感程度为</w:t>
            </w:r>
            <w:r>
              <w:rPr>
                <w:rFonts w:hint="default" w:ascii="Times New Roman" w:hAnsi="Times New Roman" w:cs="Times New Roman"/>
                <w:b/>
                <w:bCs/>
                <w:color w:val="000000" w:themeColor="text1"/>
                <w:szCs w:val="21"/>
                <w:highlight w:val="none"/>
                <w14:textFill>
                  <w14:solidFill>
                    <w14:schemeClr w14:val="tx1"/>
                  </w14:solidFill>
                </w14:textFill>
              </w:rPr>
              <w:t>“较敏感”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较敏感（√）</w:t>
            </w:r>
          </w:p>
        </w:tc>
        <w:tc>
          <w:tcPr>
            <w:tcW w:w="42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集中式饮用水源地（包括已建成的在用、备用、应急水源地，在建和规划的水源地）准保护区以外的补给径流区；</w:t>
            </w:r>
            <w:r>
              <w:rPr>
                <w:rFonts w:hint="default" w:ascii="Times New Roman" w:hAnsi="Times New Roman" w:cs="Times New Roman"/>
                <w:bCs/>
                <w:color w:val="000000" w:themeColor="text1"/>
                <w:highlight w:val="none"/>
                <w14:textFill>
                  <w14:solidFill>
                    <w14:schemeClr w14:val="tx1"/>
                  </w14:solidFill>
                </w14:textFill>
              </w:rPr>
              <w:t>未划定准保护区的集中式饮用水源地，</w:t>
            </w:r>
            <w:r>
              <w:rPr>
                <w:rFonts w:hint="default" w:ascii="Times New Roman" w:hAnsi="Times New Roman" w:cs="Times New Roman"/>
                <w:color w:val="000000" w:themeColor="text1"/>
                <w:highlight w:val="none"/>
                <w14:textFill>
                  <w14:solidFill>
                    <w14:schemeClr w14:val="tx1"/>
                  </w14:solidFill>
                </w14:textFill>
              </w:rPr>
              <w:t>其保护区以外的补给径流区；分散式饮用水源地；特殊地下水资源（如矿泉水、温泉等）保护区以外的分布区以及分散居民饮用水源等其它未列入上述敏感分级的环境敏感区</w:t>
            </w:r>
          </w:p>
        </w:tc>
        <w:tc>
          <w:tcPr>
            <w:tcW w:w="2840"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295"/>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不敏感</w:t>
            </w:r>
          </w:p>
        </w:tc>
        <w:tc>
          <w:tcPr>
            <w:tcW w:w="423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上述地区之外的其它地区</w:t>
            </w:r>
          </w:p>
        </w:tc>
        <w:tc>
          <w:tcPr>
            <w:tcW w:w="2840"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3）地下水评价等级确定</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表 </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地下水评价工作等级分级</w:t>
      </w:r>
    </w:p>
    <w:tbl>
      <w:tblPr>
        <w:tblStyle w:val="52"/>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056"/>
        <w:gridCol w:w="2056"/>
        <w:gridCol w:w="2055"/>
        <w:gridCol w:w="20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4" w:space="0"/>
              <w:bottom w:val="single" w:color="auto" w:sz="4" w:space="0"/>
              <w:right w:val="single" w:color="auto" w:sz="4" w:space="0"/>
              <w:tl2br w:val="single" w:color="auto" w:sz="4" w:space="0"/>
            </w:tcBorders>
            <w:vAlign w:val="center"/>
          </w:tcPr>
          <w:p>
            <w:pPr>
              <w:pStyle w:val="295"/>
              <w:jc w:val="righ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项目类别</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环境敏感程度</w:t>
            </w:r>
          </w:p>
        </w:tc>
        <w:tc>
          <w:tcPr>
            <w:tcW w:w="20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1 \* ROMAN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I</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类项目</w:t>
            </w:r>
          </w:p>
        </w:tc>
        <w:tc>
          <w:tcPr>
            <w:tcW w:w="2055"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fldChar w:fldCharType="begin"/>
            </w:r>
            <w:r>
              <w:rPr>
                <w:rFonts w:hint="default" w:ascii="Times New Roman" w:hAnsi="Times New Roman" w:cs="Times New Roman"/>
                <w:b/>
                <w:bCs/>
                <w:color w:val="000000" w:themeColor="text1"/>
                <w:highlight w:val="none"/>
                <w14:textFill>
                  <w14:solidFill>
                    <w14:schemeClr w14:val="tx1"/>
                  </w14:solidFill>
                </w14:textFill>
              </w:rPr>
              <w:instrText xml:space="preserve"> = 2 \* ROMAN </w:instrText>
            </w:r>
            <w:r>
              <w:rPr>
                <w:rFonts w:hint="default" w:ascii="Times New Roman" w:hAnsi="Times New Roman" w:cs="Times New Roman"/>
                <w:b/>
                <w:bCs/>
                <w:color w:val="000000" w:themeColor="text1"/>
                <w:highlight w:val="none"/>
                <w14:textFill>
                  <w14:solidFill>
                    <w14:schemeClr w14:val="tx1"/>
                  </w14:solidFill>
                </w14:textFill>
              </w:rPr>
              <w:fldChar w:fldCharType="separate"/>
            </w:r>
            <w:r>
              <w:rPr>
                <w:rFonts w:hint="default" w:ascii="Times New Roman" w:hAnsi="Times New Roman" w:cs="Times New Roman"/>
                <w:b/>
                <w:bCs/>
                <w:color w:val="000000" w:themeColor="text1"/>
                <w:highlight w:val="none"/>
                <w14:textFill>
                  <w14:solidFill>
                    <w14:schemeClr w14:val="tx1"/>
                  </w14:solidFill>
                </w14:textFill>
              </w:rPr>
              <w:t>II</w:t>
            </w:r>
            <w:r>
              <w:rPr>
                <w:rFonts w:hint="default" w:ascii="Times New Roman" w:hAnsi="Times New Roman" w:cs="Times New Roman"/>
                <w:b/>
                <w:bCs/>
                <w:color w:val="000000" w:themeColor="text1"/>
                <w:highlight w:val="none"/>
                <w14:textFill>
                  <w14:solidFill>
                    <w14:schemeClr w14:val="tx1"/>
                  </w14:solidFill>
                </w14:textFill>
              </w:rPr>
              <w:fldChar w:fldCharType="end"/>
            </w:r>
            <w:r>
              <w:rPr>
                <w:rFonts w:hint="default" w:ascii="Times New Roman" w:hAnsi="Times New Roman" w:cs="Times New Roman"/>
                <w:b/>
                <w:bCs/>
                <w:color w:val="000000" w:themeColor="text1"/>
                <w:highlight w:val="none"/>
                <w14:textFill>
                  <w14:solidFill>
                    <w14:schemeClr w14:val="tx1"/>
                  </w14:solidFill>
                </w14:textFill>
              </w:rPr>
              <w:t>类项目</w:t>
            </w:r>
          </w:p>
        </w:tc>
        <w:tc>
          <w:tcPr>
            <w:tcW w:w="2055"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3 \* ROMAN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III</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类项目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敏感</w:t>
            </w:r>
          </w:p>
        </w:tc>
        <w:tc>
          <w:tcPr>
            <w:tcW w:w="20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w:t>
            </w:r>
          </w:p>
        </w:tc>
        <w:tc>
          <w:tcPr>
            <w:tcW w:w="2055"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w:t>
            </w:r>
          </w:p>
        </w:tc>
        <w:tc>
          <w:tcPr>
            <w:tcW w:w="2055"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较敏感</w:t>
            </w:r>
          </w:p>
        </w:tc>
        <w:tc>
          <w:tcPr>
            <w:tcW w:w="20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w:t>
            </w:r>
          </w:p>
        </w:tc>
        <w:tc>
          <w:tcPr>
            <w:tcW w:w="2055"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shd w:val="pct10" w:color="auto" w:fill="FFFFFF"/>
                <w14:textFill>
                  <w14:solidFill>
                    <w14:schemeClr w14:val="tx1"/>
                  </w14:solidFill>
                </w14:textFill>
              </w:rPr>
              <w:t>二</w:t>
            </w:r>
          </w:p>
        </w:tc>
        <w:tc>
          <w:tcPr>
            <w:tcW w:w="2055"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不敏感</w:t>
            </w:r>
          </w:p>
        </w:tc>
        <w:tc>
          <w:tcPr>
            <w:tcW w:w="205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w:t>
            </w:r>
          </w:p>
        </w:tc>
        <w:tc>
          <w:tcPr>
            <w:tcW w:w="2055"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w:t>
            </w:r>
          </w:p>
        </w:tc>
        <w:tc>
          <w:tcPr>
            <w:tcW w:w="2055"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w:t>
            </w: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综上所述，根据《环境影响评价技术导则—地下水环境》（HJ610-2016）规定，项目属</w:t>
      </w:r>
      <w:r>
        <w:rPr>
          <w:rFonts w:hint="default" w:ascii="Times New Roman" w:hAnsi="Times New Roman" w:cs="Times New Roman"/>
          <w:color w:val="000000" w:themeColor="text1"/>
          <w:szCs w:val="24"/>
          <w:highlight w:val="none"/>
          <w:lang w:eastAsia="zh-CN"/>
          <w14:textFill>
            <w14:solidFill>
              <w14:schemeClr w14:val="tx1"/>
            </w14:solidFill>
          </w14:textFill>
        </w:rPr>
        <w:t>Ⅱ类</w:t>
      </w:r>
      <w:r>
        <w:rPr>
          <w:rFonts w:hint="default" w:ascii="Times New Roman" w:hAnsi="Times New Roman" w:cs="Times New Roman"/>
          <w:color w:val="000000" w:themeColor="text1"/>
          <w:szCs w:val="24"/>
          <w:highlight w:val="none"/>
          <w14:textFill>
            <w14:solidFill>
              <w14:schemeClr w14:val="tx1"/>
            </w14:solidFill>
          </w14:textFill>
        </w:rPr>
        <w:t>项目、环境敏感程度为较敏感，最终确定本次地下水环境评价等级确定为二级。</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（2）评价范围</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根据《环境影响评价技术导则 地下水环境》（HJ610-2016）规定，地下水环境现状调查与评价的范围应包括相关的地下水环境保护目标，以能说明地下水环境的现状，反映调查评价区地下水基本流场特征，满足地下水环境影响预测和评价为基本原则。评价范围确定方法可采用公式法、查表法和自定义法确定，当计算或查表范围超出水文地质单元边界时，应以水文地质单元边界为宜。</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结合本项目周边的区域地质条件、地下水补给径流排泄条件、地形地貌特征、地下水开发利用情况和环境保护目标分布，本次评价采用自定义法。通过区域水文地质资料分析，结合项目所处地地形地貌、地层岩性、构造、地表水文及水文地质条件，本项目北面、西面以山脊为界，南面山坳和冲沟为界，东面以中河支流为界。根据测算，本项目地下水环境影响评价范围共计约5.822km</w:t>
      </w:r>
      <w:r>
        <w:rPr>
          <w:rFonts w:hint="default" w:ascii="Times New Roman" w:hAnsi="Times New Roman" w:cs="Times New Roman"/>
          <w:color w:val="000000" w:themeColor="text1"/>
          <w:szCs w:val="24"/>
          <w:highlight w:val="none"/>
          <w:vertAlign w:val="super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w:t>
      </w:r>
    </w:p>
    <w:p>
      <w:pPr>
        <w:tabs>
          <w:tab w:val="left" w:pos="0"/>
        </w:tabs>
        <w:ind w:firstLine="0" w:firstLineChars="0"/>
        <w:rPr>
          <w:rFonts w:hint="default" w:ascii="Times New Roman" w:hAnsi="Times New Roman" w:cs="Times New Roman"/>
          <w:color w:val="000000" w:themeColor="text1"/>
          <w:szCs w:val="24"/>
          <w:highlight w:val="none"/>
          <w14:textFill>
            <w14:solidFill>
              <w14:schemeClr w14:val="tx1"/>
            </w14:solidFill>
          </w14:textFill>
        </w:rPr>
      </w:pPr>
      <w:bookmarkStart w:id="55" w:name="_Toc120173072"/>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4119245</wp:posOffset>
                </wp:positionH>
                <wp:positionV relativeFrom="paragraph">
                  <wp:posOffset>3065780</wp:posOffset>
                </wp:positionV>
                <wp:extent cx="1254760" cy="287020"/>
                <wp:effectExtent l="0" t="0" r="0" b="0"/>
                <wp:wrapNone/>
                <wp:docPr id="512937309" name="文本框 2"/>
                <wp:cNvGraphicFramePr/>
                <a:graphic xmlns:a="http://schemas.openxmlformats.org/drawingml/2006/main">
                  <a:graphicData uri="http://schemas.microsoft.com/office/word/2010/wordprocessingShape">
                    <wps:wsp>
                      <wps:cNvSpPr txBox="1"/>
                      <wps:spPr bwMode="auto">
                        <a:xfrm>
                          <a:off x="0" y="0"/>
                          <a:ext cx="1254642" cy="287079"/>
                        </a:xfrm>
                        <a:prstGeom prst="rect">
                          <a:avLst/>
                        </a:prstGeom>
                        <a:noFill/>
                        <a:ln w="9525">
                          <a:noFill/>
                          <a:miter lim="800000"/>
                        </a:ln>
                      </wps:spPr>
                      <wps:txbx>
                        <w:txbxContent>
                          <w:p>
                            <w:pPr>
                              <w:spacing w:line="240" w:lineRule="auto"/>
                              <w:ind w:firstLine="0" w:firstLineChars="0"/>
                              <w:jc w:val="center"/>
                              <w:rPr>
                                <w:b/>
                                <w:bCs/>
                                <w:sz w:val="18"/>
                                <w:szCs w:val="16"/>
                              </w:rPr>
                            </w:pPr>
                            <w:r>
                              <w:rPr>
                                <w:rFonts w:hint="eastAsia"/>
                                <w:b/>
                                <w:bCs/>
                                <w:sz w:val="18"/>
                                <w:szCs w:val="16"/>
                              </w:rPr>
                              <w:t>地下水流向</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324.35pt;margin-top:241.4pt;height:22.6pt;width:98.8pt;z-index:251700224;mso-width-relative:page;mso-height-relative:page;" filled="f" stroked="f" coordsize="21600,21600" o:gfxdata="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Ka3z/2AAAAAsBAAAPAAAAAAAAAAEAIAAAACIAAABkcnMvZG93bnJldi54bWxQSwECFAAUAAAA&#10;CACHTuJAT7f1gmACAACfBAAADgAAAAAAAAABACAAAAAnAQAAZHJzL2Uyb0RvYy54bWxQSwUGAAAA&#10;AAYABgBZAQAA+QUAAAAA&#10;">
                <v:fill on="f" focussize="0,0"/>
                <v:stroke on="f" miterlimit="8" joinstyle="miter"/>
                <v:imagedata o:title=""/>
                <o:lock v:ext="edit" aspectratio="f"/>
                <v:textbox>
                  <w:txbxContent>
                    <w:p>
                      <w:pPr>
                        <w:spacing w:line="240" w:lineRule="auto"/>
                        <w:ind w:firstLine="0" w:firstLineChars="0"/>
                        <w:jc w:val="center"/>
                        <w:rPr>
                          <w:b/>
                          <w:bCs/>
                          <w:sz w:val="18"/>
                          <w:szCs w:val="16"/>
                        </w:rPr>
                      </w:pPr>
                      <w:r>
                        <w:rPr>
                          <w:rFonts w:hint="eastAsia"/>
                          <w:b/>
                          <w:bCs/>
                          <w:sz w:val="18"/>
                          <w:szCs w:val="16"/>
                        </w:rPr>
                        <w:t>地下水流向</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3980815</wp:posOffset>
                </wp:positionH>
                <wp:positionV relativeFrom="paragraph">
                  <wp:posOffset>3148330</wp:posOffset>
                </wp:positionV>
                <wp:extent cx="282575" cy="121285"/>
                <wp:effectExtent l="19050" t="19050" r="60325" b="50165"/>
                <wp:wrapNone/>
                <wp:docPr id="739449399" name="直接箭头连接符 3"/>
                <wp:cNvGraphicFramePr/>
                <a:graphic xmlns:a="http://schemas.openxmlformats.org/drawingml/2006/main">
                  <a:graphicData uri="http://schemas.microsoft.com/office/word/2010/wordprocessingShape">
                    <wps:wsp>
                      <wps:cNvCnPr/>
                      <wps:spPr>
                        <a:xfrm>
                          <a:off x="0" y="0"/>
                          <a:ext cx="282758" cy="12153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313.45pt;margin-top:247.9pt;height:9.55pt;width:22.25pt;z-index:251699200;mso-width-relative:page;mso-height-relative:page;" filled="f" stroked="t" coordsize="21600,21600" o:gfxdata="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idODT2gAAAAsBAAAPAAAA&#10;AAAAAAEAIAAAACIAAABkcnMvZG93bnJldi54bWxQSwECFAAUAAAACACHTuJAfWMQbRMCAADuAwAA&#10;DgAAAAAAAAABACAAAAApAQAAZHJzL2Uyb0RvYy54bWxQSwUGAAAAAAYABgBZAQAArgUAAAAA&#10;">
                <v:fill on="f" focussize="0,0"/>
                <v:stroke weight="3pt" color="#000000 [3213]"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3825240</wp:posOffset>
                </wp:positionH>
                <wp:positionV relativeFrom="paragraph">
                  <wp:posOffset>2990850</wp:posOffset>
                </wp:positionV>
                <wp:extent cx="1447165" cy="418465"/>
                <wp:effectExtent l="0" t="0" r="19685" b="20320"/>
                <wp:wrapNone/>
                <wp:docPr id="180349763" name="文本框 4"/>
                <wp:cNvGraphicFramePr/>
                <a:graphic xmlns:a="http://schemas.openxmlformats.org/drawingml/2006/main">
                  <a:graphicData uri="http://schemas.microsoft.com/office/word/2010/wordprocessingShape">
                    <wps:wsp>
                      <wps:cNvSpPr txBox="1"/>
                      <wps:spPr bwMode="auto">
                        <a:xfrm>
                          <a:off x="0" y="0"/>
                          <a:ext cx="1447224" cy="418330"/>
                        </a:xfrm>
                        <a:prstGeom prst="rect">
                          <a:avLst/>
                        </a:prstGeom>
                        <a:solidFill>
                          <a:srgbClr val="FFFFFF"/>
                        </a:solidFill>
                        <a:ln w="9525">
                          <a:solidFill>
                            <a:srgbClr val="000000"/>
                          </a:solidFill>
                          <a:miter lim="800000"/>
                        </a:ln>
                      </wps:spPr>
                      <wps:txbx>
                        <w:txbxContent>
                          <w:p>
                            <w:pPr>
                              <w:ind w:firstLine="480"/>
                            </w:pP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4" o:spid="_x0000_s1026" o:spt="202" type="#_x0000_t202" style="position:absolute;left:0pt;margin-left:301.2pt;margin-top:235.5pt;height:32.95pt;width:113.95pt;z-index:251698176;mso-width-relative:page;mso-height-relative:page;" fillcolor="#FFFFFF" filled="t" stroked="t" coordsize="21600,21600" o:gfxdata="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MqnCVtoAAAALAQAADwAAAAAAAAABACAAAAAi&#10;AAAAZHJzL2Rvd25yZXYueG1sUEsBAhQAFAAAAAgAh07iQO2Q6PB6AgAA8QQAAA4AAAAAAAAAAQAg&#10;AAAAKQEAAGRycy9lMm9Eb2MueG1sUEsFBgAAAAAGAAYAWQEAABUGAAAAAA==&#10;">
                <v:fill on="t" focussize="0,0"/>
                <v:stroke color="#000000" miterlimit="8" joinstyle="miter"/>
                <v:imagedata o:title=""/>
                <o:lock v:ext="edit" aspectratio="f"/>
                <v:textbox>
                  <w:txbxContent>
                    <w:p>
                      <w:pPr>
                        <w:ind w:firstLine="480"/>
                      </w:pP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3541395</wp:posOffset>
                </wp:positionH>
                <wp:positionV relativeFrom="paragraph">
                  <wp:posOffset>1073785</wp:posOffset>
                </wp:positionV>
                <wp:extent cx="282575" cy="121285"/>
                <wp:effectExtent l="19050" t="19050" r="60325" b="50165"/>
                <wp:wrapNone/>
                <wp:docPr id="544417088" name="直接箭头连接符 3"/>
                <wp:cNvGraphicFramePr/>
                <a:graphic xmlns:a="http://schemas.openxmlformats.org/drawingml/2006/main">
                  <a:graphicData uri="http://schemas.microsoft.com/office/word/2010/wordprocessingShape">
                    <wps:wsp>
                      <wps:cNvCnPr/>
                      <wps:spPr>
                        <a:xfrm>
                          <a:off x="0" y="0"/>
                          <a:ext cx="282758" cy="121533"/>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278.85pt;margin-top:84.55pt;height:9.55pt;width:22.25pt;z-index:251687936;mso-width-relative:page;mso-height-relative:page;" filled="f" stroked="t" coordsize="21600,21600" o:gfxdata="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0cC7TZAAAACwEAAA8AAAAA&#10;AAAAAQAgAAAAIgAAAGRycy9kb3ducmV2LnhtbFBLAQIUABQAAAAIAIdO4kDac943EwIAAO4DAAAO&#10;AAAAAAAAAAEAIAAAACgBAABkcnMvZTJvRG9jLnhtbFBLBQYAAAAABgAGAFkBAACtBQ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2976880</wp:posOffset>
                </wp:positionH>
                <wp:positionV relativeFrom="paragraph">
                  <wp:posOffset>1192530</wp:posOffset>
                </wp:positionV>
                <wp:extent cx="282575" cy="121285"/>
                <wp:effectExtent l="19050" t="19050" r="60325" b="50165"/>
                <wp:wrapNone/>
                <wp:docPr id="1580551684" name="直接箭头连接符 3"/>
                <wp:cNvGraphicFramePr/>
                <a:graphic xmlns:a="http://schemas.openxmlformats.org/drawingml/2006/main">
                  <a:graphicData uri="http://schemas.microsoft.com/office/word/2010/wordprocessingShape">
                    <wps:wsp>
                      <wps:cNvCnPr/>
                      <wps:spPr>
                        <a:xfrm>
                          <a:off x="0" y="0"/>
                          <a:ext cx="282758" cy="121533"/>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234.4pt;margin-top:93.9pt;height:9.55pt;width:22.25pt;z-index:251697152;mso-width-relative:page;mso-height-relative:page;" filled="f" stroked="t" coordsize="21600,21600" o:gfxdata="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C0RJe2gAAAAsBAAAPAAAA&#10;AAAAAAEAIAAAACIAAABkcnMvZG93bnJldi54bWxQSwECFAAUAAAACACHTuJAdFd5dxMCAADvAwAA&#10;DgAAAAAAAAABACAAAAApAQAAZHJzL2Uyb0RvYy54bWxQSwUGAAAAAAYABgBZAQAArgU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2483485</wp:posOffset>
                </wp:positionH>
                <wp:positionV relativeFrom="paragraph">
                  <wp:posOffset>1279525</wp:posOffset>
                </wp:positionV>
                <wp:extent cx="282575" cy="121285"/>
                <wp:effectExtent l="19050" t="19050" r="60325" b="50165"/>
                <wp:wrapNone/>
                <wp:docPr id="1220780084" name="直接箭头连接符 3"/>
                <wp:cNvGraphicFramePr/>
                <a:graphic xmlns:a="http://schemas.openxmlformats.org/drawingml/2006/main">
                  <a:graphicData uri="http://schemas.microsoft.com/office/word/2010/wordprocessingShape">
                    <wps:wsp>
                      <wps:cNvCnPr/>
                      <wps:spPr>
                        <a:xfrm>
                          <a:off x="0" y="0"/>
                          <a:ext cx="282758" cy="121533"/>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195.55pt;margin-top:100.75pt;height:9.55pt;width:22.25pt;z-index:251689984;mso-width-relative:page;mso-height-relative:page;" filled="f" stroked="t" coordsize="21600,21600" o:gfxdata="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4XSDjZAAAACwEAAA8AAAAA&#10;AAAAAQAgAAAAIgAAAGRycy9kb3ducmV2LnhtbFBLAQIUABQAAAAIAIdO4kBe08xCEwIAAO8DAAAO&#10;AAAAAAAAAAEAIAAAACgBAABkcnMvZTJvRG9jLnhtbFBLBQYAAAAABgAGAFkBAACtBQ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2278380</wp:posOffset>
                </wp:positionH>
                <wp:positionV relativeFrom="paragraph">
                  <wp:posOffset>1595755</wp:posOffset>
                </wp:positionV>
                <wp:extent cx="362585" cy="45720"/>
                <wp:effectExtent l="0" t="76200" r="19050" b="88265"/>
                <wp:wrapNone/>
                <wp:docPr id="598944165" name="直接箭头连接符 3"/>
                <wp:cNvGraphicFramePr/>
                <a:graphic xmlns:a="http://schemas.openxmlformats.org/drawingml/2006/main">
                  <a:graphicData uri="http://schemas.microsoft.com/office/word/2010/wordprocessingShape">
                    <wps:wsp>
                      <wps:cNvCnPr/>
                      <wps:spPr>
                        <a:xfrm>
                          <a:off x="0" y="0"/>
                          <a:ext cx="362358" cy="45719"/>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179.4pt;margin-top:125.65pt;height:3.6pt;width:28.55pt;z-index:251691008;mso-width-relative:page;mso-height-relative:page;" filled="f" stroked="t" coordsize="21600,21600" o:gfxdata="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YVWZtkAAAALAQAADwAAAAAA&#10;AAABACAAAAAiAAAAZHJzL2Rvd25yZXYueG1sUEsBAhQAFAAAAAgAh07iQEtIzYQSAgAA7QMAAA4A&#10;AAAAAAAAAQAgAAAAKAEAAGRycy9lMm9Eb2MueG1sUEsFBgAAAAAGAAYAWQEAAKwFA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1684655</wp:posOffset>
                </wp:positionH>
                <wp:positionV relativeFrom="paragraph">
                  <wp:posOffset>1397000</wp:posOffset>
                </wp:positionV>
                <wp:extent cx="362585" cy="45720"/>
                <wp:effectExtent l="0" t="76200" r="19050" b="88265"/>
                <wp:wrapNone/>
                <wp:docPr id="1288965309" name="直接箭头连接符 3"/>
                <wp:cNvGraphicFramePr/>
                <a:graphic xmlns:a="http://schemas.openxmlformats.org/drawingml/2006/main">
                  <a:graphicData uri="http://schemas.microsoft.com/office/word/2010/wordprocessingShape">
                    <wps:wsp>
                      <wps:cNvCnPr/>
                      <wps:spPr>
                        <a:xfrm>
                          <a:off x="0" y="0"/>
                          <a:ext cx="362358" cy="45719"/>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132.65pt;margin-top:110pt;height:3.6pt;width:28.55pt;z-index:251696128;mso-width-relative:page;mso-height-relative:page;" filled="f" stroked="t" coordsize="21600,21600" o:gfxdata="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JIMqPZAAAACwEAAA8AAAAA&#10;AAAAAQAgAAAAIgAAAGRycy9kb3ducmV2LnhtbFBLAQIUABQAAAAIAIdO4kAqulWaEwIAAO4DAAAO&#10;AAAAAAAAAAEAIAAAACgBAABkcnMvZTJvRG9jLnhtbFBLBQYAAAAABgAGAFkBAACtBQ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1290320</wp:posOffset>
                </wp:positionH>
                <wp:positionV relativeFrom="paragraph">
                  <wp:posOffset>1704975</wp:posOffset>
                </wp:positionV>
                <wp:extent cx="362585" cy="45720"/>
                <wp:effectExtent l="0" t="76200" r="19050" b="88265"/>
                <wp:wrapNone/>
                <wp:docPr id="1356098239" name="直接箭头连接符 3"/>
                <wp:cNvGraphicFramePr/>
                <a:graphic xmlns:a="http://schemas.openxmlformats.org/drawingml/2006/main">
                  <a:graphicData uri="http://schemas.microsoft.com/office/word/2010/wordprocessingShape">
                    <wps:wsp>
                      <wps:cNvCnPr/>
                      <wps:spPr>
                        <a:xfrm>
                          <a:off x="0" y="0"/>
                          <a:ext cx="362358" cy="45719"/>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101.6pt;margin-top:134.25pt;height:3.6pt;width:28.55pt;z-index:251692032;mso-width-relative:page;mso-height-relative:page;" filled="f" stroked="t" coordsize="21600,21600" o:gfxdata="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xOqgHZAAAACwEAAA8AAAAA&#10;AAAAAQAgAAAAIgAAAGRycy9kb3ducmV2LnhtbFBLAQIUABQAAAAIAIdO4kDBKxZNEwIAAO4DAAAO&#10;AAAAAAAAAAEAIAAAACgBAABkcnMvZTJvRG9jLnhtbFBLBQYAAAAABgAGAFkBAACtBQ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1858645</wp:posOffset>
                </wp:positionH>
                <wp:positionV relativeFrom="paragraph">
                  <wp:posOffset>2006600</wp:posOffset>
                </wp:positionV>
                <wp:extent cx="361315" cy="95250"/>
                <wp:effectExtent l="19050" t="76200" r="0" b="38100"/>
                <wp:wrapNone/>
                <wp:docPr id="55115392" name="直接箭头连接符 3"/>
                <wp:cNvGraphicFramePr/>
                <a:graphic xmlns:a="http://schemas.openxmlformats.org/drawingml/2006/main">
                  <a:graphicData uri="http://schemas.microsoft.com/office/word/2010/wordprocessingShape">
                    <wps:wsp>
                      <wps:cNvCnPr/>
                      <wps:spPr>
                        <a:xfrm flipV="1">
                          <a:off x="0" y="0"/>
                          <a:ext cx="361308" cy="9525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flip:y;margin-left:146.35pt;margin-top:158pt;height:7.5pt;width:28.45pt;z-index:251694080;mso-width-relative:page;mso-height-relative:page;" filled="f" stroked="t" coordsize="21600,21600" o:gfxdata="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NgbhPaAAAACwEA&#10;AA8AAAAAAAAAAQAgAAAAIgAAAGRycy9kb3ducmV2LnhtbFBLAQIUABQAAAAIAIdO4kCL+acNGAIA&#10;APYDAAAOAAAAAAAAAAEAIAAAACkBAABkcnMvZTJvRG9jLnhtbFBLBQYAAAAABgAGAFkBAACzBQAA&#10;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1330325</wp:posOffset>
                </wp:positionH>
                <wp:positionV relativeFrom="paragraph">
                  <wp:posOffset>2465070</wp:posOffset>
                </wp:positionV>
                <wp:extent cx="362585" cy="45720"/>
                <wp:effectExtent l="19050" t="76200" r="0" b="69215"/>
                <wp:wrapNone/>
                <wp:docPr id="476393425" name="直接箭头连接符 3"/>
                <wp:cNvGraphicFramePr/>
                <a:graphic xmlns:a="http://schemas.openxmlformats.org/drawingml/2006/main">
                  <a:graphicData uri="http://schemas.microsoft.com/office/word/2010/wordprocessingShape">
                    <wps:wsp>
                      <wps:cNvCnPr/>
                      <wps:spPr>
                        <a:xfrm flipV="1">
                          <a:off x="0" y="0"/>
                          <a:ext cx="362460" cy="45719"/>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flip:y;margin-left:104.75pt;margin-top:194.1pt;height:3.6pt;width:28.55pt;z-index:251695104;mso-width-relative:page;mso-height-relative:page;" filled="f" stroked="t" coordsize="21600,21600" o:gfxdata="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mE05M2gAAAAsB&#10;AAAPAAAAAAAAAAEAIAAAACIAAABkcnMvZG93bnJldi54bWxQSwECFAAUAAAACACHTuJA5sIp0RkC&#10;AAD3AwAADgAAAAAAAAABACAAAAApAQAAZHJzL2Uyb0RvYy54bWxQSwUGAAAAAAYABgBZAQAAtAUA&#10;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1164590</wp:posOffset>
                </wp:positionH>
                <wp:positionV relativeFrom="paragraph">
                  <wp:posOffset>2203450</wp:posOffset>
                </wp:positionV>
                <wp:extent cx="361950" cy="45720"/>
                <wp:effectExtent l="19050" t="76200" r="0" b="69215"/>
                <wp:wrapNone/>
                <wp:docPr id="460620101" name="直接箭头连接符 3"/>
                <wp:cNvGraphicFramePr/>
                <a:graphic xmlns:a="http://schemas.openxmlformats.org/drawingml/2006/main">
                  <a:graphicData uri="http://schemas.microsoft.com/office/word/2010/wordprocessingShape">
                    <wps:wsp>
                      <wps:cNvCnPr/>
                      <wps:spPr>
                        <a:xfrm flipV="1">
                          <a:off x="0" y="0"/>
                          <a:ext cx="361950" cy="45719"/>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flip:y;margin-left:91.7pt;margin-top:173.5pt;height:3.6pt;width:28.5pt;z-index:251693056;mso-width-relative:page;mso-height-relative:page;" filled="f" stroked="t" coordsize="21600,21600" o:gfxdata="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wF9lxtgAAAALAQAADwAA&#10;AAAAAAABACAAAAAiAAAAZHJzL2Rvd25yZXYueG1sUEsBAhQAFAAAAAgAh07iQFpqaC8WAgAA9wMA&#10;AA4AAAAAAAAAAQAgAAAAJwEAAGRycy9lMm9Eb2MueG1sUEsFBgAAAAAGAAYAWQEAAK8FA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3540125</wp:posOffset>
                </wp:positionH>
                <wp:positionV relativeFrom="paragraph">
                  <wp:posOffset>1639570</wp:posOffset>
                </wp:positionV>
                <wp:extent cx="282575" cy="121285"/>
                <wp:effectExtent l="19050" t="19050" r="60325" b="50165"/>
                <wp:wrapNone/>
                <wp:docPr id="1317838624" name="直接箭头连接符 3"/>
                <wp:cNvGraphicFramePr/>
                <a:graphic xmlns:a="http://schemas.openxmlformats.org/drawingml/2006/main">
                  <a:graphicData uri="http://schemas.microsoft.com/office/word/2010/wordprocessingShape">
                    <wps:wsp>
                      <wps:cNvCnPr/>
                      <wps:spPr>
                        <a:xfrm>
                          <a:off x="0" y="0"/>
                          <a:ext cx="282758" cy="121533"/>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278.75pt;margin-top:129.1pt;height:9.55pt;width:22.25pt;z-index:251688960;mso-width-relative:page;mso-height-relative:page;" filled="f" stroked="t" coordsize="21600,21600" o:gfxdata="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HbS242QAAAAsBAAAPAAAA&#10;AAAAAAEAIAAAACIAAABkcnMvZG93bnJldi54bWxQSwECFAAUAAAACACHTuJATAi8rhQCAADvAwAA&#10;DgAAAAAAAAABACAAAAAoAQAAZHJzL2Uyb0RvYy54bWxQSwUGAAAAAAYABgBZAQAArgU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3675380</wp:posOffset>
                </wp:positionH>
                <wp:positionV relativeFrom="paragraph">
                  <wp:posOffset>1195705</wp:posOffset>
                </wp:positionV>
                <wp:extent cx="692150" cy="234950"/>
                <wp:effectExtent l="0" t="0" r="0" b="0"/>
                <wp:wrapNone/>
                <wp:docPr id="1505883392"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中河支流</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289.4pt;margin-top:94.15pt;height:18.5pt;width:54.5pt;z-index:251686912;mso-width-relative:page;mso-height-relative:page;" filled="f" stroked="f" coordsize="21600,21600" o:gfxdata="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jVelFdgAAAALAQAADwAAAAAAAAABACAAAAAiAAAAZHJzL2Rvd25yZXYueG1sUEsBAhQAFAAAAAgA&#10;h07iQPaQCI1eAgAAnwQAAA4AAAAAAAAAAQAgAAAAJwEAAGRycy9lMm9Eb2MueG1sUEsFBgAAAAAG&#10;AAYAWQEAAPcFA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中河支流</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2174875</wp:posOffset>
                </wp:positionH>
                <wp:positionV relativeFrom="paragraph">
                  <wp:posOffset>1983740</wp:posOffset>
                </wp:positionV>
                <wp:extent cx="692150" cy="234950"/>
                <wp:effectExtent l="0" t="0" r="0" b="0"/>
                <wp:wrapNone/>
                <wp:docPr id="1393027618"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山坳冲沟</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71.25pt;margin-top:156.2pt;height:18.5pt;width:54.5pt;z-index:251685888;mso-width-relative:page;mso-height-relative:page;" filled="f" stroked="f" coordsize="21600,21600" o:gfxdata="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G4&#10;32DWAAAACwEAAA8AAAAAAAAAAQAgAAAAIgAAAGRycy9kb3ducmV2LnhtbFBLAQIUABQAAAAIAIdO&#10;4kDjXQ3NXgIAAJ8EAAAOAAAAAAAAAAEAIAAAACUBAABkcnMvZTJvRG9jLnhtbFBLBQYAAAAABgAG&#10;AFkBAAD1BQ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山坳冲沟</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537210</wp:posOffset>
                </wp:positionH>
                <wp:positionV relativeFrom="paragraph">
                  <wp:posOffset>2160905</wp:posOffset>
                </wp:positionV>
                <wp:extent cx="692150" cy="234950"/>
                <wp:effectExtent l="0" t="0" r="0" b="0"/>
                <wp:wrapNone/>
                <wp:docPr id="1195714578"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山脊线</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42.3pt;margin-top:170.15pt;height:18.5pt;width:54.5pt;z-index:251684864;mso-width-relative:page;mso-height-relative:page;" filled="f" stroked="f" coordsize="21600,21600" o:gfxdata="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o&#10;dcay1wAAAAoBAAAPAAAAAAAAAAEAIAAAACIAAABkcnMvZG93bnJldi54bWxQSwECFAAUAAAACACH&#10;TuJACfXAXl4CAACfBAAADgAAAAAAAAABACAAAAAmAQAAZHJzL2Uyb0RvYy54bWxQSwUGAAAAAAYA&#10;BgBZAQAA9gU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山脊线</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2019300</wp:posOffset>
                </wp:positionH>
                <wp:positionV relativeFrom="paragraph">
                  <wp:posOffset>880745</wp:posOffset>
                </wp:positionV>
                <wp:extent cx="692150" cy="234950"/>
                <wp:effectExtent l="0" t="0" r="0" b="0"/>
                <wp:wrapNone/>
                <wp:docPr id="1893456778"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山脊线</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59pt;margin-top:69.35pt;height:18.5pt;width:54.5pt;z-index:251683840;mso-width-relative:page;mso-height-relative:page;" filled="f" stroked="f" coordsize="21600,21600" o:gfxdata="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pNhq7NgAAAALAQAADwAAAAAAAAABACAAAAAiAAAAZHJzL2Rvd25yZXYueG1sUEsBAhQAFAAAAAgA&#10;h07iQJ7g2VZeAgAAnwQAAA4AAAAAAAAAAQAgAAAAJwEAAGRycy9lMm9Eb2MueG1sUEsFBgAAAAAG&#10;AAYAWQEAAPcFA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山脊线</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w:drawing>
          <wp:inline distT="0" distB="0" distL="0" distR="0">
            <wp:extent cx="5036185" cy="3256280"/>
            <wp:effectExtent l="0" t="0" r="12065" b="1270"/>
            <wp:docPr id="105856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6221" name="图片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036185" cy="3256280"/>
                    </a:xfrm>
                    <a:prstGeom prst="rect">
                      <a:avLst/>
                    </a:prstGeom>
                    <a:noFill/>
                    <a:ln>
                      <a:noFill/>
                    </a:ln>
                  </pic:spPr>
                </pic:pic>
              </a:graphicData>
            </a:graphic>
          </wp:inline>
        </w:drawing>
      </w:r>
    </w:p>
    <w:p>
      <w:pPr>
        <w:pStyle w:val="21"/>
        <w:tabs>
          <w:tab w:val="left" w:pos="3864"/>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 xml:space="preserve">图2.6-1  </w:t>
      </w:r>
      <w:r>
        <w:rPr>
          <w:rFonts w:hint="eastAsia" w:ascii="Times New Roman" w:hAnsi="Times New Roman" w:eastAsia="黑体" w:cs="Times New Roman"/>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项目所在区地下水环境评价范围图</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大气环境</w:t>
      </w:r>
      <w:bookmarkEnd w:id="55"/>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（1）评价工作等级</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eastAsia="zh-CN"/>
          <w14:textFill>
            <w14:solidFill>
              <w14:schemeClr w14:val="tx1"/>
            </w14:solidFill>
          </w14:textFill>
        </w:rPr>
        <w:t>根据天然气开发项目环境影响特点，</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本项目施工期（钻前工程施工、钻井工程施工、储层改造工程施工、油气集输工程施工）的废气污染物主要包括</w:t>
      </w:r>
      <w:r>
        <w:rPr>
          <w:rFonts w:hint="default" w:ascii="Times New Roman" w:hAnsi="Times New Roman" w:cs="Times New Roman"/>
          <w:bCs/>
          <w:color w:val="000000" w:themeColor="text1"/>
          <w:szCs w:val="24"/>
          <w:highlight w:val="none"/>
          <w:lang w:eastAsia="zh-CN"/>
          <w14:textFill>
            <w14:solidFill>
              <w14:schemeClr w14:val="tx1"/>
            </w14:solidFill>
          </w14:textFill>
        </w:rPr>
        <w:t>施工机械、施工车辆产生的尾气、</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备用柴油动力机/</w:t>
      </w:r>
      <w:r>
        <w:rPr>
          <w:rFonts w:hint="default" w:ascii="Times New Roman" w:hAnsi="Times New Roman" w:cs="Times New Roman"/>
          <w:bCs/>
          <w:color w:val="000000" w:themeColor="text1"/>
          <w:szCs w:val="24"/>
          <w:highlight w:val="none"/>
          <w:lang w:eastAsia="zh-CN"/>
          <w14:textFill>
            <w14:solidFill>
              <w14:schemeClr w14:val="tx1"/>
            </w14:solidFill>
          </w14:textFill>
        </w:rPr>
        <w:t>柴油发电机废气，由于施工期较短暂，</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且随时施工结束，上述大气污染源将撤离，其影响将消除，因此，施工期废气污染物不作等级判定依据。</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试采期本项目所产天然气接入</w:t>
      </w:r>
      <w:r>
        <w:rPr>
          <w:rFonts w:hint="eastAsia" w:cs="Times New Roman"/>
          <w:bCs/>
          <w:color w:val="000000" w:themeColor="text1"/>
          <w:szCs w:val="24"/>
          <w:highlight w:val="none"/>
          <w:lang w:val="en-US" w:eastAsia="zh-CN"/>
          <w14:textFill>
            <w14:solidFill>
              <w14:schemeClr w14:val="tx1"/>
            </w14:solidFill>
          </w14:textFill>
        </w:rPr>
        <w:t>既有的</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P106集气站进行采气生产，试采期普光P106集气站正常生产情况下，流程设备、管线、阀室等工艺设备为高压密闭作业，无天然气泄漏废气产生；本项目试采期用电由P106集气站接入，不单独设置备用燃气发电机，也无备用发电机燃烧废气产生。因此，本项目试采期主要废气为非正常运行状态</w:t>
      </w:r>
      <w:r>
        <w:rPr>
          <w:rFonts w:hint="eastAsia" w:cs="Times New Roman"/>
          <w:bCs/>
          <w:color w:val="000000" w:themeColor="text1"/>
          <w:szCs w:val="24"/>
          <w:highlight w:val="none"/>
          <w:lang w:val="en-US" w:eastAsia="zh-CN"/>
          <w14:textFill>
            <w14:solidFill>
              <w14:schemeClr w14:val="tx1"/>
            </w14:solidFill>
          </w14:textFill>
        </w:rPr>
        <w:t>下（</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主要</w:t>
      </w:r>
      <w:r>
        <w:rPr>
          <w:rFonts w:hint="eastAsia" w:cs="Times New Roman"/>
          <w:bCs/>
          <w:color w:val="000000" w:themeColor="text1"/>
          <w:szCs w:val="24"/>
          <w:highlight w:val="none"/>
          <w:lang w:val="en-US" w:eastAsia="zh-CN"/>
          <w14:textFill>
            <w14:solidFill>
              <w14:schemeClr w14:val="tx1"/>
            </w14:solidFill>
          </w14:textFill>
        </w:rPr>
        <w:t>为</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检修废气或系统超压等情况</w:t>
      </w:r>
      <w:r>
        <w:rPr>
          <w:rFonts w:hint="eastAsia" w:cs="Times New Roman"/>
          <w:bCs/>
          <w:color w:val="000000" w:themeColor="text1"/>
          <w:szCs w:val="24"/>
          <w:highlight w:val="none"/>
          <w:lang w:val="en-US"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产生的事故放空燃烧废气，拟通过P106集气站已建的火炬系统进行处置</w:t>
      </w:r>
      <w:r>
        <w:rPr>
          <w:rFonts w:hint="eastAsia" w:cs="Times New Roman"/>
          <w:bCs/>
          <w:color w:val="000000" w:themeColor="text1"/>
          <w:szCs w:val="24"/>
          <w:highlight w:val="none"/>
          <w:lang w:val="en-US"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但其为非正常工况下排放，排放时间短且废气量较小</w:t>
      </w:r>
      <w:r>
        <w:rPr>
          <w:rFonts w:hint="eastAsia" w:cs="Times New Roman"/>
          <w:bCs/>
          <w:color w:val="000000" w:themeColor="text1"/>
          <w:szCs w:val="24"/>
          <w:highlight w:val="none"/>
          <w:lang w:val="en-US"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因此，该废气污染物不作等级判定依据。</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lang w:val="en-US" w:eastAsia="zh-CN"/>
          <w14:textFill>
            <w14:solidFill>
              <w14:schemeClr w14:val="tx1"/>
            </w14:solidFill>
          </w14:textFill>
        </w:rPr>
      </w:pPr>
      <w:bookmarkStart w:id="56" w:name="_Hlk152592521"/>
      <w:r>
        <w:rPr>
          <w:rFonts w:hint="default" w:ascii="Times New Roman" w:hAnsi="Times New Roman" w:cs="Times New Roman"/>
          <w:bCs/>
          <w:color w:val="000000" w:themeColor="text1"/>
          <w:szCs w:val="24"/>
          <w:highlight w:val="none"/>
          <w:lang w:val="en-US" w:eastAsia="zh-CN"/>
          <w14:textFill>
            <w14:solidFill>
              <w14:schemeClr w14:val="tx1"/>
            </w14:solidFill>
          </w14:textFill>
        </w:rPr>
        <w:t>此外，本项目在依托P106集气站进行生产时，为了防止水合物形成，需利旧原P106集气站内的水套炉</w:t>
      </w:r>
      <w:bookmarkStart w:id="57" w:name="_Hlk152592024"/>
      <w:r>
        <w:rPr>
          <w:rFonts w:hint="default" w:ascii="Times New Roman" w:hAnsi="Times New Roman" w:cs="Times New Roman"/>
          <w:bCs/>
          <w:color w:val="000000" w:themeColor="text1"/>
          <w:szCs w:val="24"/>
          <w:highlight w:val="none"/>
          <w:lang w:val="en-US" w:eastAsia="zh-CN"/>
          <w14:textFill>
            <w14:solidFill>
              <w14:schemeClr w14:val="tx1"/>
            </w14:solidFill>
          </w14:textFill>
        </w:rPr>
        <w:t>进行加热处理（该水套加热炉为老井P106-2井生产时的配套设施，</w:t>
      </w:r>
      <w:bookmarkEnd w:id="57"/>
      <w:r>
        <w:rPr>
          <w:rFonts w:hint="default" w:ascii="Times New Roman" w:hAnsi="Times New Roman" w:cs="Times New Roman"/>
          <w:bCs/>
          <w:color w:val="000000" w:themeColor="text1"/>
          <w:szCs w:val="24"/>
          <w:highlight w:val="none"/>
          <w:lang w:val="en-US" w:eastAsia="zh-CN"/>
          <w14:textFill>
            <w14:solidFill>
              <w14:schemeClr w14:val="tx1"/>
            </w14:solidFill>
          </w14:textFill>
        </w:rPr>
        <w:t>但P106-2井现状已无需使用加热炉）。由于本项目试采阶段配产规模为15万m</w:t>
      </w:r>
      <w:r>
        <w:rPr>
          <w:rFonts w:hint="default" w:ascii="Times New Roman" w:hAnsi="Times New Roman" w:cs="Times New Roman"/>
          <w:bCs/>
          <w:color w:val="000000" w:themeColor="text1"/>
          <w:szCs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/d，小于原P106</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集气站</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配产规模（40万m</w:t>
      </w:r>
      <w:r>
        <w:rPr>
          <w:rFonts w:hint="default" w:ascii="Times New Roman" w:hAnsi="Times New Roman" w:cs="Times New Roman"/>
          <w:bCs/>
          <w:color w:val="000000" w:themeColor="text1"/>
          <w:szCs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/d），因此，本项目试采期</w:t>
      </w:r>
      <w:r>
        <w:rPr>
          <w:rFonts w:hint="eastAsia" w:cs="Times New Roman"/>
          <w:bCs/>
          <w:color w:val="000000" w:themeColor="text1"/>
          <w:szCs w:val="24"/>
          <w:highlight w:val="none"/>
          <w:lang w:val="en-US" w:eastAsia="zh-CN"/>
          <w14:textFill>
            <w14:solidFill>
              <w14:schemeClr w14:val="tx1"/>
            </w14:solidFill>
          </w14:textFill>
        </w:rPr>
        <w:t>会重新使用水套加热炉，将产生</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水套加热炉</w:t>
      </w:r>
      <w:r>
        <w:rPr>
          <w:rFonts w:hint="eastAsia" w:cs="Times New Roman"/>
          <w:bCs/>
          <w:color w:val="000000" w:themeColor="text1"/>
          <w:szCs w:val="24"/>
          <w:highlight w:val="none"/>
          <w:lang w:val="en-US" w:eastAsia="zh-CN"/>
          <w14:textFill>
            <w14:solidFill>
              <w14:schemeClr w14:val="tx1"/>
            </w14:solidFill>
          </w14:textFill>
        </w:rPr>
        <w:t>燃烧</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废气排放，因此，需对利旧的水套加热炉产生的废气污染物等级判定。</w:t>
      </w:r>
      <w:bookmarkEnd w:id="56"/>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eastAsia" w:ascii="Times New Roman" w:hAnsi="Times New Roman" w:cs="Times New Roman"/>
          <w:bCs/>
          <w:color w:val="000000" w:themeColor="text1"/>
          <w:szCs w:val="24"/>
          <w:highlight w:val="none"/>
          <w:lang w:val="en-US" w:eastAsia="zh-CN"/>
          <w14:textFill>
            <w14:solidFill>
              <w14:schemeClr w14:val="tx1"/>
            </w14:solidFill>
          </w14:textFill>
        </w:rPr>
        <w:t>根据后文大气环境影响评价内容部分，本项目有组织废气排放影响预测结果如下表所示。</w:t>
      </w:r>
    </w:p>
    <w:p>
      <w:pPr>
        <w:pStyle w:val="201"/>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有组织废气排放影响估算结果表</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996"/>
        <w:gridCol w:w="1555"/>
        <w:gridCol w:w="1556"/>
        <w:gridCol w:w="1555"/>
        <w:gridCol w:w="1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7" w:type="dxa"/>
            <w:vMerge w:val="restart"/>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距源中心下风向</w:t>
            </w:r>
          </w:p>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距离D/m</w:t>
            </w:r>
          </w:p>
        </w:tc>
        <w:tc>
          <w:tcPr>
            <w:tcW w:w="6223" w:type="dxa"/>
            <w:gridSpan w:val="4"/>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水套加热炉排气筒</w:t>
            </w:r>
            <w:r>
              <w:rPr>
                <w:rFonts w:hint="eastAsia" w:cs="Times New Roman"/>
                <w:color w:val="000000" w:themeColor="text1"/>
                <w:sz w:val="21"/>
                <w:szCs w:val="21"/>
                <w:highlight w:val="none"/>
                <w:lang w:eastAsia="zh-CN"/>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71" w:hRule="atLeast"/>
          <w:tblHeader/>
          <w:jc w:val="center"/>
        </w:trPr>
        <w:tc>
          <w:tcPr>
            <w:tcW w:w="1997"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3111" w:type="dxa"/>
            <w:gridSpan w:val="2"/>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SO</w:t>
            </w:r>
            <w:r>
              <w:rPr>
                <w:rFonts w:cs="Times New Roman"/>
                <w:color w:val="000000" w:themeColor="text1"/>
                <w:sz w:val="21"/>
                <w:szCs w:val="21"/>
                <w:highlight w:val="none"/>
                <w:vertAlign w:val="subscript"/>
                <w14:textFill>
                  <w14:solidFill>
                    <w14:schemeClr w14:val="tx1"/>
                  </w14:solidFill>
                </w14:textFill>
              </w:rPr>
              <w:t>2</w:t>
            </w:r>
          </w:p>
        </w:tc>
        <w:tc>
          <w:tcPr>
            <w:tcW w:w="3112" w:type="dxa"/>
            <w:gridSpan w:val="2"/>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7"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555"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C/（μg/m³）</w:t>
            </w:r>
          </w:p>
        </w:tc>
        <w:tc>
          <w:tcPr>
            <w:tcW w:w="1555"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P/%</w:t>
            </w:r>
          </w:p>
        </w:tc>
        <w:tc>
          <w:tcPr>
            <w:tcW w:w="1555"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C/（μg/m³）</w:t>
            </w:r>
          </w:p>
        </w:tc>
        <w:tc>
          <w:tcPr>
            <w:tcW w:w="1558" w:type="dxa"/>
            <w:vAlign w:val="center"/>
          </w:tcPr>
          <w:p>
            <w:pPr>
              <w:spacing w:line="240" w:lineRule="auto"/>
              <w:ind w:firstLine="0" w:firstLineChars="0"/>
              <w:jc w:val="center"/>
              <w:rPr>
                <w:rFonts w:cs="Times New Roman"/>
                <w:color w:val="000000" w:themeColor="text1"/>
                <w:sz w:val="21"/>
                <w:szCs w:val="21"/>
                <w:highlight w:val="none"/>
                <w:shd w:val="pct10" w:color="auto" w:fill="FFFFFF"/>
                <w14:textFill>
                  <w14:solidFill>
                    <w14:schemeClr w14:val="tx1"/>
                  </w14:solidFill>
                </w14:textFill>
              </w:rPr>
            </w:pPr>
            <w:r>
              <w:rPr>
                <w:rFonts w:cs="Times New Roman"/>
                <w:color w:val="000000" w:themeColor="text1"/>
                <w:sz w:val="21"/>
                <w:szCs w:val="21"/>
                <w:highlight w:val="none"/>
                <w:shd w:val="pct10" w:color="auto" w:fill="FFFFFF"/>
                <w14:textFill>
                  <w14:solidFill>
                    <w14:schemeClr w14:val="tx1"/>
                  </w14:solidFill>
                </w14:textFill>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7"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下风向最大浓度</w:t>
            </w:r>
          </w:p>
        </w:tc>
        <w:tc>
          <w:tcPr>
            <w:tcW w:w="1555" w:type="dxa"/>
            <w:vAlign w:val="center"/>
          </w:tcPr>
          <w:p>
            <w:pPr>
              <w:spacing w:line="240" w:lineRule="auto"/>
              <w:ind w:firstLine="0" w:firstLine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w:t>
            </w:r>
            <w:r>
              <w:rPr>
                <w:rFonts w:hint="eastAsia" w:cs="Times New Roman"/>
                <w:color w:val="000000" w:themeColor="text1"/>
                <w:sz w:val="21"/>
                <w:szCs w:val="21"/>
                <w:highlight w:val="none"/>
                <w:lang w:val="en-US" w:eastAsia="zh-CN"/>
                <w14:textFill>
                  <w14:solidFill>
                    <w14:schemeClr w14:val="tx1"/>
                  </w14:solidFill>
                </w14:textFill>
              </w:rPr>
              <w:t>3223</w:t>
            </w:r>
          </w:p>
        </w:tc>
        <w:tc>
          <w:tcPr>
            <w:tcW w:w="1555" w:type="dxa"/>
            <w:vAlign w:val="center"/>
          </w:tcPr>
          <w:p>
            <w:pPr>
              <w:spacing w:line="240" w:lineRule="auto"/>
              <w:ind w:firstLine="0" w:firstLine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w:t>
            </w:r>
            <w:r>
              <w:rPr>
                <w:rFonts w:hint="eastAsia" w:cs="Times New Roman"/>
                <w:color w:val="000000" w:themeColor="text1"/>
                <w:sz w:val="21"/>
                <w:szCs w:val="21"/>
                <w:highlight w:val="none"/>
                <w:lang w:val="en-US" w:eastAsia="zh-CN"/>
                <w14:textFill>
                  <w14:solidFill>
                    <w14:schemeClr w14:val="tx1"/>
                  </w14:solidFill>
                </w14:textFill>
              </w:rPr>
              <w:t>645</w:t>
            </w:r>
          </w:p>
        </w:tc>
        <w:tc>
          <w:tcPr>
            <w:tcW w:w="1555" w:type="dxa"/>
            <w:vAlign w:val="center"/>
          </w:tcPr>
          <w:p>
            <w:pPr>
              <w:spacing w:line="240" w:lineRule="auto"/>
              <w:ind w:firstLine="0" w:firstLine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18.645</w:t>
            </w:r>
          </w:p>
        </w:tc>
        <w:tc>
          <w:tcPr>
            <w:tcW w:w="1558" w:type="dxa"/>
            <w:vAlign w:val="center"/>
          </w:tcPr>
          <w:p>
            <w:pPr>
              <w:spacing w:line="240" w:lineRule="auto"/>
              <w:ind w:firstLine="0" w:firstLine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shd w:val="pct10" w:color="auto" w:fill="FFFFFF"/>
                <w:lang w:val="en-US" w:eastAsia="zh-CN"/>
                <w14:textFill>
                  <w14:solidFill>
                    <w14:schemeClr w14:val="tx1"/>
                  </w14:solidFill>
                </w14:textFill>
              </w:rPr>
              <w:t>7.4580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7"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最大浓度出现距离</w:t>
            </w:r>
          </w:p>
        </w:tc>
        <w:tc>
          <w:tcPr>
            <w:tcW w:w="3110" w:type="dxa"/>
            <w:gridSpan w:val="2"/>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225</w:t>
            </w:r>
            <w:r>
              <w:rPr>
                <w:rFonts w:cs="Times New Roman"/>
                <w:color w:val="000000" w:themeColor="text1"/>
                <w:sz w:val="21"/>
                <w:szCs w:val="21"/>
                <w:highlight w:val="none"/>
                <w14:textFill>
                  <w14:solidFill>
                    <w14:schemeClr w14:val="tx1"/>
                  </w14:solidFill>
                </w14:textFill>
              </w:rPr>
              <w:t>m</w:t>
            </w:r>
          </w:p>
        </w:tc>
        <w:tc>
          <w:tcPr>
            <w:tcW w:w="3113" w:type="dxa"/>
            <w:gridSpan w:val="2"/>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225m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7"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距源最远距离D10%</w:t>
            </w:r>
          </w:p>
        </w:tc>
        <w:tc>
          <w:tcPr>
            <w:tcW w:w="6223" w:type="dxa"/>
            <w:gridSpan w:val="4"/>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Pmax＜10%</w:t>
            </w: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评价工作等级按《环境影响评价技术导则 大气环境》（HJ2.2-2018）规定的分级判据进行划分（见表2.6-5），如污染物数i大于1，取P中最大值（Pmax）。</w:t>
      </w:r>
    </w:p>
    <w:p>
      <w:pPr>
        <w:pStyle w:val="201"/>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大气评价工作等级</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554"/>
        <w:gridCol w:w="5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54" w:type="dxa"/>
            <w:vAlign w:val="center"/>
          </w:tcPr>
          <w:p>
            <w:pPr>
              <w:pStyle w:val="29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评价工作等级</w:t>
            </w:r>
          </w:p>
        </w:tc>
        <w:tc>
          <w:tcPr>
            <w:tcW w:w="5668" w:type="dxa"/>
            <w:vAlign w:val="center"/>
          </w:tcPr>
          <w:p>
            <w:pPr>
              <w:pStyle w:val="29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54" w:type="dxa"/>
            <w:vAlign w:val="center"/>
          </w:tcPr>
          <w:p>
            <w:pPr>
              <w:pStyle w:val="2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5668" w:type="dxa"/>
            <w:vAlign w:val="center"/>
          </w:tcPr>
          <w:p>
            <w:pPr>
              <w:pStyle w:val="295"/>
              <w:rPr>
                <w:rFonts w:eastAsia="Times New Roman"/>
                <w:color w:val="000000" w:themeColor="text1"/>
                <w:highlight w:val="none"/>
                <w14:textFill>
                  <w14:solidFill>
                    <w14:schemeClr w14:val="tx1"/>
                  </w14:solidFill>
                </w14:textFill>
              </w:rPr>
            </w:pPr>
            <w:r>
              <w:rPr>
                <w:rFonts w:eastAsia="Times New Roman"/>
                <w:color w:val="000000" w:themeColor="text1"/>
                <w:highlight w:val="none"/>
                <w14:textFill>
                  <w14:solidFill>
                    <w14:schemeClr w14:val="tx1"/>
                  </w14:solidFill>
                </w14:textFill>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54" w:type="dxa"/>
            <w:vAlign w:val="center"/>
          </w:tcPr>
          <w:p>
            <w:pPr>
              <w:pStyle w:val="2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5668" w:type="dxa"/>
            <w:vAlign w:val="center"/>
          </w:tcPr>
          <w:p>
            <w:pPr>
              <w:pStyle w:val="295"/>
              <w:rPr>
                <w:rFonts w:eastAsia="Times New Roman"/>
                <w:color w:val="000000" w:themeColor="text1"/>
                <w:highlight w:val="none"/>
                <w14:textFill>
                  <w14:solidFill>
                    <w14:schemeClr w14:val="tx1"/>
                  </w14:solidFill>
                </w14:textFill>
              </w:rPr>
            </w:pPr>
            <w:r>
              <w:rPr>
                <w:rFonts w:eastAsia="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w:t>
            </w:r>
            <w:r>
              <w:rPr>
                <w:rFonts w:eastAsia="Times New Roman"/>
                <w:color w:val="000000" w:themeColor="text1"/>
                <w:highlight w:val="none"/>
                <w14:textFill>
                  <w14:solidFill>
                    <w14:schemeClr w14:val="tx1"/>
                  </w14:solidFill>
                </w14:textFill>
              </w:rPr>
              <w:t>Pmax</w:t>
            </w:r>
            <w:r>
              <w:rPr>
                <w:color w:val="000000" w:themeColor="text1"/>
                <w:highlight w:val="none"/>
                <w14:textFill>
                  <w14:solidFill>
                    <w14:schemeClr w14:val="tx1"/>
                  </w14:solidFill>
                </w14:textFill>
              </w:rPr>
              <w:t>＜</w:t>
            </w:r>
            <w:r>
              <w:rPr>
                <w:rFonts w:eastAsia="Times New Roman"/>
                <w:color w:val="000000" w:themeColor="text1"/>
                <w:highlight w:val="none"/>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54" w:type="dxa"/>
            <w:vAlign w:val="center"/>
          </w:tcPr>
          <w:p>
            <w:pPr>
              <w:pStyle w:val="2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5668" w:type="dxa"/>
            <w:vAlign w:val="center"/>
          </w:tcPr>
          <w:p>
            <w:pPr>
              <w:pStyle w:val="295"/>
              <w:rPr>
                <w:rFonts w:eastAsia="Times New Roman"/>
                <w:color w:val="000000" w:themeColor="text1"/>
                <w:highlight w:val="none"/>
                <w14:textFill>
                  <w14:solidFill>
                    <w14:schemeClr w14:val="tx1"/>
                  </w14:solidFill>
                </w14:textFill>
              </w:rPr>
            </w:pPr>
            <w:r>
              <w:rPr>
                <w:rFonts w:eastAsia="Times New Roman"/>
                <w:color w:val="000000" w:themeColor="text1"/>
                <w:highlight w:val="none"/>
                <w14:textFill>
                  <w14:solidFill>
                    <w14:schemeClr w14:val="tx1"/>
                  </w14:solidFill>
                </w14:textFill>
              </w:rPr>
              <w:t>P</w:t>
            </w:r>
            <w:r>
              <w:rPr>
                <w:rFonts w:eastAsia="Times New Roman"/>
                <w:color w:val="000000" w:themeColor="text1"/>
                <w:position w:val="-1"/>
                <w:highlight w:val="none"/>
                <w14:textFill>
                  <w14:solidFill>
                    <w14:schemeClr w14:val="tx1"/>
                  </w14:solidFill>
                </w14:textFill>
              </w:rPr>
              <w:t>max</w:t>
            </w:r>
            <w:r>
              <w:rPr>
                <w:color w:val="000000" w:themeColor="text1"/>
                <w:highlight w:val="none"/>
                <w14:textFill>
                  <w14:solidFill>
                    <w14:schemeClr w14:val="tx1"/>
                  </w14:solidFill>
                </w14:textFill>
              </w:rPr>
              <w:t>＜</w:t>
            </w:r>
            <w:r>
              <w:rPr>
                <w:rFonts w:eastAsia="Times New Roman"/>
                <w:color w:val="000000" w:themeColor="text1"/>
                <w:highlight w:val="none"/>
                <w14:textFill>
                  <w14:solidFill>
                    <w14:schemeClr w14:val="tx1"/>
                  </w14:solidFill>
                </w14:textFill>
              </w:rPr>
              <w:t>1%</w:t>
            </w:r>
          </w:p>
        </w:tc>
      </w:tr>
    </w:tbl>
    <w:p>
      <w:pPr>
        <w:tabs>
          <w:tab w:val="left" w:pos="0"/>
        </w:tabs>
        <w:spacing w:before="163" w:beforeLines="50"/>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本项目大气评价等级为</w:t>
      </w:r>
      <w:r>
        <w:rPr>
          <w:rFonts w:hint="eastAsia" w:cs="Times New Roman"/>
          <w:bCs/>
          <w:color w:val="000000" w:themeColor="text1"/>
          <w:szCs w:val="24"/>
          <w:highlight w:val="none"/>
          <w14:textFill>
            <w14:solidFill>
              <w14:schemeClr w14:val="tx1"/>
            </w14:solidFill>
          </w14:textFill>
        </w:rPr>
        <w:t>二</w:t>
      </w:r>
      <w:r>
        <w:rPr>
          <w:rFonts w:cs="Times New Roman"/>
          <w:bCs/>
          <w:color w:val="000000" w:themeColor="text1"/>
          <w:szCs w:val="24"/>
          <w:highlight w:val="none"/>
          <w14:textFill>
            <w14:solidFill>
              <w14:schemeClr w14:val="tx1"/>
            </w14:solidFill>
          </w14:textFill>
        </w:rPr>
        <w:t>级</w:t>
      </w:r>
      <w:r>
        <w:rPr>
          <w:rFonts w:hint="default" w:ascii="Times New Roman" w:hAnsi="Times New Roman" w:cs="Times New Roman"/>
          <w:b/>
          <w:bCs w:val="0"/>
          <w:color w:val="000000" w:themeColor="text1"/>
          <w:szCs w:val="24"/>
          <w:highlight w:val="none"/>
          <w14:textFill>
            <w14:solidFill>
              <w14:schemeClr w14:val="tx1"/>
            </w14:solidFill>
          </w14:textFill>
        </w:rPr>
        <w:t>。</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（2）评价范围</w:t>
      </w:r>
    </w:p>
    <w:p>
      <w:pPr>
        <w:pageBreakBefore w:val="0"/>
        <w:widowControl w:val="0"/>
        <w:tabs>
          <w:tab w:val="left" w:pos="0"/>
        </w:tabs>
        <w:kinsoku/>
        <w:wordWrap/>
        <w:overflowPunct/>
        <w:topLinePunct w:val="0"/>
        <w:autoSpaceDE/>
        <w:autoSpaceDN/>
        <w:bidi w:val="0"/>
        <w:adjustRightInd w:val="0"/>
        <w:snapToGrid w:val="0"/>
        <w:ind w:firstLine="480"/>
        <w:textAlignment w:val="auto"/>
        <w:rPr>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根据《环境影响评价技术导则大气环境》（HJ 2.2-2018），本次大气环境评价范围为以项目边界起，边长为5.0km的矩形区域</w:t>
      </w:r>
      <w:r>
        <w:rPr>
          <w:rFonts w:hint="eastAsia" w:cs="Times New Roman"/>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总评价范围约25km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。本次评价重点关注井场、试采站周边500m范围内的大气环境保护目标</w:t>
      </w:r>
      <w:r>
        <w:rPr>
          <w:rFonts w:hint="default" w:ascii="Times New Roman" w:hAnsi="Times New Roman" w:cs="Times New Roman"/>
          <w:color w:val="000000" w:themeColor="text1"/>
          <w:szCs w:val="24"/>
          <w:highlight w:val="none"/>
          <w14:textFill>
            <w14:solidFill>
              <w14:schemeClr w14:val="tx1"/>
            </w14:solidFill>
          </w14:textFill>
        </w:rPr>
        <w:t>。</w:t>
      </w:r>
    </w:p>
    <w:p>
      <w:pPr>
        <w:pageBreakBefore w:val="0"/>
        <w:widowControl w:val="0"/>
        <w:tabs>
          <w:tab w:val="left" w:pos="0"/>
        </w:tabs>
        <w:kinsoku/>
        <w:wordWrap/>
        <w:overflowPunct/>
        <w:topLinePunct w:val="0"/>
        <w:autoSpaceDE/>
        <w:autoSpaceDN/>
        <w:bidi w:val="0"/>
        <w:adjustRightInd w:val="0"/>
        <w:snapToGrid w:val="0"/>
        <w:ind w:left="0" w:leftChars="0" w:firstLine="0" w:firstLineChars="0"/>
        <w:textAlignment w:val="auto"/>
        <w:rPr>
          <w:rFonts w:hint="eastAsia" w:eastAsia="宋体"/>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89312" behindDoc="0" locked="0" layoutInCell="1" allowOverlap="1">
                <wp:simplePos x="0" y="0"/>
                <wp:positionH relativeFrom="column">
                  <wp:posOffset>3886200</wp:posOffset>
                </wp:positionH>
                <wp:positionV relativeFrom="paragraph">
                  <wp:posOffset>3893185</wp:posOffset>
                </wp:positionV>
                <wp:extent cx="1380490" cy="220345"/>
                <wp:effectExtent l="5080" t="4445" r="11430" b="16510"/>
                <wp:wrapNone/>
                <wp:docPr id="90" name="文本框 4"/>
                <wp:cNvGraphicFramePr/>
                <a:graphic xmlns:a="http://schemas.openxmlformats.org/drawingml/2006/main">
                  <a:graphicData uri="http://schemas.microsoft.com/office/word/2010/wordprocessingShape">
                    <wps:wsp>
                      <wps:cNvSpPr txBox="1"/>
                      <wps:spPr bwMode="auto">
                        <a:xfrm>
                          <a:off x="0" y="0"/>
                          <a:ext cx="1380490" cy="220345"/>
                        </a:xfrm>
                        <a:prstGeom prst="rect">
                          <a:avLst/>
                        </a:prstGeom>
                        <a:solidFill>
                          <a:srgbClr val="FFFFFF"/>
                        </a:solidFill>
                        <a:ln w="9525">
                          <a:solidFill>
                            <a:srgbClr val="000000"/>
                          </a:solidFill>
                          <a:miter lim="800000"/>
                        </a:ln>
                      </wps:spPr>
                      <wps:txbx>
                        <w:txbxContent>
                          <w:p>
                            <w:pPr>
                              <w:jc w:val="right"/>
                              <w:rPr>
                                <w:rFonts w:hint="default" w:eastAsia="宋体"/>
                                <w:sz w:val="15"/>
                                <w:szCs w:val="13"/>
                                <w:lang w:val="en-US" w:eastAsia="zh-CN"/>
                              </w:rPr>
                            </w:pPr>
                            <w:r>
                              <w:rPr>
                                <w:rFonts w:hint="eastAsia"/>
                                <w:sz w:val="15"/>
                                <w:szCs w:val="13"/>
                                <w:lang w:val="en-US" w:eastAsia="zh-CN"/>
                              </w:rPr>
                              <w:t>大气评价范围界限</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4" o:spid="_x0000_s1026" o:spt="202" type="#_x0000_t202" style="position:absolute;left:0pt;margin-left:306pt;margin-top:306.55pt;height:17.35pt;width:108.7pt;z-index:251789312;mso-width-relative:page;mso-height-relative:page;" fillcolor="#FFFFFF" filled="t" stroked="t" coordsize="21600,21600" o:gfxdata="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NpGo+HaAAAACwEAAA8AAAAAAAAAAQAgAAAAIgAAAGRycy9kb3du&#10;cmV2LnhtbFBLAQIUABQAAAAIAIdO4kDLPJ8QbwIAAOoEAAAOAAAAAAAAAAEAIAAAACkBAABkcnMv&#10;ZTJvRG9jLnhtbFBLBQYAAAAABgAGAFkBAAAKBgAAAAA=&#10;">
                <v:fill on="t" focussize="0,0"/>
                <v:stroke color="#000000" miterlimit="8" joinstyle="miter"/>
                <v:imagedata o:title=""/>
                <o:lock v:ext="edit" aspectratio="f"/>
                <v:textbox>
                  <w:txbxContent>
                    <w:p>
                      <w:pPr>
                        <w:jc w:val="right"/>
                        <w:rPr>
                          <w:rFonts w:hint="default" w:eastAsia="宋体"/>
                          <w:sz w:val="15"/>
                          <w:szCs w:val="13"/>
                          <w:lang w:val="en-US" w:eastAsia="zh-CN"/>
                        </w:rPr>
                      </w:pPr>
                      <w:r>
                        <w:rPr>
                          <w:rFonts w:hint="eastAsia"/>
                          <w:sz w:val="15"/>
                          <w:szCs w:val="13"/>
                          <w:lang w:val="en-US" w:eastAsia="zh-CN"/>
                        </w:rPr>
                        <w:t>大气评价范围界限</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90336" behindDoc="0" locked="0" layoutInCell="1" allowOverlap="1">
                <wp:simplePos x="0" y="0"/>
                <wp:positionH relativeFrom="column">
                  <wp:posOffset>3964305</wp:posOffset>
                </wp:positionH>
                <wp:positionV relativeFrom="paragraph">
                  <wp:posOffset>3937635</wp:posOffset>
                </wp:positionV>
                <wp:extent cx="274955" cy="146050"/>
                <wp:effectExtent l="6350" t="6350" r="10795" b="12700"/>
                <wp:wrapNone/>
                <wp:docPr id="91" name="矩形 91"/>
                <wp:cNvGraphicFramePr/>
                <a:graphic xmlns:a="http://schemas.openxmlformats.org/drawingml/2006/main">
                  <a:graphicData uri="http://schemas.microsoft.com/office/word/2010/wordprocessingShape">
                    <wps:wsp>
                      <wps:cNvSpPr/>
                      <wps:spPr>
                        <a:xfrm>
                          <a:off x="1250950" y="7128510"/>
                          <a:ext cx="274955" cy="146050"/>
                        </a:xfrm>
                        <a:prstGeom prst="rect">
                          <a:avLst/>
                        </a:prstGeom>
                        <a:noFill/>
                        <a:ln>
                          <a:solidFill>
                            <a:srgbClr val="1D41D5"/>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2.15pt;margin-top:310.05pt;height:11.5pt;width:21.65pt;z-index:251790336;v-text-anchor:middle;mso-width-relative:page;mso-height-relative:page;" filled="f" stroked="t" coordsize="21600,21600" o:gfxdata="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68Iyk1QAAAAsBAAAPAAAAAAAAAAEAIAAAACIAAABkcnMv&#10;ZG93bnJldi54bWxQSwECFAAUAAAACACHTuJANBZm+HgCAADYBAAADgAAAAAAAAABACAAAAAkAQAA&#10;ZHJzL2Uyb0RvYy54bWxQSwUGAAAAAAYABgBZAQAADgYAAAAA&#10;">
                <v:fill on="f" focussize="0,0"/>
                <v:stroke weight="1pt" color="#1D41D5 [2404]" miterlimit="8" joinstyle="miter"/>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8288" behindDoc="0" locked="0" layoutInCell="1" allowOverlap="1">
                <wp:simplePos x="0" y="0"/>
                <wp:positionH relativeFrom="column">
                  <wp:posOffset>1454150</wp:posOffset>
                </wp:positionH>
                <wp:positionV relativeFrom="paragraph">
                  <wp:posOffset>1696085</wp:posOffset>
                </wp:positionV>
                <wp:extent cx="590550" cy="26035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590550" cy="26035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eastAsia="宋体"/>
                                <w:b/>
                                <w:bCs/>
                                <w:color w:val="FFFFFF" w:themeColor="background1"/>
                                <w:sz w:val="18"/>
                                <w:szCs w:val="16"/>
                                <w:lang w:val="en-US" w:eastAsia="zh-CN"/>
                                <w14:textFill>
                                  <w14:solidFill>
                                    <w14:schemeClr w14:val="bg1"/>
                                  </w14:solidFill>
                                </w14:textFill>
                              </w:rPr>
                            </w:pPr>
                            <w:r>
                              <w:rPr>
                                <w:rFonts w:hint="eastAsia"/>
                                <w:b/>
                                <w:bCs/>
                                <w:color w:val="FFFFFF" w:themeColor="background1"/>
                                <w:sz w:val="18"/>
                                <w:szCs w:val="16"/>
                                <w:lang w:val="en-US" w:eastAsia="zh-CN"/>
                                <w14:textFill>
                                  <w14:solidFill>
                                    <w14:schemeClr w14:val="bg1"/>
                                  </w14:solidFill>
                                </w14:textFill>
                              </w:rPr>
                              <w:t>2.5km</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4.5pt;margin-top:133.55pt;height:20.5pt;width:46.5pt;z-index:251788288;mso-width-relative:page;mso-height-relative:page;" filled="f" stroked="f" coordsize="21600,21600" o:gfxdata="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sQOas1wAAAAsBAAAPAAAAAAAA&#10;AAEAIAAAACIAAABkcnMvZG93bnJldi54bWxQSwECFAAUAAAACACHTuJAzdd2fkwCAACKBAAADgAA&#10;AAAAAAABACAAAAAmAQAAZHJzL2Uyb0RvYy54bWxQSwUGAAAAAAYABgBZAQAA5AU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eastAsia="宋体"/>
                          <w:b/>
                          <w:bCs/>
                          <w:color w:val="FFFFFF" w:themeColor="background1"/>
                          <w:sz w:val="18"/>
                          <w:szCs w:val="16"/>
                          <w:lang w:val="en-US" w:eastAsia="zh-CN"/>
                          <w14:textFill>
                            <w14:solidFill>
                              <w14:schemeClr w14:val="bg1"/>
                            </w14:solidFill>
                          </w14:textFill>
                        </w:rPr>
                      </w:pPr>
                      <w:r>
                        <w:rPr>
                          <w:rFonts w:hint="eastAsia"/>
                          <w:b/>
                          <w:bCs/>
                          <w:color w:val="FFFFFF" w:themeColor="background1"/>
                          <w:sz w:val="18"/>
                          <w:szCs w:val="16"/>
                          <w:lang w:val="en-US" w:eastAsia="zh-CN"/>
                          <w14:textFill>
                            <w14:solidFill>
                              <w14:schemeClr w14:val="bg1"/>
                            </w14:solidFill>
                          </w14:textFill>
                        </w:rPr>
                        <w:t>2.5km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7264" behindDoc="0" locked="0" layoutInCell="1" allowOverlap="1">
                <wp:simplePos x="0" y="0"/>
                <wp:positionH relativeFrom="column">
                  <wp:posOffset>2004695</wp:posOffset>
                </wp:positionH>
                <wp:positionV relativeFrom="paragraph">
                  <wp:posOffset>2790190</wp:posOffset>
                </wp:positionV>
                <wp:extent cx="590550" cy="26035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590550" cy="26035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eastAsia="宋体"/>
                                <w:b/>
                                <w:bCs/>
                                <w:color w:val="FFFFFF" w:themeColor="background1"/>
                                <w:sz w:val="18"/>
                                <w:szCs w:val="16"/>
                                <w:lang w:val="en-US" w:eastAsia="zh-CN"/>
                                <w14:textFill>
                                  <w14:solidFill>
                                    <w14:schemeClr w14:val="bg1"/>
                                  </w14:solidFill>
                                </w14:textFill>
                              </w:rPr>
                            </w:pPr>
                            <w:r>
                              <w:rPr>
                                <w:rFonts w:hint="eastAsia"/>
                                <w:b/>
                                <w:bCs/>
                                <w:color w:val="FFFFFF" w:themeColor="background1"/>
                                <w:sz w:val="18"/>
                                <w:szCs w:val="16"/>
                                <w:lang w:val="en-US" w:eastAsia="zh-CN"/>
                                <w14:textFill>
                                  <w14:solidFill>
                                    <w14:schemeClr w14:val="bg1"/>
                                  </w14:solidFill>
                                </w14:textFill>
                              </w:rPr>
                              <w:t>2.5km</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57.85pt;margin-top:219.7pt;height:20.5pt;width:46.5pt;z-index:251787264;mso-width-relative:page;mso-height-relative:page;" filled="f" stroked="f" coordsize="21600,21600" o:gfxdata="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ivv6XXAAAACwEAAA8AAAAAAAAA&#10;AQAgAAAAIgAAAGRycy9kb3ducmV2LnhtbFBLAQIUABQAAAAIAIdO4kDF7M4XSwIAAIoEAAAOAAAA&#10;AAAAAAEAIAAAACYBAABkcnMvZTJvRG9jLnhtbFBLBQYAAAAABgAGAFkBAADjBQ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eastAsia="宋体"/>
                          <w:b/>
                          <w:bCs/>
                          <w:color w:val="FFFFFF" w:themeColor="background1"/>
                          <w:sz w:val="18"/>
                          <w:szCs w:val="16"/>
                          <w:lang w:val="en-US" w:eastAsia="zh-CN"/>
                          <w14:textFill>
                            <w14:solidFill>
                              <w14:schemeClr w14:val="bg1"/>
                            </w14:solidFill>
                          </w14:textFill>
                        </w:rPr>
                      </w:pPr>
                      <w:r>
                        <w:rPr>
                          <w:rFonts w:hint="eastAsia"/>
                          <w:b/>
                          <w:bCs/>
                          <w:color w:val="FFFFFF" w:themeColor="background1"/>
                          <w:sz w:val="18"/>
                          <w:szCs w:val="16"/>
                          <w:lang w:val="en-US" w:eastAsia="zh-CN"/>
                          <w14:textFill>
                            <w14:solidFill>
                              <w14:schemeClr w14:val="bg1"/>
                            </w14:solidFill>
                          </w14:textFill>
                        </w:rPr>
                        <w:t>2.5km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6240" behindDoc="0" locked="0" layoutInCell="1" allowOverlap="1">
                <wp:simplePos x="0" y="0"/>
                <wp:positionH relativeFrom="column">
                  <wp:posOffset>2517775</wp:posOffset>
                </wp:positionH>
                <wp:positionV relativeFrom="paragraph">
                  <wp:posOffset>1015365</wp:posOffset>
                </wp:positionV>
                <wp:extent cx="590550" cy="26035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590550" cy="26035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eastAsia="宋体"/>
                                <w:b/>
                                <w:bCs/>
                                <w:color w:val="FFFFFF" w:themeColor="background1"/>
                                <w:sz w:val="18"/>
                                <w:szCs w:val="16"/>
                                <w:lang w:val="en-US" w:eastAsia="zh-CN"/>
                                <w14:textFill>
                                  <w14:solidFill>
                                    <w14:schemeClr w14:val="bg1"/>
                                  </w14:solidFill>
                                </w14:textFill>
                              </w:rPr>
                            </w:pPr>
                            <w:r>
                              <w:rPr>
                                <w:rFonts w:hint="eastAsia"/>
                                <w:b/>
                                <w:bCs/>
                                <w:color w:val="FFFFFF" w:themeColor="background1"/>
                                <w:sz w:val="18"/>
                                <w:szCs w:val="16"/>
                                <w:lang w:val="en-US" w:eastAsia="zh-CN"/>
                                <w14:textFill>
                                  <w14:solidFill>
                                    <w14:schemeClr w14:val="bg1"/>
                                  </w14:solidFill>
                                </w14:textFill>
                              </w:rPr>
                              <w:t>2.5km</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98.25pt;margin-top:79.95pt;height:20.5pt;width:46.5pt;z-index:251786240;mso-width-relative:page;mso-height-relative:page;" filled="f" stroked="f" coordsize="21600,21600" o:gfxdata="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cZ7N7WAAAACwEAAA8AAAAAAAAA&#10;AQAgAAAAIgAAAGRycy9kb3ducmV2LnhtbFBLAQIUABQAAAAIAIdO4kB+n7QrTAIAAIoEAAAOAAAA&#10;AAAAAAEAIAAAACUBAABkcnMvZTJvRG9jLnhtbFBLBQYAAAAABgAGAFkBAADjBQ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eastAsia="宋体"/>
                          <w:b/>
                          <w:bCs/>
                          <w:color w:val="FFFFFF" w:themeColor="background1"/>
                          <w:sz w:val="18"/>
                          <w:szCs w:val="16"/>
                          <w:lang w:val="en-US" w:eastAsia="zh-CN"/>
                          <w14:textFill>
                            <w14:solidFill>
                              <w14:schemeClr w14:val="bg1"/>
                            </w14:solidFill>
                          </w14:textFill>
                        </w:rPr>
                      </w:pPr>
                      <w:r>
                        <w:rPr>
                          <w:rFonts w:hint="eastAsia"/>
                          <w:b/>
                          <w:bCs/>
                          <w:color w:val="FFFFFF" w:themeColor="background1"/>
                          <w:sz w:val="18"/>
                          <w:szCs w:val="16"/>
                          <w:lang w:val="en-US" w:eastAsia="zh-CN"/>
                          <w14:textFill>
                            <w14:solidFill>
                              <w14:schemeClr w14:val="bg1"/>
                            </w14:solidFill>
                          </w14:textFill>
                        </w:rPr>
                        <w:t>2.5km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5216" behindDoc="0" locked="0" layoutInCell="1" allowOverlap="1">
                <wp:simplePos x="0" y="0"/>
                <wp:positionH relativeFrom="column">
                  <wp:posOffset>3328670</wp:posOffset>
                </wp:positionH>
                <wp:positionV relativeFrom="paragraph">
                  <wp:posOffset>1711325</wp:posOffset>
                </wp:positionV>
                <wp:extent cx="590550" cy="26035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590550" cy="26035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eastAsia="宋体"/>
                                <w:b/>
                                <w:bCs/>
                                <w:color w:val="FFFFFF" w:themeColor="background1"/>
                                <w:sz w:val="18"/>
                                <w:szCs w:val="16"/>
                                <w:lang w:val="en-US" w:eastAsia="zh-CN"/>
                                <w14:textFill>
                                  <w14:solidFill>
                                    <w14:schemeClr w14:val="bg1"/>
                                  </w14:solidFill>
                                </w14:textFill>
                              </w:rPr>
                            </w:pPr>
                            <w:r>
                              <w:rPr>
                                <w:rFonts w:hint="eastAsia"/>
                                <w:b/>
                                <w:bCs/>
                                <w:color w:val="FFFFFF" w:themeColor="background1"/>
                                <w:sz w:val="18"/>
                                <w:szCs w:val="16"/>
                                <w:lang w:val="en-US" w:eastAsia="zh-CN"/>
                                <w14:textFill>
                                  <w14:solidFill>
                                    <w14:schemeClr w14:val="bg1"/>
                                  </w14:solidFill>
                                </w14:textFill>
                              </w:rPr>
                              <w:t>2.5km</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62.1pt;margin-top:134.75pt;height:20.5pt;width:46.5pt;z-index:251785216;mso-width-relative:page;mso-height-relative:page;" filled="f" stroked="f" coordsize="21600,21600" o:gfxdata="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ABqJTNgAAAALAQAADwAAAAAA&#10;AAABACAAAAAiAAAAZHJzL2Rvd25yZXYueG1sUEsBAhQAFAAAAAgAh07iQHakDEJMAgAAigQAAA4A&#10;AAAAAAAAAQAgAAAAJwEAAGRycy9lMm9Eb2MueG1sUEsFBgAAAAAGAAYAWQEAAOUFA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eastAsia="宋体"/>
                          <w:b/>
                          <w:bCs/>
                          <w:color w:val="FFFFFF" w:themeColor="background1"/>
                          <w:sz w:val="18"/>
                          <w:szCs w:val="16"/>
                          <w:lang w:val="en-US" w:eastAsia="zh-CN"/>
                          <w14:textFill>
                            <w14:solidFill>
                              <w14:schemeClr w14:val="bg1"/>
                            </w14:solidFill>
                          </w14:textFill>
                        </w:rPr>
                      </w:pPr>
                      <w:r>
                        <w:rPr>
                          <w:rFonts w:hint="eastAsia"/>
                          <w:b/>
                          <w:bCs/>
                          <w:color w:val="FFFFFF" w:themeColor="background1"/>
                          <w:sz w:val="18"/>
                          <w:szCs w:val="16"/>
                          <w:lang w:val="en-US" w:eastAsia="zh-CN"/>
                          <w14:textFill>
                            <w14:solidFill>
                              <w14:schemeClr w14:val="bg1"/>
                            </w14:solidFill>
                          </w14:textFill>
                        </w:rPr>
                        <w:t>2.5km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4192" behindDoc="0" locked="0" layoutInCell="1" allowOverlap="1">
                <wp:simplePos x="0" y="0"/>
                <wp:positionH relativeFrom="column">
                  <wp:posOffset>727710</wp:posOffset>
                </wp:positionH>
                <wp:positionV relativeFrom="paragraph">
                  <wp:posOffset>1986915</wp:posOffset>
                </wp:positionV>
                <wp:extent cx="1812925" cy="0"/>
                <wp:effectExtent l="0" t="50800" r="3175" b="50800"/>
                <wp:wrapNone/>
                <wp:docPr id="80" name="直接箭头连接符 80"/>
                <wp:cNvGraphicFramePr/>
                <a:graphic xmlns:a="http://schemas.openxmlformats.org/drawingml/2006/main">
                  <a:graphicData uri="http://schemas.microsoft.com/office/word/2010/wordprocessingShape">
                    <wps:wsp>
                      <wps:cNvCnPr/>
                      <wps:spPr>
                        <a:xfrm>
                          <a:off x="0" y="0"/>
                          <a:ext cx="1812925" cy="0"/>
                        </a:xfrm>
                        <a:prstGeom prst="straightConnector1">
                          <a:avLst/>
                        </a:prstGeom>
                        <a:ln>
                          <a:solidFill>
                            <a:schemeClr val="bg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57.3pt;margin-top:156.45pt;height:0pt;width:142.75pt;z-index:251784192;mso-width-relative:page;mso-height-relative:page;" filled="f" stroked="t" coordsize="21600,21600" o:gfxdata="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JuQTg1wAAAAsBAAAPAAAAAAAAAAEAIAAAACIA&#10;AABkcnMvZG93bnJldi54bWxQSwECFAAUAAAACACHTuJAOVFU7QoCAAD6AwAADgAAAAAAAAABACAA&#10;AAAmAQAAZHJzL2Uyb0RvYy54bWxQSwUGAAAAAAYABgBZAQAAogUAAAAA&#10;">
                <v:fill on="f" focussize="0,0"/>
                <v:stroke weight="1pt" color="#FFFFFF [3212]" miterlimit="8" joinstyle="miter" startarrow="open"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3168" behindDoc="0" locked="0" layoutInCell="1" allowOverlap="1">
                <wp:simplePos x="0" y="0"/>
                <wp:positionH relativeFrom="column">
                  <wp:posOffset>2571115</wp:posOffset>
                </wp:positionH>
                <wp:positionV relativeFrom="paragraph">
                  <wp:posOffset>2047875</wp:posOffset>
                </wp:positionV>
                <wp:extent cx="0" cy="1805940"/>
                <wp:effectExtent l="50800" t="0" r="50800" b="10160"/>
                <wp:wrapNone/>
                <wp:docPr id="78" name="直接箭头连接符 78"/>
                <wp:cNvGraphicFramePr/>
                <a:graphic xmlns:a="http://schemas.openxmlformats.org/drawingml/2006/main">
                  <a:graphicData uri="http://schemas.microsoft.com/office/word/2010/wordprocessingShape">
                    <wps:wsp>
                      <wps:cNvCnPr/>
                      <wps:spPr>
                        <a:xfrm>
                          <a:off x="0" y="0"/>
                          <a:ext cx="0" cy="1805940"/>
                        </a:xfrm>
                        <a:prstGeom prst="straightConnector1">
                          <a:avLst/>
                        </a:prstGeom>
                        <a:ln>
                          <a:solidFill>
                            <a:schemeClr val="bg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02.45pt;margin-top:161.25pt;height:142.2pt;width:0pt;z-index:251783168;mso-width-relative:page;mso-height-relative:page;" filled="f" stroked="t" coordsize="21600,21600" o:gfxdata="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8qrE/YAAAACwEAAA8AAAAAAAAAAQAgAAAA&#10;IgAAAGRycy9kb3ducmV2LnhtbFBLAQIUABQAAAAIAIdO4kCDjXPGCwIAAPoDAAAOAAAAAAAAAAEA&#10;IAAAACcBAABkcnMvZTJvRG9jLnhtbFBLBQYAAAAABgAGAFkBAACkBQAAAAA=&#10;">
                <v:fill on="f" focussize="0,0"/>
                <v:stroke weight="1pt" color="#FFFFFF [3212]" miterlimit="8" joinstyle="miter" startarrow="open"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2548255</wp:posOffset>
                </wp:positionH>
                <wp:positionV relativeFrom="paragraph">
                  <wp:posOffset>135255</wp:posOffset>
                </wp:positionV>
                <wp:extent cx="0" cy="1805940"/>
                <wp:effectExtent l="50800" t="0" r="50800" b="10160"/>
                <wp:wrapNone/>
                <wp:docPr id="38" name="直接箭头连接符 38"/>
                <wp:cNvGraphicFramePr/>
                <a:graphic xmlns:a="http://schemas.openxmlformats.org/drawingml/2006/main">
                  <a:graphicData uri="http://schemas.microsoft.com/office/word/2010/wordprocessingShape">
                    <wps:wsp>
                      <wps:cNvCnPr/>
                      <wps:spPr>
                        <a:xfrm>
                          <a:off x="0" y="0"/>
                          <a:ext cx="0" cy="1805940"/>
                        </a:xfrm>
                        <a:prstGeom prst="straightConnector1">
                          <a:avLst/>
                        </a:prstGeom>
                        <a:ln>
                          <a:solidFill>
                            <a:schemeClr val="bg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00.65pt;margin-top:10.65pt;height:142.2pt;width:0pt;z-index:251782144;mso-width-relative:page;mso-height-relative:page;" filled="f" stroked="t" coordsize="21600,21600" o:gfxdata="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4juHXYAAAACgEAAA8AAAAAAAAAAQAgAAAA&#10;IgAAAGRycy9kb3ducmV2LnhtbFBLAQIUABQAAAAIAIdO4kDRX8qrCwIAAPoDAAAOAAAAAAAAAAEA&#10;IAAAACcBAABkcnMvZTJvRG9jLnhtbFBLBQYAAAAABgAGAFkBAACkBQAAAAA=&#10;">
                <v:fill on="f" focussize="0,0"/>
                <v:stroke weight="1pt" color="#FFFFFF [3212]" miterlimit="8" joinstyle="miter" startarrow="open"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1120" behindDoc="0" locked="0" layoutInCell="1" allowOverlap="1">
                <wp:simplePos x="0" y="0"/>
                <wp:positionH relativeFrom="column">
                  <wp:posOffset>2670810</wp:posOffset>
                </wp:positionH>
                <wp:positionV relativeFrom="paragraph">
                  <wp:posOffset>1971675</wp:posOffset>
                </wp:positionV>
                <wp:extent cx="1873885" cy="0"/>
                <wp:effectExtent l="0" t="50800" r="5715" b="50800"/>
                <wp:wrapNone/>
                <wp:docPr id="37" name="直接箭头连接符 37"/>
                <wp:cNvGraphicFramePr/>
                <a:graphic xmlns:a="http://schemas.openxmlformats.org/drawingml/2006/main">
                  <a:graphicData uri="http://schemas.microsoft.com/office/word/2010/wordprocessingShape">
                    <wps:wsp>
                      <wps:cNvCnPr/>
                      <wps:spPr>
                        <a:xfrm>
                          <a:off x="3813810" y="5368290"/>
                          <a:ext cx="1873885" cy="0"/>
                        </a:xfrm>
                        <a:prstGeom prst="straightConnector1">
                          <a:avLst/>
                        </a:prstGeom>
                        <a:ln>
                          <a:solidFill>
                            <a:schemeClr val="bg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10.3pt;margin-top:155.25pt;height:0pt;width:147.55pt;z-index:251781120;mso-width-relative:page;mso-height-relative:page;" filled="f" stroked="t" coordsize="21600,21600" o:gfxdata="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sx50HYAAAACwEA&#10;AA8AAAAAAAAAAQAgAAAAIgAAAGRycy9kb3ducmV2LnhtbFBLAQIUABQAAAAIAIdO4kBPaFlTGgIA&#10;AAYEAAAOAAAAAAAAAAEAIAAAACcBAABkcnMvZTJvRG9jLnhtbFBLBQYAAAAABgAGAFkBAACzBQAA&#10;AAA=&#10;">
                <v:fill on="f" focussize="0,0"/>
                <v:stroke weight="1pt" color="#FFFFFF [3212]" miterlimit="8" joinstyle="miter" startarrow="open"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80096" behindDoc="0" locked="0" layoutInCell="1" allowOverlap="1">
                <wp:simplePos x="0" y="0"/>
                <wp:positionH relativeFrom="column">
                  <wp:posOffset>2792730</wp:posOffset>
                </wp:positionH>
                <wp:positionV relativeFrom="paragraph">
                  <wp:posOffset>2300605</wp:posOffset>
                </wp:positionV>
                <wp:extent cx="995045" cy="260350"/>
                <wp:effectExtent l="4445" t="4445" r="16510" b="14605"/>
                <wp:wrapNone/>
                <wp:docPr id="36" name="文本框 36"/>
                <wp:cNvGraphicFramePr/>
                <a:graphic xmlns:a="http://schemas.openxmlformats.org/drawingml/2006/main">
                  <a:graphicData uri="http://schemas.microsoft.com/office/word/2010/wordprocessingShape">
                    <wps:wsp>
                      <wps:cNvSpPr txBox="1"/>
                      <wps:spPr>
                        <a:xfrm>
                          <a:off x="3935730" y="5697220"/>
                          <a:ext cx="995045" cy="260350"/>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eastAsia="宋体"/>
                                <w:sz w:val="18"/>
                                <w:szCs w:val="16"/>
                                <w:lang w:val="en-US" w:eastAsia="zh-CN"/>
                              </w:rPr>
                            </w:pPr>
                            <w:r>
                              <w:rPr>
                                <w:rFonts w:hint="eastAsia"/>
                                <w:sz w:val="18"/>
                                <w:szCs w:val="16"/>
                                <w:lang w:val="en-US" w:eastAsia="zh-CN"/>
                              </w:rPr>
                              <w:t>本项目井场位置</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19.9pt;margin-top:181.15pt;height:20.5pt;width:78.35pt;z-index:251780096;mso-width-relative:page;mso-height-relative:page;" fillcolor="#FFFFFF" filled="t" stroked="t" coordsize="21600,21600" o:gfxdata="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Sdcw8NoAAAALAQAADwAAAAAAAAABACAAAAAiAAAA&#10;ZHJzL2Rvd25yZXYueG1sUEsBAhQAFAAAAAgAh07iQB7+xBx3AgAA6AQAAA4AAAAAAAAAAQAgAAAA&#10;KQEAAGRycy9lMm9Eb2MueG1sUEsFBgAAAAAGAAYAWQEAABIGA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eastAsia="宋体"/>
                          <w:sz w:val="18"/>
                          <w:szCs w:val="16"/>
                          <w:lang w:val="en-US" w:eastAsia="zh-CN"/>
                        </w:rPr>
                      </w:pPr>
                      <w:r>
                        <w:rPr>
                          <w:rFonts w:hint="eastAsia"/>
                          <w:sz w:val="18"/>
                          <w:szCs w:val="16"/>
                          <w:lang w:val="en-US" w:eastAsia="zh-CN"/>
                        </w:rPr>
                        <w:t>本项目井场位置</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79072" behindDoc="0" locked="0" layoutInCell="1" allowOverlap="1">
                <wp:simplePos x="0" y="0"/>
                <wp:positionH relativeFrom="column">
                  <wp:posOffset>2663190</wp:posOffset>
                </wp:positionH>
                <wp:positionV relativeFrom="paragraph">
                  <wp:posOffset>2025015</wp:posOffset>
                </wp:positionV>
                <wp:extent cx="229235" cy="214630"/>
                <wp:effectExtent l="0" t="0" r="12065" b="13970"/>
                <wp:wrapNone/>
                <wp:docPr id="33" name="直接箭头连接符 33"/>
                <wp:cNvGraphicFramePr/>
                <a:graphic xmlns:a="http://schemas.openxmlformats.org/drawingml/2006/main">
                  <a:graphicData uri="http://schemas.microsoft.com/office/word/2010/wordprocessingShape">
                    <wps:wsp>
                      <wps:cNvCnPr/>
                      <wps:spPr>
                        <a:xfrm flipH="1" flipV="1">
                          <a:off x="3806190" y="5421630"/>
                          <a:ext cx="229235" cy="214630"/>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09.7pt;margin-top:159.45pt;height:16.9pt;width:18.05pt;z-index:251779072;mso-width-relative:page;mso-height-relative:page;" filled="f" stroked="t" coordsize="21600,21600" o:gfxdata="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j&#10;dqOq2QAAAAsBAAAPAAAAAAAAAAEAIAAAACIAAABkcnMvZG93bnJldi54bWxQSwECFAAUAAAACACH&#10;TuJAXK4MKyMCAAAFBAAADgAAAAAAAAABACAAAAAoAQAAZHJzL2Uyb0RvYy54bWxQSwUGAAAAAAYA&#10;BgBZAQAAvQUAAAAA&#10;">
                <v:fill on="f" focussize="0,0"/>
                <v:stroke weight="1pt" color="#FFFFFF [3212]" miterlimit="8" joinstyle="miter" endarrow="open"/>
                <v:imagedata o:title=""/>
                <o:lock v:ext="edit" aspectratio="f"/>
              </v:shape>
            </w:pict>
          </mc:Fallback>
        </mc:AlternateContent>
      </w:r>
      <w:r>
        <w:rPr>
          <w:rFonts w:hint="eastAsia" w:eastAsia="宋体"/>
          <w:color w:val="000000" w:themeColor="text1"/>
          <w:highlight w:val="none"/>
          <w:lang w:eastAsia="zh-CN"/>
          <w14:textFill>
            <w14:solidFill>
              <w14:schemeClr w14:val="tx1"/>
            </w14:solidFill>
          </w14:textFill>
        </w:rPr>
        <w:drawing>
          <wp:inline distT="0" distB="0" distL="114300" distR="114300">
            <wp:extent cx="5266690" cy="4123690"/>
            <wp:effectExtent l="0" t="0" r="3810" b="3810"/>
            <wp:docPr id="28" name="图片 28" descr="1713760588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13760588131"/>
                    <pic:cNvPicPr>
                      <a:picLocks noChangeAspect="1"/>
                    </pic:cNvPicPr>
                  </pic:nvPicPr>
                  <pic:blipFill>
                    <a:blip r:embed="rId18"/>
                    <a:stretch>
                      <a:fillRect/>
                    </a:stretch>
                  </pic:blipFill>
                  <pic:spPr>
                    <a:xfrm>
                      <a:off x="0" y="0"/>
                      <a:ext cx="5266690" cy="4123690"/>
                    </a:xfrm>
                    <a:prstGeom prst="rect">
                      <a:avLst/>
                    </a:prstGeom>
                  </pic:spPr>
                </pic:pic>
              </a:graphicData>
            </a:graphic>
          </wp:inline>
        </w:drawing>
      </w:r>
    </w:p>
    <w:p>
      <w:pPr>
        <w:pStyle w:val="21"/>
        <w:tabs>
          <w:tab w:val="left" w:pos="3864"/>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图2.6-</w:t>
      </w:r>
      <w:r>
        <w:rPr>
          <w:rFonts w:hint="eastAsia" w:ascii="Times New Roman" w:hAnsi="Times New Roman" w:eastAsia="黑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 xml:space="preserve">  </w:t>
      </w:r>
      <w:r>
        <w:rPr>
          <w:rFonts w:hint="eastAsia" w:ascii="Times New Roman" w:hAnsi="Times New Roman" w:eastAsia="黑体" w:cs="Times New Roman"/>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项目</w:t>
      </w:r>
      <w:r>
        <w:rPr>
          <w:rFonts w:hint="eastAsia" w:ascii="Times New Roman" w:hAnsi="Times New Roman" w:eastAsia="黑体" w:cs="Times New Roman"/>
          <w:color w:val="000000" w:themeColor="text1"/>
          <w:sz w:val="21"/>
          <w:szCs w:val="21"/>
          <w:highlight w:val="none"/>
          <w:lang w:val="en-US" w:eastAsia="zh-CN"/>
          <w14:textFill>
            <w14:solidFill>
              <w14:schemeClr w14:val="tx1"/>
            </w14:solidFill>
          </w14:textFill>
        </w:rPr>
        <w:t>大气</w:t>
      </w: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环境评价范围图</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58" w:name="_Toc120173073"/>
      <w:r>
        <w:rPr>
          <w:rFonts w:hint="default" w:ascii="Times New Roman" w:hAnsi="Times New Roman" w:cs="Times New Roman"/>
          <w:color w:val="000000" w:themeColor="text1"/>
          <w:highlight w:val="none"/>
          <w:lang w:eastAsia="zh-CN"/>
          <w14:textFill>
            <w14:solidFill>
              <w14:schemeClr w14:val="tx1"/>
            </w14:solidFill>
          </w14:textFill>
        </w:rPr>
        <w:t>声环境</w:t>
      </w:r>
      <w:bookmarkEnd w:id="58"/>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（1）评价工作等级</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根据《环境影响评价技术导则 声环境》（HJ2.4-2021）规定，声环境评价等级的划分依据建设项目所在区域的声环境功能区类别，建设项目建设前后所在区域的声环境质量变化程度，受建设项目影响人口的数量。本项目位于《声环境质量标准》（GB3096-2008）2类区域，平台周边200m范围内无居民分布，试采期试采站内设备噪声小，项目建设前后噪声级增加较小，且受影响人口变化不大。</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因此，参照《环境影响评价技术导则 声环境》（HJ2.4-2021）第5条的规定，本工程的声环境影响评价工作等级定为二级。</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cs="Times New Roman"/>
          <w:color w:val="000000" w:themeColor="text1"/>
          <w:highlight w:val="none"/>
          <w:lang w:val="en-US" w:eastAsia="zh-CN"/>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t xml:space="preserve">  声环境评价等级判别表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2835"/>
        <w:gridCol w:w="1559"/>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划分依据</w:t>
            </w:r>
          </w:p>
        </w:tc>
        <w:tc>
          <w:tcPr>
            <w:tcW w:w="2835"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项目情况</w:t>
            </w:r>
          </w:p>
        </w:tc>
        <w:tc>
          <w:tcPr>
            <w:tcW w:w="155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影响识别</w:t>
            </w:r>
          </w:p>
        </w:tc>
        <w:tc>
          <w:tcPr>
            <w:tcW w:w="1178"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评级等级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区域声环境功能区类别</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农村地区</w:t>
            </w:r>
          </w:p>
        </w:tc>
        <w:tc>
          <w:tcPr>
            <w:tcW w:w="155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2类地区</w:t>
            </w:r>
          </w:p>
        </w:tc>
        <w:tc>
          <w:tcPr>
            <w:tcW w:w="1178"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本项目建设前后所在区域的声环境质量变化程度</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厂界噪声达标，区域声环境质量变化程度小</w:t>
            </w:r>
          </w:p>
        </w:tc>
        <w:tc>
          <w:tcPr>
            <w:tcW w:w="155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变化幅度约小于3dB（A）</w:t>
            </w:r>
          </w:p>
        </w:tc>
        <w:tc>
          <w:tcPr>
            <w:tcW w:w="1178"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受影响人口的数量</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井场声环境评价范围内无居民等敏感目标分布</w:t>
            </w:r>
          </w:p>
        </w:tc>
        <w:tc>
          <w:tcPr>
            <w:tcW w:w="155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受噪声影响人口数量较少</w:t>
            </w:r>
          </w:p>
        </w:tc>
        <w:tc>
          <w:tcPr>
            <w:tcW w:w="1178"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（2）评价范围</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根据《环境影响评价技术导则 声环境》（HJ 2.4-2021）中第6.1.2节的规定，</w:t>
      </w:r>
      <w:r>
        <w:rPr>
          <w:rFonts w:hint="default" w:ascii="Times New Roman" w:hAnsi="Times New Roman" w:cs="Times New Roman"/>
          <w:color w:val="000000" w:themeColor="text1"/>
          <w:highlight w:val="none"/>
          <w:lang w:eastAsia="zh-CN"/>
          <w14:textFill>
            <w14:solidFill>
              <w14:schemeClr w14:val="tx1"/>
            </w14:solidFill>
          </w14:textFill>
        </w:rPr>
        <w:t>确定</w:t>
      </w:r>
      <w:r>
        <w:rPr>
          <w:rFonts w:hint="default" w:ascii="Times New Roman" w:hAnsi="Times New Roman" w:cs="Times New Roman"/>
          <w:color w:val="000000" w:themeColor="text1"/>
          <w:highlight w:val="none"/>
          <w14:textFill>
            <w14:solidFill>
              <w14:schemeClr w14:val="tx1"/>
            </w14:solidFill>
          </w14:textFill>
        </w:rPr>
        <w:t>本项目施工期声环境评价范围为井场和放喷池周边200m范围；运营期声环境评价范围为试采站和放空区周边200m范围</w:t>
      </w:r>
      <w:r>
        <w:rPr>
          <w:rFonts w:hint="default" w:ascii="Times New Roman" w:hAnsi="Times New Roman" w:cs="Times New Roman"/>
          <w:bCs/>
          <w:color w:val="000000" w:themeColor="text1"/>
          <w:szCs w:val="24"/>
          <w:highlight w:val="none"/>
          <w14:textFill>
            <w14:solidFill>
              <w14:schemeClr w14:val="tx1"/>
            </w14:solidFill>
          </w14:textFill>
        </w:rPr>
        <w:t>。</w:t>
      </w:r>
    </w:p>
    <w:p>
      <w:pPr>
        <w:pStyle w:val="93"/>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2268855</wp:posOffset>
                </wp:positionH>
                <wp:positionV relativeFrom="paragraph">
                  <wp:posOffset>2214880</wp:posOffset>
                </wp:positionV>
                <wp:extent cx="692150" cy="234950"/>
                <wp:effectExtent l="0" t="0" r="0" b="0"/>
                <wp:wrapNone/>
                <wp:docPr id="28443833"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b/>
                                <w:bCs/>
                                <w:color w:val="FFFFFF" w:themeColor="background1"/>
                                <w:sz w:val="18"/>
                                <w:szCs w:val="16"/>
                                <w14:textFill>
                                  <w14:solidFill>
                                    <w14:schemeClr w14:val="bg1"/>
                                  </w14:solidFill>
                                </w14:textFill>
                              </w:rPr>
                              <w:t>放喷池</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78.65pt;margin-top:174.4pt;height:18.5pt;width:54.5pt;z-index:251720704;mso-width-relative:page;mso-height-relative:page;" filled="f" stroked="f" coordsize="21600,21600" o:gfxdata="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vbhTNgAAAALAQAADwAAAAAAAAABACAAAAAiAAAAZHJzL2Rvd25yZXYueG1sUEsBAhQAFAAAAAgA&#10;h07iQPRWNKBeAgAAnQQAAA4AAAAAAAAAAQAgAAAAJwEAAGRycy9lMm9Eb2MueG1sUEsFBgAAAAAG&#10;AAYAWQEAAPcFA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b/>
                          <w:bCs/>
                          <w:color w:val="FFFFFF" w:themeColor="background1"/>
                          <w:sz w:val="18"/>
                          <w:szCs w:val="16"/>
                          <w14:textFill>
                            <w14:solidFill>
                              <w14:schemeClr w14:val="bg1"/>
                            </w14:solidFill>
                          </w14:textFill>
                        </w:rPr>
                        <w:t>放喷池</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1843405</wp:posOffset>
                </wp:positionH>
                <wp:positionV relativeFrom="paragraph">
                  <wp:posOffset>1518285</wp:posOffset>
                </wp:positionV>
                <wp:extent cx="692150" cy="234950"/>
                <wp:effectExtent l="0" t="0" r="0" b="0"/>
                <wp:wrapNone/>
                <wp:docPr id="1967442563"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井场</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45.15pt;margin-top:119.55pt;height:18.5pt;width:54.5pt;z-index:251703296;mso-width-relative:page;mso-height-relative:page;" filled="f" stroked="f" coordsize="21600,21600" o:gfxdata="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CAdEWdcAAAALAQAADwAAAAAAAAABACAAAAAiAAAAZHJzL2Rvd25yZXYueG1sUEsBAhQAFAAAAAgA&#10;h07iQGWhl5JfAgAAnwQAAA4AAAAAAAAAAQAgAAAAJgEAAGRycy9lMm9Eb2MueG1sUEsFBgAAAAAG&#10;AAYAWQEAAPcFA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井场</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2531745</wp:posOffset>
                </wp:positionH>
                <wp:positionV relativeFrom="paragraph">
                  <wp:posOffset>1283335</wp:posOffset>
                </wp:positionV>
                <wp:extent cx="692150" cy="234950"/>
                <wp:effectExtent l="0" t="0" r="0" b="0"/>
                <wp:wrapNone/>
                <wp:docPr id="1817307970"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b/>
                                <w:bCs/>
                                <w:color w:val="FFFFFF" w:themeColor="background1"/>
                                <w:sz w:val="18"/>
                                <w:szCs w:val="16"/>
                                <w14:textFill>
                                  <w14:solidFill>
                                    <w14:schemeClr w14:val="bg1"/>
                                  </w14:solidFill>
                                </w14:textFill>
                              </w:rPr>
                              <w:t>放喷池</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99.35pt;margin-top:101.05pt;height:18.5pt;width:54.5pt;z-index:251702272;mso-width-relative:page;mso-height-relative:page;" filled="f" stroked="f" coordsize="21600,21600" o:gfxdata="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jOs5U9cAAAALAQAADwAAAAAAAAABACAAAAAiAAAAZHJzL2Rvd25yZXYueG1sUEsBAhQAFAAAAAgA&#10;h07iQNB/D6pfAgAAnwQAAA4AAAAAAAAAAQAgAAAAJgEAAGRycy9lMm9Eb2MueG1sUEsFBgAAAAAG&#10;AAYAWQEAAPcFA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b/>
                          <w:bCs/>
                          <w:color w:val="FFFFFF" w:themeColor="background1"/>
                          <w:sz w:val="18"/>
                          <w:szCs w:val="16"/>
                          <w14:textFill>
                            <w14:solidFill>
                              <w14:schemeClr w14:val="bg1"/>
                            </w14:solidFill>
                          </w14:textFill>
                        </w:rPr>
                        <w:t>放喷池</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1011555</wp:posOffset>
                </wp:positionH>
                <wp:positionV relativeFrom="paragraph">
                  <wp:posOffset>638810</wp:posOffset>
                </wp:positionV>
                <wp:extent cx="692150" cy="234950"/>
                <wp:effectExtent l="0" t="0" r="0" b="0"/>
                <wp:wrapNone/>
                <wp:docPr id="1581843931"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2</w:t>
                            </w:r>
                            <w:r>
                              <w:rPr>
                                <w:b/>
                                <w:bCs/>
                                <w:color w:val="FFFFFF" w:themeColor="background1"/>
                                <w:sz w:val="18"/>
                                <w:szCs w:val="16"/>
                                <w14:textFill>
                                  <w14:solidFill>
                                    <w14:schemeClr w14:val="bg1"/>
                                  </w14:solidFill>
                                </w14:textFill>
                              </w:rPr>
                              <w:t>00m</w:t>
                            </w:r>
                            <w:r>
                              <w:rPr>
                                <w:rFonts w:hint="eastAsia"/>
                                <w:b/>
                                <w:bCs/>
                                <w:color w:val="FFFFFF" w:themeColor="background1"/>
                                <w:sz w:val="18"/>
                                <w:szCs w:val="16"/>
                                <w14:textFill>
                                  <w14:solidFill>
                                    <w14:schemeClr w14:val="bg1"/>
                                  </w14:solidFill>
                                </w14:textFill>
                              </w:rPr>
                              <w:t>线</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79.65pt;margin-top:50.3pt;height:18.5pt;width:54.5pt;z-index:251701248;mso-width-relative:page;mso-height-relative:page;" filled="f" stroked="f" coordsize="21600,21600" o:gfxdata="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gKIn&#10;VNUAAAALAQAADwAAAAAAAAABACAAAAAiAAAAZHJzL2Rvd25yZXYueG1sUEsBAhQAFAAAAAgAh07i&#10;QNmDxa9eAgAAnwQAAA4AAAAAAAAAAQAgAAAAJAEAAGRycy9lMm9Eb2MueG1sUEsFBgAAAAAGAAYA&#10;WQEAAPQFA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2</w:t>
                      </w:r>
                      <w:r>
                        <w:rPr>
                          <w:b/>
                          <w:bCs/>
                          <w:color w:val="FFFFFF" w:themeColor="background1"/>
                          <w:sz w:val="18"/>
                          <w:szCs w:val="16"/>
                          <w14:textFill>
                            <w14:solidFill>
                              <w14:schemeClr w14:val="bg1"/>
                            </w14:solidFill>
                          </w14:textFill>
                        </w:rPr>
                        <w:t>00m</w:t>
                      </w:r>
                      <w:r>
                        <w:rPr>
                          <w:rFonts w:hint="eastAsia"/>
                          <w:b/>
                          <w:bCs/>
                          <w:color w:val="FFFFFF" w:themeColor="background1"/>
                          <w:sz w:val="18"/>
                          <w:szCs w:val="16"/>
                          <w14:textFill>
                            <w14:solidFill>
                              <w14:schemeClr w14:val="bg1"/>
                            </w14:solidFill>
                          </w14:textFill>
                        </w:rPr>
                        <w:t>线</w:t>
                      </w:r>
                    </w:p>
                  </w:txbxContent>
                </v:textbox>
              </v:shape>
            </w:pict>
          </mc:Fallback>
        </mc:AlternateContent>
      </w:r>
      <w:r>
        <w:rPr>
          <w:rFonts w:hint="default" w:ascii="Times New Roman" w:hAnsi="Times New Roman" w:cs="Times New Roman"/>
          <w:color w:val="000000" w:themeColor="text1"/>
          <w:highlight w:val="none"/>
          <w:lang w:eastAsia="zh-CN"/>
          <w14:textFill>
            <w14:solidFill>
              <w14:schemeClr w14:val="tx1"/>
            </w14:solidFill>
          </w14:textFill>
        </w:rPr>
        <w:drawing>
          <wp:inline distT="0" distB="0" distL="0" distR="0">
            <wp:extent cx="5274310" cy="3600450"/>
            <wp:effectExtent l="0" t="0" r="2540" b="0"/>
            <wp:docPr id="11145674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67408" name="图片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3600450"/>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3</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 xml:space="preserve"> 施工期声环境评价范围图</w:t>
      </w:r>
    </w:p>
    <w:p>
      <w:pPr>
        <w:pStyle w:val="93"/>
        <w:rPr>
          <w:rFonts w:hint="default" w:ascii="Times New Roman" w:hAnsi="Times New Roman" w:cs="Times New Roman"/>
          <w:bCs/>
          <w:color w:val="000000" w:themeColor="text1"/>
          <w:szCs w:val="24"/>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1446530</wp:posOffset>
                </wp:positionH>
                <wp:positionV relativeFrom="paragraph">
                  <wp:posOffset>551815</wp:posOffset>
                </wp:positionV>
                <wp:extent cx="692150" cy="234950"/>
                <wp:effectExtent l="0" t="0" r="0" b="0"/>
                <wp:wrapNone/>
                <wp:docPr id="1671652265"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2</w:t>
                            </w:r>
                            <w:r>
                              <w:rPr>
                                <w:b/>
                                <w:bCs/>
                                <w:color w:val="FFFFFF" w:themeColor="background1"/>
                                <w:sz w:val="18"/>
                                <w:szCs w:val="16"/>
                                <w14:textFill>
                                  <w14:solidFill>
                                    <w14:schemeClr w14:val="bg1"/>
                                  </w14:solidFill>
                                </w14:textFill>
                              </w:rPr>
                              <w:t>00m线</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13.9pt;margin-top:43.45pt;height:18.5pt;width:54.5pt;z-index:251705344;mso-width-relative:page;mso-height-relative:page;" filled="f" stroked="f" coordsize="21600,21600" o:gfxdata="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o&#10;MkfA1wAAAAoBAAAPAAAAAAAAAAEAIAAAACIAAABkcnMvZG93bnJldi54bWxQSwECFAAUAAAACACH&#10;TuJAER2XIl4CAACfBAAADgAAAAAAAAABACAAAAAmAQAAZHJzL2Uyb0RvYy54bWxQSwUGAAAAAAYA&#10;BgBZAQAA9gU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2</w:t>
                      </w:r>
                      <w:r>
                        <w:rPr>
                          <w:b/>
                          <w:bCs/>
                          <w:color w:val="FFFFFF" w:themeColor="background1"/>
                          <w:sz w:val="18"/>
                          <w:szCs w:val="16"/>
                          <w14:textFill>
                            <w14:solidFill>
                              <w14:schemeClr w14:val="bg1"/>
                            </w14:solidFill>
                          </w14:textFill>
                        </w:rPr>
                        <w:t>00m线</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2562225</wp:posOffset>
                </wp:positionH>
                <wp:positionV relativeFrom="paragraph">
                  <wp:posOffset>1442085</wp:posOffset>
                </wp:positionV>
                <wp:extent cx="692150" cy="234950"/>
                <wp:effectExtent l="0" t="0" r="0" b="0"/>
                <wp:wrapNone/>
                <wp:docPr id="1332223219"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集气站</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201.75pt;margin-top:113.55pt;height:18.5pt;width:54.5pt;z-index:251704320;mso-width-relative:page;mso-height-relative:page;" filled="f" stroked="f" coordsize="21600,21600" o:gfxdata="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d&#10;7xSA1wAAAAsBAAAPAAAAAAAAAAEAIAAAACIAAABkcnMvZG93bnJldi54bWxQSwECFAAUAAAACACH&#10;TuJACy52p14CAACfBAAADgAAAAAAAAABACAAAAAmAQAAZHJzL2Uyb0RvYy54bWxQSwUGAAAAAAYA&#10;BgBZAQAA9gU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集气站</w:t>
                      </w:r>
                    </w:p>
                  </w:txbxContent>
                </v:textbox>
              </v:shape>
            </w:pict>
          </mc:Fallback>
        </mc:AlternateContent>
      </w:r>
      <w:r>
        <w:rPr>
          <w:rFonts w:hint="default" w:ascii="Times New Roman" w:hAnsi="Times New Roman" w:cs="Times New Roman"/>
          <w:bCs/>
          <w:color w:val="000000" w:themeColor="text1"/>
          <w:szCs w:val="24"/>
          <w:highlight w:val="none"/>
          <w:lang w:eastAsia="zh-CN"/>
          <w14:textFill>
            <w14:solidFill>
              <w14:schemeClr w14:val="tx1"/>
            </w14:solidFill>
          </w14:textFill>
        </w:rPr>
        <w:drawing>
          <wp:inline distT="0" distB="0" distL="0" distR="0">
            <wp:extent cx="5274310" cy="3501390"/>
            <wp:effectExtent l="0" t="0" r="2540" b="3810"/>
            <wp:docPr id="18015022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02213" name="图片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4310" cy="3501390"/>
                    </a:xfrm>
                    <a:prstGeom prst="rect">
                      <a:avLst/>
                    </a:prstGeom>
                    <a:noFill/>
                    <a:ln>
                      <a:noFill/>
                    </a:ln>
                  </pic:spPr>
                </pic:pic>
              </a:graphicData>
            </a:graphic>
          </wp:inline>
        </w:drawing>
      </w:r>
    </w:p>
    <w:p>
      <w:pPr>
        <w:pStyle w:val="93"/>
        <w:keepNext/>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snapToGrid w:val="0"/>
          <w:color w:val="000000" w:themeColor="text1"/>
          <w:w w:val="0"/>
          <w:sz w:val="0"/>
          <w:szCs w:val="0"/>
          <w:highlight w:val="none"/>
          <w:u w:color="000000"/>
          <w:shd w:val="clear" w:color="000000" w:fill="000000"/>
          <w:lang w:val="zh-CN" w:eastAsia="zh-CN" w:bidi="zh-CN"/>
          <w14:textFill>
            <w14:solidFill>
              <w14:schemeClr w14:val="tx1"/>
            </w14:solidFill>
          </w14:textFill>
        </w:rPr>
        <w:t xml:space="preserve">8 </w:t>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 xml:space="preserve">4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 xml:space="preserve"> 运营期声环境评价范围图</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59" w:name="_Toc120173074"/>
      <w:r>
        <w:rPr>
          <w:rFonts w:hint="default" w:ascii="Times New Roman" w:hAnsi="Times New Roman" w:cs="Times New Roman"/>
          <w:color w:val="000000" w:themeColor="text1"/>
          <w:highlight w:val="none"/>
          <w:lang w:eastAsia="zh-CN"/>
          <w14:textFill>
            <w14:solidFill>
              <w14:schemeClr w14:val="tx1"/>
            </w14:solidFill>
          </w14:textFill>
        </w:rPr>
        <w:t>土壤环境</w:t>
      </w:r>
      <w:bookmarkEnd w:id="59"/>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w:t>
      </w:r>
      <w:r>
        <w:rPr>
          <w:rFonts w:hint="default" w:ascii="Times New Roman" w:hAnsi="Times New Roman" w:cs="Times New Roman"/>
          <w:bCs/>
          <w:color w:val="000000" w:themeColor="text1"/>
          <w:szCs w:val="24"/>
          <w:highlight w:val="none"/>
          <w14:textFill>
            <w14:solidFill>
              <w14:schemeClr w14:val="tx1"/>
            </w14:solidFill>
          </w14:textFill>
        </w:rPr>
        <w:t>评价工作等级</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根据《环境影响评价技术导则 土壤环境（试行）》（HJ964-2018），本项目为天然气开采（B072），属于Ⅱ类建设项目。根据工程分析，项目对土壤环境的影响主要为污染物泄漏对其造成污染，属于污染影响型项目，周边环境敏感程度判别依据见表2.6-</w:t>
      </w:r>
      <w:r>
        <w:rPr>
          <w:rFonts w:hint="default" w:ascii="Times New Roman" w:hAnsi="Times New Roman" w:cs="Times New Roman"/>
          <w:color w:val="000000" w:themeColor="text1"/>
          <w:szCs w:val="24"/>
          <w:highlight w:val="none"/>
          <w:lang w:val="en-US" w:eastAsia="zh-CN"/>
          <w14:textFill>
            <w14:solidFill>
              <w14:schemeClr w14:val="tx1"/>
            </w14:solidFill>
          </w14:textFill>
        </w:rPr>
        <w:t>5</w:t>
      </w:r>
      <w:r>
        <w:rPr>
          <w:rFonts w:hint="default" w:ascii="Times New Roman" w:hAnsi="Times New Roman" w:cs="Times New Roman"/>
          <w:color w:val="000000" w:themeColor="text1"/>
          <w:szCs w:val="24"/>
          <w:highlight w:val="none"/>
          <w14:textFill>
            <w14:solidFill>
              <w14:schemeClr w14:val="tx1"/>
            </w14:solidFill>
          </w14:textFill>
        </w:rPr>
        <w:t>，土壤环境影响评价工作等级划分见表2.6-</w:t>
      </w:r>
      <w:r>
        <w:rPr>
          <w:rFonts w:hint="default" w:ascii="Times New Roman" w:hAnsi="Times New Roman" w:cs="Times New Roman"/>
          <w:color w:val="000000" w:themeColor="text1"/>
          <w:szCs w:val="24"/>
          <w:highlight w:val="none"/>
          <w:lang w:val="en-US" w:eastAsia="zh-CN"/>
          <w14:textFill>
            <w14:solidFill>
              <w14:schemeClr w14:val="tx1"/>
            </w14:solidFill>
          </w14:textFill>
        </w:rPr>
        <w:t>6</w:t>
      </w:r>
      <w:r>
        <w:rPr>
          <w:rFonts w:hint="default" w:ascii="Times New Roman" w:hAnsi="Times New Roman" w:cs="Times New Roman"/>
          <w:color w:val="000000" w:themeColor="text1"/>
          <w:szCs w:val="24"/>
          <w:highlight w:val="none"/>
          <w14:textFill>
            <w14:solidFill>
              <w14:schemeClr w14:val="tx1"/>
            </w14:solidFill>
          </w14:textFill>
        </w:rPr>
        <w:t>。</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lang w:val="en-US" w:eastAsia="zh-CN"/>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t xml:space="preserve">  污染影响型项目敏感程度分级表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9"/>
        <w:gridCol w:w="6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敏感程度</w:t>
            </w:r>
          </w:p>
        </w:tc>
        <w:tc>
          <w:tcPr>
            <w:tcW w:w="6423"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敏感</w:t>
            </w:r>
          </w:p>
        </w:tc>
        <w:tc>
          <w:tcPr>
            <w:tcW w:w="64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较敏感</w:t>
            </w:r>
          </w:p>
        </w:tc>
        <w:tc>
          <w:tcPr>
            <w:tcW w:w="64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不敏感</w:t>
            </w:r>
          </w:p>
        </w:tc>
        <w:tc>
          <w:tcPr>
            <w:tcW w:w="64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其他情况</w:t>
            </w:r>
          </w:p>
        </w:tc>
      </w:tr>
    </w:tbl>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lang w:val="en-US" w:eastAsia="zh-CN"/>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t xml:space="preserve">  污染影响型评价工作等级划分表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5"/>
        <w:gridCol w:w="730"/>
        <w:gridCol w:w="730"/>
        <w:gridCol w:w="731"/>
        <w:gridCol w:w="731"/>
        <w:gridCol w:w="731"/>
        <w:gridCol w:w="731"/>
        <w:gridCol w:w="731"/>
        <w:gridCol w:w="731"/>
        <w:gridCol w:w="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Merge w:val="restart"/>
            <w:tcBorders>
              <w:tl2br w:val="single" w:color="auto" w:sz="4" w:space="0"/>
            </w:tcBorders>
            <w:vAlign w:val="center"/>
          </w:tcPr>
          <w:p>
            <w:pPr>
              <w:pStyle w:val="295"/>
              <w:jc w:val="right"/>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占地规模</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 xml:space="preserve">敏感程度 </w:t>
            </w:r>
          </w:p>
        </w:tc>
        <w:tc>
          <w:tcPr>
            <w:tcW w:w="219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I类</w:t>
            </w:r>
          </w:p>
        </w:tc>
        <w:tc>
          <w:tcPr>
            <w:tcW w:w="2193" w:type="dxa"/>
            <w:gridSpan w:val="3"/>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shd w:val="pct10" w:color="auto" w:fill="FFFFFF"/>
                <w14:textFill>
                  <w14:solidFill>
                    <w14:schemeClr w14:val="tx1"/>
                  </w14:solidFill>
                </w14:textFill>
              </w:rPr>
              <w:t>II类</w:t>
            </w:r>
          </w:p>
        </w:tc>
        <w:tc>
          <w:tcPr>
            <w:tcW w:w="2193" w:type="dxa"/>
            <w:gridSpan w:val="3"/>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Merge w:val="continue"/>
            <w:tcBorders>
              <w:tl2br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3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w:t>
            </w:r>
          </w:p>
        </w:tc>
        <w:tc>
          <w:tcPr>
            <w:tcW w:w="730"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中</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小</w:t>
            </w:r>
          </w:p>
        </w:tc>
        <w:tc>
          <w:tcPr>
            <w:tcW w:w="73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中</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shd w:val="pct10" w:color="auto" w:fill="FFFFFF"/>
                <w14:textFill>
                  <w14:solidFill>
                    <w14:schemeClr w14:val="tx1"/>
                  </w14:solidFill>
                </w14:textFill>
              </w:rPr>
              <w:t>小</w:t>
            </w:r>
          </w:p>
        </w:tc>
        <w:tc>
          <w:tcPr>
            <w:tcW w:w="73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中</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shd w:val="pct10" w:color="auto" w:fill="FFFFFF"/>
                <w14:textFill>
                  <w14:solidFill>
                    <w14:schemeClr w14:val="tx1"/>
                  </w14:solidFill>
                </w14:textFill>
              </w:rPr>
              <w:t>敏感</w:t>
            </w:r>
          </w:p>
        </w:tc>
        <w:tc>
          <w:tcPr>
            <w:tcW w:w="73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w:t>
            </w:r>
          </w:p>
        </w:tc>
        <w:tc>
          <w:tcPr>
            <w:tcW w:w="730"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shd w:val="pct10" w:color="auto" w:fill="FFFFFF"/>
                <w14:textFill>
                  <w14:solidFill>
                    <w14:schemeClr w14:val="tx1"/>
                  </w14:solidFill>
                </w14:textFill>
              </w:rPr>
              <w:t>二级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较敏感</w:t>
            </w:r>
          </w:p>
        </w:tc>
        <w:tc>
          <w:tcPr>
            <w:tcW w:w="73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w:t>
            </w:r>
          </w:p>
        </w:tc>
        <w:tc>
          <w:tcPr>
            <w:tcW w:w="730"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不敏感</w:t>
            </w:r>
          </w:p>
        </w:tc>
        <w:tc>
          <w:tcPr>
            <w:tcW w:w="73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w:t>
            </w:r>
          </w:p>
        </w:tc>
        <w:tc>
          <w:tcPr>
            <w:tcW w:w="730"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731" w:type="dxa"/>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2" w:type="dxa"/>
            <w:gridSpan w:val="10"/>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注：“-”表示可不开展土壤环境影响评价工作。</w:t>
            </w: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根据现场调查和收集资料，项目及周边存在耕地等土壤环境敏感目标，土壤环境敏感；建设项目占地主要为临时占地</w:t>
      </w:r>
      <w:r>
        <w:rPr>
          <w:rFonts w:hint="eastAsia"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占地小于5hm</w:t>
      </w:r>
      <w:r>
        <w:rPr>
          <w:rFonts w:hint="default" w:ascii="Times New Roman" w:hAnsi="Times New Roman" w:cs="Times New Roman"/>
          <w:color w:val="000000" w:themeColor="text1"/>
          <w:szCs w:val="24"/>
          <w:highlight w:val="none"/>
          <w:vertAlign w:val="super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，因此占地规模为小型。因此，根据污染影响型评价工作等级划分表，本项目土壤环境影响评价等级为二级。</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（2）评价范围</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根据《环境影响评价技术导则 土壤环境（试行）》（HJ964-2018），本项目土壤环境评价范围为项目井场、放喷池外扩200m范围</w:t>
      </w:r>
      <w:r>
        <w:rPr>
          <w:rFonts w:hint="default" w:ascii="Times New Roman" w:hAnsi="Times New Roman" w:cs="Times New Roman"/>
          <w:bCs/>
          <w:color w:val="000000" w:themeColor="text1"/>
          <w:szCs w:val="24"/>
          <w:highlight w:val="none"/>
          <w14:textFill>
            <w14:solidFill>
              <w14:schemeClr w14:val="tx1"/>
            </w14:solidFill>
          </w14:textFill>
        </w:rPr>
        <w:t>。</w:t>
      </w:r>
    </w:p>
    <w:p>
      <w:pPr>
        <w:pStyle w:val="93"/>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21728" behindDoc="0" locked="0" layoutInCell="1" allowOverlap="1">
                <wp:simplePos x="0" y="0"/>
                <wp:positionH relativeFrom="column">
                  <wp:posOffset>2378075</wp:posOffset>
                </wp:positionH>
                <wp:positionV relativeFrom="paragraph">
                  <wp:posOffset>2128520</wp:posOffset>
                </wp:positionV>
                <wp:extent cx="692150" cy="234950"/>
                <wp:effectExtent l="0" t="0" r="0" b="0"/>
                <wp:wrapNone/>
                <wp:docPr id="308196973"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b/>
                                <w:bCs/>
                                <w:color w:val="FFFFFF" w:themeColor="background1"/>
                                <w:sz w:val="18"/>
                                <w:szCs w:val="16"/>
                                <w14:textFill>
                                  <w14:solidFill>
                                    <w14:schemeClr w14:val="bg1"/>
                                  </w14:solidFill>
                                </w14:textFill>
                              </w:rPr>
                              <w:t>放喷池</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87.25pt;margin-top:167.6pt;height:18.5pt;width:54.5pt;z-index:251721728;mso-width-relative:page;mso-height-relative:page;" filled="f" stroked="f" coordsize="21600,21600" o:gfxdata="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3fXIUtcAAAALAQAADwAAAAAAAAABACAAAAAiAAAAZHJzL2Rvd25yZXYueG1sUEsBAhQAFAAAAAgA&#10;h07iQKftHcBfAgAAngQAAA4AAAAAAAAAAQAgAAAAJgEAAGRycy9lMm9Eb2MueG1sUEsFBgAAAAAG&#10;AAYAWQEAAPcFA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b/>
                          <w:bCs/>
                          <w:color w:val="FFFFFF" w:themeColor="background1"/>
                          <w:sz w:val="18"/>
                          <w:szCs w:val="16"/>
                          <w14:textFill>
                            <w14:solidFill>
                              <w14:schemeClr w14:val="bg1"/>
                            </w14:solidFill>
                          </w14:textFill>
                        </w:rPr>
                        <w:t>放喷池</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934085</wp:posOffset>
                </wp:positionH>
                <wp:positionV relativeFrom="paragraph">
                  <wp:posOffset>770255</wp:posOffset>
                </wp:positionV>
                <wp:extent cx="692150" cy="234950"/>
                <wp:effectExtent l="0" t="0" r="0" b="0"/>
                <wp:wrapNone/>
                <wp:docPr id="1847696051"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2</w:t>
                            </w:r>
                            <w:r>
                              <w:rPr>
                                <w:b/>
                                <w:bCs/>
                                <w:color w:val="FFFFFF" w:themeColor="background1"/>
                                <w:sz w:val="18"/>
                                <w:szCs w:val="16"/>
                                <w14:textFill>
                                  <w14:solidFill>
                                    <w14:schemeClr w14:val="bg1"/>
                                  </w14:solidFill>
                                </w14:textFill>
                              </w:rPr>
                              <w:t>00m线</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73.55pt;margin-top:60.65pt;height:18.5pt;width:54.5pt;z-index:251708416;mso-width-relative:page;mso-height-relative:page;" filled="f" stroked="f" coordsize="21600,21600" o:gfxdata="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b&#10;ii711wAAAAsBAAAPAAAAAAAAAAEAIAAAACIAAABkcnMvZG93bnJldi54bWxQSwECFAAUAAAACACH&#10;TuJA54X0iF4CAACfBAAADgAAAAAAAAABACAAAAAmAQAAZHJzL2Uyb0RvYy54bWxQSwUGAAAAAAYA&#10;BgBZAQAA9gU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2</w:t>
                      </w:r>
                      <w:r>
                        <w:rPr>
                          <w:b/>
                          <w:bCs/>
                          <w:color w:val="FFFFFF" w:themeColor="background1"/>
                          <w:sz w:val="18"/>
                          <w:szCs w:val="16"/>
                          <w14:textFill>
                            <w14:solidFill>
                              <w14:schemeClr w14:val="bg1"/>
                            </w14:solidFill>
                          </w14:textFill>
                        </w:rPr>
                        <w:t>00m线</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2496185</wp:posOffset>
                </wp:positionH>
                <wp:positionV relativeFrom="paragraph">
                  <wp:posOffset>1196975</wp:posOffset>
                </wp:positionV>
                <wp:extent cx="692150" cy="234950"/>
                <wp:effectExtent l="0" t="0" r="0" b="0"/>
                <wp:wrapNone/>
                <wp:docPr id="864184409"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b/>
                                <w:bCs/>
                                <w:color w:val="FFFFFF" w:themeColor="background1"/>
                                <w:sz w:val="18"/>
                                <w:szCs w:val="16"/>
                                <w14:textFill>
                                  <w14:solidFill>
                                    <w14:schemeClr w14:val="bg1"/>
                                  </w14:solidFill>
                                </w14:textFill>
                              </w:rPr>
                              <w:t>放喷池</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96.55pt;margin-top:94.25pt;height:18.5pt;width:54.5pt;z-index:251706368;mso-width-relative:page;mso-height-relative:page;" filled="f" stroked="f" coordsize="21600,21600" o:gfxdata="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IU44&#10;cNcAAAALAQAADwAAAAAAAAABACAAAAAiAAAAZHJzL2Rvd25yZXYueG1sUEsBAhQAFAAAAAgAh07i&#10;QA7HTMRcAgAAngQAAA4AAAAAAAAAAQAgAAAAJgEAAGRycy9lMm9Eb2MueG1sUEsFBgAAAAAGAAYA&#10;WQEAAPQFA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b/>
                          <w:bCs/>
                          <w:color w:val="FFFFFF" w:themeColor="background1"/>
                          <w:sz w:val="18"/>
                          <w:szCs w:val="16"/>
                          <w14:textFill>
                            <w14:solidFill>
                              <w14:schemeClr w14:val="bg1"/>
                            </w14:solidFill>
                          </w14:textFill>
                        </w:rPr>
                        <w:t>放喷池</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1808480</wp:posOffset>
                </wp:positionH>
                <wp:positionV relativeFrom="paragraph">
                  <wp:posOffset>1431925</wp:posOffset>
                </wp:positionV>
                <wp:extent cx="692150" cy="234950"/>
                <wp:effectExtent l="0" t="0" r="0" b="0"/>
                <wp:wrapNone/>
                <wp:docPr id="1499737438" name="文本框 2"/>
                <wp:cNvGraphicFramePr/>
                <a:graphic xmlns:a="http://schemas.openxmlformats.org/drawingml/2006/main">
                  <a:graphicData uri="http://schemas.microsoft.com/office/word/2010/wordprocessingShape">
                    <wps:wsp>
                      <wps:cNvSpPr txBox="1"/>
                      <wps:spPr bwMode="auto">
                        <a:xfrm>
                          <a:off x="0" y="0"/>
                          <a:ext cx="692150" cy="234950"/>
                        </a:xfrm>
                        <a:prstGeom prst="rect">
                          <a:avLst/>
                        </a:prstGeom>
                        <a:noFill/>
                        <a:ln w="9525">
                          <a:noFill/>
                          <a:miter lim="800000"/>
                        </a:ln>
                      </wps:spPr>
                      <wps:txb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井场</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2" o:spid="_x0000_s1026" o:spt="202" type="#_x0000_t202" style="position:absolute;left:0pt;margin-left:142.4pt;margin-top:112.75pt;height:18.5pt;width:54.5pt;z-index:251707392;mso-width-relative:page;mso-height-relative:page;" filled="f" stroked="f" coordsize="21600,21600" o:gfxdata="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RtiQdgAAAALAQAADwAAAAAAAAABACAAAAAiAAAAZHJzL2Rvd25yZXYueG1sUEsBAhQAFAAAAAgA&#10;h07iQIbOuTdeAgAAnwQAAA4AAAAAAAAAAQAgAAAAJwEAAGRycy9lMm9Eb2MueG1sUEsFBgAAAAAG&#10;AAYAWQEAAPcFAAAAAA==&#10;">
                <v:fill on="f" focussize="0,0"/>
                <v:stroke on="f" miterlimit="8" joinstyle="miter"/>
                <v:imagedata o:title=""/>
                <o:lock v:ext="edit" aspectratio="f"/>
                <v:textbox>
                  <w:txbxContent>
                    <w:p>
                      <w:pPr>
                        <w:spacing w:line="240" w:lineRule="auto"/>
                        <w:ind w:firstLine="0" w:firstLineChars="0"/>
                        <w:jc w:val="center"/>
                        <w:rPr>
                          <w:b/>
                          <w:bCs/>
                          <w:color w:val="FFFFFF" w:themeColor="background1"/>
                          <w:sz w:val="18"/>
                          <w:szCs w:val="16"/>
                          <w14:textFill>
                            <w14:solidFill>
                              <w14:schemeClr w14:val="bg1"/>
                            </w14:solidFill>
                          </w14:textFill>
                        </w:rPr>
                      </w:pPr>
                      <w:r>
                        <w:rPr>
                          <w:rFonts w:hint="eastAsia"/>
                          <w:b/>
                          <w:bCs/>
                          <w:color w:val="FFFFFF" w:themeColor="background1"/>
                          <w:sz w:val="18"/>
                          <w:szCs w:val="16"/>
                          <w14:textFill>
                            <w14:solidFill>
                              <w14:schemeClr w14:val="bg1"/>
                            </w14:solidFill>
                          </w14:textFill>
                        </w:rPr>
                        <w:t>井场</w:t>
                      </w:r>
                    </w:p>
                  </w:txbxContent>
                </v:textbox>
              </v:shape>
            </w:pict>
          </mc:Fallback>
        </mc:AlternateContent>
      </w:r>
      <w:r>
        <w:rPr>
          <w:rFonts w:hint="default" w:ascii="Times New Roman" w:hAnsi="Times New Roman" w:cs="Times New Roman"/>
          <w:color w:val="000000" w:themeColor="text1"/>
          <w:highlight w:val="none"/>
          <w:lang w:eastAsia="zh-CN"/>
          <w14:textFill>
            <w14:solidFill>
              <w14:schemeClr w14:val="tx1"/>
            </w14:solidFill>
          </w14:textFill>
        </w:rPr>
        <w:drawing>
          <wp:inline distT="0" distB="0" distL="0" distR="0">
            <wp:extent cx="5274310" cy="3600450"/>
            <wp:effectExtent l="0" t="0" r="2540" b="0"/>
            <wp:docPr id="14452458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45883" name="图片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3600450"/>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2.6-5  </w:t>
      </w:r>
      <w:r>
        <w:rPr>
          <w:rFonts w:hint="default" w:ascii="Times New Roman" w:hAnsi="Times New Roman" w:cs="Times New Roman"/>
          <w:color w:val="000000" w:themeColor="text1"/>
          <w:highlight w:val="none"/>
          <w14:textFill>
            <w14:solidFill>
              <w14:schemeClr w14:val="tx1"/>
            </w14:solidFill>
          </w14:textFill>
        </w:rPr>
        <w:t>土壤环境评价范围图</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60" w:name="_Toc120173075"/>
      <w:r>
        <w:rPr>
          <w:rFonts w:hint="default" w:ascii="Times New Roman" w:hAnsi="Times New Roman" w:cs="Times New Roman"/>
          <w:color w:val="000000" w:themeColor="text1"/>
          <w:highlight w:val="none"/>
          <w:lang w:eastAsia="zh-CN"/>
          <w14:textFill>
            <w14:solidFill>
              <w14:schemeClr w14:val="tx1"/>
            </w14:solidFill>
          </w14:textFill>
        </w:rPr>
        <w:t>生态环境</w:t>
      </w:r>
      <w:bookmarkEnd w:id="60"/>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w:t>
      </w:r>
      <w:r>
        <w:rPr>
          <w:rFonts w:hint="default" w:ascii="Times New Roman" w:hAnsi="Times New Roman" w:cs="Times New Roman"/>
          <w:bCs/>
          <w:color w:val="000000" w:themeColor="text1"/>
          <w:szCs w:val="24"/>
          <w:highlight w:val="none"/>
          <w14:textFill>
            <w14:solidFill>
              <w14:schemeClr w14:val="tx1"/>
            </w14:solidFill>
          </w14:textFill>
        </w:rPr>
        <w:t>评价工作等级</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根据《环境影响评价技术导则</w:t>
      </w:r>
      <w:r>
        <w:rPr>
          <w:rFonts w:hint="default" w:ascii="Times New Roman" w:hAnsi="Times New Roman" w:cs="Times New Roman"/>
          <w:color w:val="000000" w:themeColor="text1"/>
          <w:spacing w:val="-8"/>
          <w:highlight w:val="none"/>
          <w:lang w:eastAsia="zh-CN"/>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生态影响》（HJ19-2022），判断本项目是否涉及下文a~f，以此来确定本项目生态环境评价工作等级：</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lang w:val="en-US" w:eastAsia="zh-CN"/>
          <w14:textFill>
            <w14:solidFill>
              <w14:schemeClr w14:val="tx1"/>
            </w14:solidFill>
          </w14:textFill>
        </w:rPr>
        <w:t xml:space="preserve">7 </w:t>
      </w:r>
      <w:r>
        <w:rPr>
          <w:rFonts w:hint="default" w:ascii="Times New Roman" w:hAnsi="Times New Roman" w:cs="Times New Roman"/>
          <w:color w:val="000000" w:themeColor="text1"/>
          <w:highlight w:val="none"/>
          <w14:textFill>
            <w14:solidFill>
              <w14:schemeClr w14:val="tx1"/>
            </w14:solidFill>
          </w14:textFill>
        </w:rPr>
        <w:t xml:space="preserve">  生态影响评价工作等级判定表</w:t>
      </w:r>
    </w:p>
    <w:tbl>
      <w:tblPr>
        <w:tblStyle w:val="53"/>
        <w:tblW w:w="0" w:type="auto"/>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4677"/>
        <w:gridCol w:w="26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467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导则规定</w:t>
            </w:r>
          </w:p>
        </w:tc>
        <w:tc>
          <w:tcPr>
            <w:tcW w:w="263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467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a）涉及国家公园、自然保护区、世界自然遗产、重要生境时，评价等级为一级</w:t>
            </w:r>
          </w:p>
        </w:tc>
        <w:tc>
          <w:tcPr>
            <w:tcW w:w="263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467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b）涉及自然公园时，评价等级为二级</w:t>
            </w:r>
          </w:p>
        </w:tc>
        <w:tc>
          <w:tcPr>
            <w:tcW w:w="263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467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c）涉及生态保护红线时，评价等级不低于二级</w:t>
            </w:r>
          </w:p>
        </w:tc>
        <w:tc>
          <w:tcPr>
            <w:tcW w:w="263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467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d）根据HJ2.3判断属于水文要素影响型且地表水评价等级不低于二级的建设项目，生态影响评价等级不低于二级</w:t>
            </w:r>
          </w:p>
        </w:tc>
        <w:tc>
          <w:tcPr>
            <w:tcW w:w="263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467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e）根据HJ610、HJ964判断地下水水位或土壤影响范围内分布有天然林、公益林、湿地等生态保护目标的建设项目，生态影响评价等级不低于二级</w:t>
            </w:r>
          </w:p>
        </w:tc>
        <w:tc>
          <w:tcPr>
            <w:tcW w:w="2631" w:type="dxa"/>
            <w:vAlign w:val="center"/>
          </w:tcPr>
          <w:p>
            <w:pPr>
              <w:pStyle w:val="295"/>
              <w:jc w:val="left"/>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①本项目为侧钻井工程，主要在既有已建P106-</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Cs w:val="21"/>
                <w:highlight w:val="none"/>
                <w14:textFill>
                  <w14:solidFill>
                    <w14:schemeClr w14:val="tx1"/>
                  </w14:solidFill>
                </w14:textFill>
              </w:rPr>
              <w:t>井地下4887m处开窗侧钻，不涉及地下含水层钻井，对地下水水位影响较小；②根据本项目的林地叠图资料可知（见附图</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11、附图12</w:t>
            </w:r>
            <w:r>
              <w:rPr>
                <w:rFonts w:hint="default" w:ascii="Times New Roman" w:hAnsi="Times New Roman" w:eastAsia="宋体" w:cs="Times New Roman"/>
                <w:color w:val="000000" w:themeColor="text1"/>
                <w:szCs w:val="21"/>
                <w:highlight w:val="none"/>
                <w14:textFill>
                  <w14:solidFill>
                    <w14:schemeClr w14:val="tx1"/>
                  </w14:solidFill>
                </w14:textFill>
              </w:rPr>
              <w:t>），本项目周边无天然林分布，但有公益林分布，主要分布于场地西侧约102m，</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考虑到项目开采天然气为含硫天然气，可能会</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通过</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大气沉降</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、降雨</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等方式对周边公益林土壤有一定影响，故</w:t>
            </w:r>
            <w:r>
              <w:rPr>
                <w:rFonts w:hint="default" w:ascii="Times New Roman" w:hAnsi="Times New Roman" w:eastAsia="宋体" w:cs="Times New Roman"/>
                <w:color w:val="000000" w:themeColor="text1"/>
                <w:szCs w:val="21"/>
                <w:highlight w:val="none"/>
                <w14:textFill>
                  <w14:solidFill>
                    <w14:schemeClr w14:val="tx1"/>
                  </w14:solidFill>
                </w14:textFill>
              </w:rPr>
              <w:t>生态评价等级判定为</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二</w:t>
            </w:r>
            <w:r>
              <w:rPr>
                <w:rFonts w:hint="default" w:ascii="Times New Roman" w:hAnsi="Times New Roman" w:eastAsia="宋体" w:cs="Times New Roman"/>
                <w:color w:val="000000" w:themeColor="text1"/>
                <w:szCs w:val="21"/>
                <w:highlight w:val="none"/>
                <w14:textFill>
                  <w14:solidFill>
                    <w14:schemeClr w14:val="tx1"/>
                  </w14:solidFill>
                </w14:textFill>
              </w:rPr>
              <w:t>级</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w:t>
            </w:r>
          </w:p>
        </w:tc>
        <w:tc>
          <w:tcPr>
            <w:tcW w:w="467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f）当工程占地规模大于20km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时（包括永久和临时占用陆域和水域），评价等级不低于二级；改扩建项目的占地范围以新增占地（包括陆域和水域）确定</w:t>
            </w:r>
          </w:p>
        </w:tc>
        <w:tc>
          <w:tcPr>
            <w:tcW w:w="263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w:t>
            </w:r>
          </w:p>
        </w:tc>
        <w:tc>
          <w:tcPr>
            <w:tcW w:w="467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建设项目涉及经论证对保护生物多样性具有重要意义的区域时，可适当上调评价等级</w:t>
            </w:r>
          </w:p>
        </w:tc>
        <w:tc>
          <w:tcPr>
            <w:tcW w:w="263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w:t>
            </w:r>
          </w:p>
        </w:tc>
        <w:tc>
          <w:tcPr>
            <w:tcW w:w="467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在矿山开采可能导致矿区土地利用类型明显改变，或拦河闸坝建设可能明显改变水文情势等情况下，评价等级应上调一级</w:t>
            </w:r>
          </w:p>
        </w:tc>
        <w:tc>
          <w:tcPr>
            <w:tcW w:w="263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不涉及</w:t>
            </w: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lang w:val="en-US" w:eastAsia="zh-CN"/>
          <w14:textFill>
            <w14:solidFill>
              <w14:schemeClr w14:val="tx1"/>
            </w14:solidFill>
          </w14:textFill>
        </w:rPr>
        <w:t>综上，</w:t>
      </w:r>
      <w:r>
        <w:rPr>
          <w:rFonts w:hint="default" w:ascii="Times New Roman" w:hAnsi="Times New Roman" w:cs="Times New Roman"/>
          <w:bCs/>
          <w:color w:val="000000" w:themeColor="text1"/>
          <w:szCs w:val="24"/>
          <w:highlight w:val="none"/>
          <w14:textFill>
            <w14:solidFill>
              <w14:schemeClr w14:val="tx1"/>
            </w14:solidFill>
          </w14:textFill>
        </w:rPr>
        <w:t>根据项目特点及《环境影响评价技术导则 生态环境》（HJ19-2022），本项目占地范围不涉及国家公园、自然保护区、世界自然遗产、重要生境、天然林、公益林、湿地、饮用水源保护区、重点生态功能保护区、沙化土地封禁保护区等敏感目标，属一般区域；</w:t>
      </w:r>
      <w:r>
        <w:rPr>
          <w:rFonts w:hint="eastAsia" w:cs="Times New Roman"/>
          <w:bCs/>
          <w:color w:val="000000" w:themeColor="text1"/>
          <w:szCs w:val="24"/>
          <w:highlight w:val="none"/>
          <w:lang w:val="en-US" w:eastAsia="zh-CN"/>
          <w14:textFill>
            <w14:solidFill>
              <w14:schemeClr w14:val="tx1"/>
            </w14:solidFill>
          </w14:textFill>
        </w:rPr>
        <w:t>项目生态评价范围</w:t>
      </w:r>
      <w:r>
        <w:rPr>
          <w:rFonts w:hint="default" w:ascii="Times New Roman" w:hAnsi="Times New Roman" w:cs="Times New Roman"/>
          <w:color w:val="000000" w:themeColor="text1"/>
          <w:szCs w:val="21"/>
          <w:highlight w:val="none"/>
          <w:lang w:val="en-US" w:eastAsia="zh-CN"/>
          <w14:textFill>
            <w14:solidFill>
              <w14:schemeClr w14:val="tx1"/>
            </w14:solidFill>
          </w14:textFill>
        </w:rPr>
        <w:t>不涉及天然林，但有公益林分布，主要分布于场地西侧约102m（见附图12），</w:t>
      </w:r>
      <w:r>
        <w:rPr>
          <w:rFonts w:hint="default" w:ascii="Times New Roman" w:hAnsi="Times New Roman" w:cs="Times New Roman"/>
          <w:bCs/>
          <w:color w:val="000000" w:themeColor="text1"/>
          <w:szCs w:val="24"/>
          <w:highlight w:val="none"/>
          <w14:textFill>
            <w14:solidFill>
              <w14:schemeClr w14:val="tx1"/>
            </w14:solidFill>
          </w14:textFill>
        </w:rPr>
        <w:t>因此本项目的生态环境影响评价工作等级定为</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二</w:t>
      </w:r>
      <w:r>
        <w:rPr>
          <w:rFonts w:hint="default" w:ascii="Times New Roman" w:hAnsi="Times New Roman" w:cs="Times New Roman"/>
          <w:bCs/>
          <w:color w:val="000000" w:themeColor="text1"/>
          <w:szCs w:val="24"/>
          <w:highlight w:val="none"/>
          <w14:textFill>
            <w14:solidFill>
              <w14:schemeClr w14:val="tx1"/>
            </w14:solidFill>
          </w14:textFill>
        </w:rPr>
        <w:t>级。</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项目评价区无较大的地表水体分布，</w:t>
      </w:r>
      <w:r>
        <w:rPr>
          <w:rFonts w:hint="eastAsia" w:cs="Times New Roman"/>
          <w:color w:val="000000" w:themeColor="text1"/>
          <w:szCs w:val="24"/>
          <w:highlight w:val="none"/>
          <w:lang w:val="en-US" w:eastAsia="zh-CN"/>
          <w14:textFill>
            <w14:solidFill>
              <w14:schemeClr w14:val="tx1"/>
            </w14:solidFill>
          </w14:textFill>
        </w:rPr>
        <w:t>且</w:t>
      </w:r>
      <w:r>
        <w:rPr>
          <w:rFonts w:hint="default" w:ascii="Times New Roman" w:hAnsi="Times New Roman" w:cs="Times New Roman"/>
          <w:color w:val="000000" w:themeColor="text1"/>
          <w:szCs w:val="24"/>
          <w:highlight w:val="none"/>
          <w14:textFill>
            <w14:solidFill>
              <w14:schemeClr w14:val="tx1"/>
            </w14:solidFill>
          </w14:textFill>
        </w:rPr>
        <w:t>项目评价范围不涉及水域，项目废水不外排，无需进行水生生态评价</w:t>
      </w:r>
      <w:r>
        <w:rPr>
          <w:rFonts w:hint="default" w:ascii="Times New Roman" w:hAnsi="Times New Roman" w:cs="Times New Roman"/>
          <w:color w:val="000000" w:themeColor="text1"/>
          <w:highlight w:val="none"/>
          <w14:textFill>
            <w14:solidFill>
              <w14:schemeClr w14:val="tx1"/>
            </w14:solidFill>
          </w14:textFill>
        </w:rPr>
        <w:t>。</w:t>
      </w:r>
    </w:p>
    <w:p>
      <w:pPr>
        <w:keepNext w:val="0"/>
        <w:keepLines w:val="0"/>
        <w:pageBreakBefore w:val="0"/>
        <w:widowControl w:val="0"/>
        <w:numPr>
          <w:ilvl w:val="0"/>
          <w:numId w:val="8"/>
        </w:numPr>
        <w:tabs>
          <w:tab w:val="left" w:pos="0"/>
        </w:tabs>
        <w:kinsoku/>
        <w:wordWrap/>
        <w:overflowPunct/>
        <w:topLinePunct w:val="0"/>
        <w:autoSpaceDE/>
        <w:autoSpaceDN/>
        <w:bidi w:val="0"/>
        <w:adjustRightInd w:val="0"/>
        <w:snapToGrid w:val="0"/>
        <w:ind w:left="0" w:leftChars="0" w:firstLine="480" w:firstLineChars="200"/>
        <w:textAlignment w:val="auto"/>
        <w:outlineLvl w:val="9"/>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评价范围</w:t>
      </w:r>
      <w:bookmarkStart w:id="61" w:name="_Hlk155272651"/>
    </w:p>
    <w:p>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ind w:firstLine="480" w:firstLineChars="200"/>
        <w:textAlignment w:val="auto"/>
        <w:outlineLvl w:val="9"/>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根据《环境影响评价技术导则 生态影响》（HJ19-2022）、《环境影响评价技术导则 陆地石油天然气开发建设项目》（HJ349-2023）。本次生态评价范围确定原则如下：</w:t>
      </w:r>
    </w:p>
    <w:p>
      <w:pPr>
        <w:keepNext/>
        <w:keepLines/>
        <w:pageBreakBefore w:val="0"/>
        <w:widowControl/>
        <w:kinsoku/>
        <w:wordWrap/>
        <w:overflowPunct/>
        <w:topLinePunct w:val="0"/>
        <w:autoSpaceDE/>
        <w:autoSpaceDN/>
        <w:bidi w:val="0"/>
        <w:adjustRightInd w:val="0"/>
        <w:snapToGrid w:val="0"/>
        <w:spacing w:before="0" w:after="0" w:line="360" w:lineRule="auto"/>
        <w:ind w:firstLine="480" w:firstLineChars="200"/>
        <w:jc w:val="left"/>
        <w:textAlignment w:val="auto"/>
        <w:outlineLvl w:val="9"/>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a）生态影响评价应能够充分体现生态完整性和生物多样性保护要求，涵盖评价项目全部活动的直接影响区域和间接影响区域。评价范围应依据评价项目对生态因子的影响方式、影响程度和生态因子之间的相互影响和相互依存关系确定。可综合考虑评价项目与项目区的气候过程、水文过程、生物过程等生物地球化学循环过程的相互作用关系，以评价项目影响区域所涉及的完整气候单元、水文单元、生态单元、地理单元界限为参照边界。</w:t>
      </w:r>
    </w:p>
    <w:p>
      <w:pPr>
        <w:keepNext/>
        <w:keepLines/>
        <w:pageBreakBefore w:val="0"/>
        <w:widowControl/>
        <w:kinsoku/>
        <w:wordWrap/>
        <w:overflowPunct/>
        <w:topLinePunct w:val="0"/>
        <w:autoSpaceDE/>
        <w:autoSpaceDN/>
        <w:bidi w:val="0"/>
        <w:adjustRightInd w:val="0"/>
        <w:snapToGrid w:val="0"/>
        <w:spacing w:before="0" w:after="0" w:line="360" w:lineRule="auto"/>
        <w:ind w:firstLine="480" w:firstLineChars="200"/>
        <w:jc w:val="left"/>
        <w:textAlignment w:val="auto"/>
        <w:outlineLvl w:val="9"/>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b）井场、站场（含净化厂）等工程以场界周围50米范围、集输管道等线性工程两侧外延300米为评价范围。通过大气、地表水、噪声等环境要素间接影响生态保护目标的项目，其评价范围应涵盖污染物排放产生的间接生态影响区域。</w:t>
      </w:r>
    </w:p>
    <w:p>
      <w:pPr>
        <w:keepNext/>
        <w:keepLines/>
        <w:pageBreakBefore w:val="0"/>
        <w:widowControl/>
        <w:kinsoku/>
        <w:wordWrap/>
        <w:overflowPunct/>
        <w:topLinePunct w:val="0"/>
        <w:autoSpaceDE/>
        <w:autoSpaceDN/>
        <w:bidi w:val="0"/>
        <w:adjustRightInd w:val="0"/>
        <w:snapToGrid w:val="0"/>
        <w:spacing w:before="0" w:after="0" w:line="360" w:lineRule="auto"/>
        <w:ind w:firstLine="480" w:firstLineChars="200"/>
        <w:jc w:val="left"/>
        <w:textAlignment w:val="auto"/>
        <w:outlineLvl w:val="9"/>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c）占用生态敏感区的工程，应根据生态敏感区的主要生态功能、保护对象等合理确定评价范围。线性工程穿越生态敏感区时，以线路穿越段向两端外延1千米、线路中心线向两侧外延1千米为评价范围，并结合生态敏感区主要保护对象的分布、生态学特征、项目的穿越方式、周边地形地貌等适当调整。</w:t>
      </w:r>
    </w:p>
    <w:p>
      <w:pPr>
        <w:keepNext/>
        <w:keepLines/>
        <w:pageBreakBefore w:val="0"/>
        <w:widowControl/>
        <w:kinsoku/>
        <w:wordWrap/>
        <w:overflowPunct/>
        <w:topLinePunct w:val="0"/>
        <w:autoSpaceDE/>
        <w:autoSpaceDN/>
        <w:bidi w:val="0"/>
        <w:adjustRightInd w:val="0"/>
        <w:snapToGrid w:val="0"/>
        <w:spacing w:before="0" w:after="0" w:line="360" w:lineRule="auto"/>
        <w:ind w:firstLine="480" w:firstLineChars="200"/>
        <w:jc w:val="left"/>
        <w:textAlignment w:val="auto"/>
        <w:outlineLvl w:val="9"/>
        <w:rPr>
          <w:rFonts w:hint="default" w:ascii="Times New Roman" w:hAnsi="Times New Roman" w:eastAsia="宋体" w:cs="Times New Roman"/>
          <w:b w:val="0"/>
          <w:bCs/>
          <w:color w:val="000000" w:themeColor="text1"/>
          <w:kern w:val="0"/>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u w:val="none"/>
          <w:lang w:val="en-US" w:eastAsia="zh-CN" w:bidi="ar-SA"/>
          <w14:textFill>
            <w14:solidFill>
              <w14:schemeClr w14:val="tx1"/>
            </w14:solidFill>
          </w14:textFill>
        </w:rPr>
        <w:t>本项目不直接占用生态敏感区。因此，本次评价根据上述评价范围的划分原则和本项目现场踏勘调查实际情况，依据项目建设对生态因子的影响方式、影响程度和生态因子之间的相互影响和相互依存关系，确定评价范围如下：</w:t>
      </w:r>
    </w:p>
    <w:p>
      <w:pPr>
        <w:keepNext/>
        <w:keepLines/>
        <w:pageBreakBefore w:val="0"/>
        <w:widowControl/>
        <w:kinsoku/>
        <w:wordWrap/>
        <w:overflowPunct/>
        <w:topLinePunct w:val="0"/>
        <w:autoSpaceDE/>
        <w:autoSpaceDN/>
        <w:bidi w:val="0"/>
        <w:adjustRightInd w:val="0"/>
        <w:snapToGrid w:val="0"/>
        <w:spacing w:before="0" w:after="0" w:line="360" w:lineRule="auto"/>
        <w:ind w:firstLine="480" w:firstLineChars="200"/>
        <w:jc w:val="left"/>
        <w:textAlignment w:val="auto"/>
        <w:outlineLvl w:val="9"/>
        <w:rPr>
          <w:rFonts w:hint="default" w:ascii="Times New Roman" w:hAnsi="Times New Roman" w:eastAsia="宋体" w:cs="Times New Roman"/>
          <w:b w:val="0"/>
          <w:bCs/>
          <w:color w:val="000000" w:themeColor="text1"/>
          <w:kern w:val="0"/>
          <w:sz w:val="24"/>
          <w:szCs w:val="24"/>
          <w:highlight w:val="none"/>
          <w:u w:val="singl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u w:val="single"/>
          <w:lang w:val="en-US" w:eastAsia="zh-CN" w:bidi="ar-SA"/>
          <w14:textFill>
            <w14:solidFill>
              <w14:schemeClr w14:val="tx1"/>
            </w14:solidFill>
          </w14:textFill>
        </w:rPr>
        <w:t>主要包含</w:t>
      </w:r>
      <w:r>
        <w:rPr>
          <w:rFonts w:hint="eastAsia" w:cs="Times New Roman"/>
          <w:b w:val="0"/>
          <w:bCs/>
          <w:color w:val="000000" w:themeColor="text1"/>
          <w:kern w:val="0"/>
          <w:sz w:val="24"/>
          <w:szCs w:val="24"/>
          <w:highlight w:val="none"/>
          <w:u w:val="single"/>
          <w:lang w:val="en-US" w:eastAsia="zh-CN" w:bidi="ar-SA"/>
          <w14:textFill>
            <w14:solidFill>
              <w14:schemeClr w14:val="tx1"/>
            </w14:solidFill>
          </w14:textFill>
        </w:rPr>
        <w:t>井场、</w:t>
      </w:r>
      <w:r>
        <w:rPr>
          <w:rFonts w:hint="default" w:ascii="Times New Roman" w:hAnsi="Times New Roman" w:eastAsia="宋体" w:cs="Times New Roman"/>
          <w:b w:val="0"/>
          <w:bCs/>
          <w:color w:val="000000" w:themeColor="text1"/>
          <w:kern w:val="0"/>
          <w:sz w:val="24"/>
          <w:szCs w:val="24"/>
          <w:highlight w:val="none"/>
          <w:u w:val="single"/>
          <w:lang w:val="en-US" w:eastAsia="zh-CN" w:bidi="ar-SA"/>
          <w14:textFill>
            <w14:solidFill>
              <w14:schemeClr w14:val="tx1"/>
            </w14:solidFill>
          </w14:textFill>
        </w:rPr>
        <w:t>集气站、清水池、放喷池、生活营地等，考虑到土壤影响评价范围为200m（本次站场工程生态评价范围由50m扩展至200m）。</w:t>
      </w:r>
    </w:p>
    <w:p>
      <w:pPr>
        <w:keepNext/>
        <w:keepLines/>
        <w:pageBreakBefore w:val="0"/>
        <w:widowControl/>
        <w:kinsoku/>
        <w:wordWrap/>
        <w:overflowPunct/>
        <w:topLinePunct w:val="0"/>
        <w:autoSpaceDE/>
        <w:autoSpaceDN/>
        <w:bidi w:val="0"/>
        <w:adjustRightInd w:val="0"/>
        <w:snapToGrid w:val="0"/>
        <w:spacing w:before="0" w:after="0" w:line="360" w:lineRule="auto"/>
        <w:ind w:firstLine="482" w:firstLineChars="200"/>
        <w:jc w:val="left"/>
        <w:textAlignment w:val="auto"/>
        <w:outlineLvl w:val="9"/>
        <w:rPr>
          <w:rFonts w:hint="default" w:ascii="Times New Roman" w:hAnsi="Times New Roman" w:eastAsia="宋体" w:cs="Times New Roman"/>
          <w:b/>
          <w:bCs w:val="0"/>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0"/>
          <w:sz w:val="24"/>
          <w:szCs w:val="24"/>
          <w:highlight w:val="none"/>
          <w:lang w:val="en-US" w:eastAsia="zh-CN" w:bidi="ar-SA"/>
          <w14:textFill>
            <w14:solidFill>
              <w14:schemeClr w14:val="tx1"/>
            </w14:solidFill>
          </w14:textFill>
        </w:rPr>
        <w:t>此外，本次评价还同时考虑与项目区的气候过程、水文过程、生物过程等生物地球化学循环过程的相互作用关系，以项目影响区域所涉及的完整气候单元、水文单元、生态单元、地理单元界限为参照边界进行修正和完善，最终确定评价范围，</w:t>
      </w:r>
      <w:bookmarkEnd w:id="61"/>
      <w:r>
        <w:rPr>
          <w:rFonts w:hint="default" w:ascii="Times New Roman" w:hAnsi="Times New Roman" w:eastAsia="宋体" w:cs="Times New Roman"/>
          <w:b/>
          <w:bCs w:val="0"/>
          <w:color w:val="000000" w:themeColor="text1"/>
          <w:kern w:val="0"/>
          <w:sz w:val="24"/>
          <w:szCs w:val="24"/>
          <w:highlight w:val="none"/>
          <w:lang w:val="en-US" w:eastAsia="zh-CN" w:bidi="ar-SA"/>
          <w14:textFill>
            <w14:solidFill>
              <w14:schemeClr w14:val="tx1"/>
            </w14:solidFill>
          </w14:textFill>
        </w:rPr>
        <w:t>面积为38.04hm</w:t>
      </w:r>
      <w:r>
        <w:rPr>
          <w:rFonts w:hint="default" w:ascii="Times New Roman" w:hAnsi="Times New Roman" w:eastAsia="宋体" w:cs="Times New Roman"/>
          <w:b/>
          <w:bCs w:val="0"/>
          <w:color w:val="000000" w:themeColor="text1"/>
          <w:kern w:val="0"/>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b/>
          <w:bCs w:val="0"/>
          <w:color w:val="000000" w:themeColor="text1"/>
          <w:kern w:val="0"/>
          <w:sz w:val="24"/>
          <w:szCs w:val="24"/>
          <w:highlight w:val="none"/>
          <w:lang w:val="en-US" w:eastAsia="zh-CN" w:bidi="ar-SA"/>
          <w14:textFill>
            <w14:solidFill>
              <w14:schemeClr w14:val="tx1"/>
            </w14:solidFill>
          </w14:textFill>
        </w:rPr>
        <w:t>。</w:t>
      </w:r>
    </w:p>
    <w:p>
      <w:pPr>
        <w:ind w:firstLine="199" w:firstLineChars="83"/>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5271770" cy="4668520"/>
            <wp:effectExtent l="0" t="0" r="11430" b="5080"/>
            <wp:docPr id="17" name="图片 17" descr="171227339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712273399748"/>
                    <pic:cNvPicPr>
                      <a:picLocks noChangeAspect="1"/>
                    </pic:cNvPicPr>
                  </pic:nvPicPr>
                  <pic:blipFill>
                    <a:blip r:embed="rId21"/>
                    <a:stretch>
                      <a:fillRect/>
                    </a:stretch>
                  </pic:blipFill>
                  <pic:spPr>
                    <a:xfrm>
                      <a:off x="0" y="0"/>
                      <a:ext cx="5271770" cy="4668520"/>
                    </a:xfrm>
                    <a:prstGeom prst="rect">
                      <a:avLst/>
                    </a:prstGeom>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ascii="Times New Roman" w:hAnsi="Times New Roman" w:cs="Times New Roman"/>
          <w:color w:val="000000" w:themeColor="text1"/>
          <w:highlight w:val="none"/>
          <w:lang w:val="en-US" w:eastAsia="zh-CN"/>
          <w14:textFill>
            <w14:solidFill>
              <w14:schemeClr w14:val="tx1"/>
            </w14:solidFill>
          </w14:textFill>
        </w:rPr>
        <w:t xml:space="preserve">6   </w:t>
      </w:r>
      <w:r>
        <w:rPr>
          <w:rFonts w:hint="default" w:ascii="Times New Roman" w:hAnsi="Times New Roman" w:cs="Times New Roman"/>
          <w:color w:val="000000" w:themeColor="text1"/>
          <w:highlight w:val="none"/>
          <w14:textFill>
            <w14:solidFill>
              <w14:schemeClr w14:val="tx1"/>
            </w14:solidFill>
          </w14:textFill>
        </w:rPr>
        <w:t>生态环境评价范围图</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62" w:name="_Toc120173076"/>
      <w:r>
        <w:rPr>
          <w:rFonts w:hint="default" w:ascii="Times New Roman" w:hAnsi="Times New Roman" w:cs="Times New Roman"/>
          <w:color w:val="000000" w:themeColor="text1"/>
          <w:highlight w:val="none"/>
          <w:lang w:eastAsia="zh-CN"/>
          <w14:textFill>
            <w14:solidFill>
              <w14:schemeClr w14:val="tx1"/>
            </w14:solidFill>
          </w14:textFill>
        </w:rPr>
        <w:t>环境风险</w:t>
      </w:r>
      <w:bookmarkEnd w:id="62"/>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w:t>
      </w:r>
      <w:r>
        <w:rPr>
          <w:rFonts w:hint="default" w:ascii="Times New Roman" w:hAnsi="Times New Roman" w:cs="Times New Roman"/>
          <w:bCs/>
          <w:color w:val="000000" w:themeColor="text1"/>
          <w:szCs w:val="24"/>
          <w:highlight w:val="none"/>
          <w14:textFill>
            <w14:solidFill>
              <w14:schemeClr w14:val="tx1"/>
            </w14:solidFill>
          </w14:textFill>
        </w:rPr>
        <w:t>评价工作等级</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根据《建设项目环境风险评价技术导则》（HJ169-2018）中关于环境风险评价工作等级的划分方法，本工程输送的介质为含硫天然气，项目涉及的主要危险有害物质为甲烷、硫化氢、盐酸、柴油、白油</w:t>
      </w:r>
      <w:r>
        <w:rPr>
          <w:rFonts w:hint="default" w:ascii="Times New Roman" w:hAnsi="Times New Roman" w:cs="Times New Roman"/>
          <w:color w:val="000000" w:themeColor="text1"/>
          <w:highlight w:val="none"/>
          <w14:textFill>
            <w14:solidFill>
              <w14:schemeClr w14:val="tx1"/>
            </w14:solidFill>
          </w14:textFill>
        </w:rPr>
        <w:t>（采用油基钻井时</w:t>
      </w:r>
      <w:r>
        <w:rPr>
          <w:rFonts w:hint="default" w:ascii="Times New Roman" w:hAnsi="Times New Roman" w:cs="Times New Roman"/>
          <w:color w:val="000000" w:themeColor="text1"/>
          <w:highlight w:val="none"/>
          <w:lang w:val="en-US" w:eastAsia="zh-CN"/>
          <w14:textFill>
            <w14:solidFill>
              <w14:schemeClr w14:val="tx1"/>
            </w14:solidFill>
          </w14:textFill>
        </w:rPr>
        <w:t>配置油基钻井液</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油基钻井液（采用油基钻井时）</w:t>
      </w:r>
      <w:r>
        <w:rPr>
          <w:rFonts w:hint="default" w:ascii="Times New Roman" w:hAnsi="Times New Roman" w:cs="Times New Roman"/>
          <w:bCs/>
          <w:color w:val="000000" w:themeColor="text1"/>
          <w:szCs w:val="24"/>
          <w:highlight w:val="none"/>
          <w14:textFill>
            <w14:solidFill>
              <w14:schemeClr w14:val="tx1"/>
            </w14:solidFill>
          </w14:textFill>
        </w:rPr>
        <w:t>和气田水。</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气田水</w:t>
      </w:r>
      <w:r>
        <w:rPr>
          <w:rFonts w:hint="eastAsia"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钻井废水、洗井废水、压裂返排液不属于《建设项目风险评价技术导则》（HJ169-2018）附录B中重点关注的危险物质</w:t>
      </w:r>
      <w:r>
        <w:rPr>
          <w:rFonts w:hint="eastAsia"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根据分析</w:t>
      </w:r>
      <w:r>
        <w:rPr>
          <w:rFonts w:hint="eastAsia" w:cs="Times New Roman"/>
          <w:bCs/>
          <w:color w:val="000000" w:themeColor="text1"/>
          <w:szCs w:val="24"/>
          <w:highlight w:val="none"/>
          <w:lang w:val="en-US" w:eastAsia="zh-CN"/>
          <w14:textFill>
            <w14:solidFill>
              <w14:schemeClr w14:val="tx1"/>
            </w14:solidFill>
          </w14:textFill>
        </w:rPr>
        <w:t>上述物质</w:t>
      </w:r>
      <w:r>
        <w:rPr>
          <w:rFonts w:hint="default" w:ascii="Times New Roman" w:hAnsi="Times New Roman" w:cs="Times New Roman"/>
          <w:bCs/>
          <w:color w:val="000000" w:themeColor="text1"/>
          <w:szCs w:val="24"/>
          <w:highlight w:val="none"/>
          <w14:textFill>
            <w14:solidFill>
              <w14:schemeClr w14:val="tx1"/>
            </w14:solidFill>
          </w14:textFill>
        </w:rPr>
        <w:t>属于危害水环境物质，但不属于急性毒性类别1中物质</w:t>
      </w:r>
      <w:r>
        <w:rPr>
          <w:rFonts w:hint="eastAsia"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，本次评价仅对其在</w:t>
      </w:r>
      <w:r>
        <w:rPr>
          <w:rFonts w:hint="eastAsia" w:cs="Times New Roman"/>
          <w:bCs/>
          <w:color w:val="000000" w:themeColor="text1"/>
          <w:szCs w:val="24"/>
          <w:highlight w:val="none"/>
          <w:lang w:val="en-US" w:eastAsia="zh-CN"/>
          <w14:textFill>
            <w14:solidFill>
              <w14:schemeClr w14:val="tx1"/>
            </w14:solidFill>
          </w14:textFill>
        </w:rPr>
        <w:t>收集、暂存、转运</w:t>
      </w:r>
      <w:r>
        <w:rPr>
          <w:rFonts w:hint="default" w:ascii="Times New Roman" w:hAnsi="Times New Roman" w:cs="Times New Roman"/>
          <w:bCs/>
          <w:color w:val="000000" w:themeColor="text1"/>
          <w:szCs w:val="24"/>
          <w:highlight w:val="none"/>
          <w14:textFill>
            <w14:solidFill>
              <w14:schemeClr w14:val="tx1"/>
            </w14:solidFill>
          </w14:textFill>
        </w:rPr>
        <w:t>储存过程中的风险提出措施</w:t>
      </w:r>
      <w:r>
        <w:rPr>
          <w:rFonts w:hint="eastAsia"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不纳入风险评价等级判定。</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snapToGrid w:val="0"/>
          <w:color w:val="000000" w:themeColor="text1"/>
          <w:highlight w:val="none"/>
          <w:lang w:val="en-US" w:eastAsia="zh-CN"/>
          <w14:textFill>
            <w14:solidFill>
              <w14:schemeClr w14:val="tx1"/>
            </w14:solidFill>
          </w14:textFill>
        </w:rPr>
      </w:pPr>
      <w:r>
        <w:rPr>
          <w:rFonts w:hint="default" w:ascii="Times New Roman" w:hAnsi="Times New Roman" w:cs="Times New Roman"/>
          <w:bCs/>
          <w:snapToGrid w:val="0"/>
          <w:color w:val="000000" w:themeColor="text1"/>
          <w:highlight w:val="none"/>
          <w:lang w:val="en-US" w:eastAsia="zh-CN"/>
          <w14:textFill>
            <w14:solidFill>
              <w14:schemeClr w14:val="tx1"/>
            </w14:solidFill>
          </w14:textFill>
        </w:rPr>
        <w:t>根据后文风险评价内容，本次将不同施工阶段的风险物质Q值计算结果分别列出如下：</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Cs/>
          <w:snapToGrid w:val="0"/>
          <w:color w:val="000000" w:themeColor="text1"/>
          <w:highlight w:val="none"/>
          <w14:textFill>
            <w14:solidFill>
              <w14:schemeClr w14:val="tx1"/>
            </w14:solidFill>
          </w14:textFill>
        </w:rPr>
      </w:pPr>
      <w:r>
        <w:rPr>
          <w:rFonts w:hint="default" w:ascii="Times New Roman" w:hAnsi="Times New Roman" w:eastAsia="宋体" w:cs="Times New Roman"/>
          <w:bCs/>
          <w:snapToGrid w:val="0"/>
          <w:color w:val="000000" w:themeColor="text1"/>
          <w:highlight w:val="none"/>
          <w14:textFill>
            <w14:solidFill>
              <w14:schemeClr w14:val="tx1"/>
            </w14:solidFill>
          </w14:textFill>
        </w:rPr>
        <w:t>①施工期</w:t>
      </w:r>
      <w:r>
        <w:rPr>
          <w:rFonts w:hint="default" w:ascii="Times New Roman" w:hAnsi="Times New Roman" w:eastAsia="宋体" w:cs="Times New Roman"/>
          <w:bCs/>
          <w:snapToGrid w:val="0"/>
          <w:color w:val="000000" w:themeColor="text1"/>
          <w:highlight w:val="none"/>
          <w:lang w:eastAsia="zh-CN"/>
          <w14:textFill>
            <w14:solidFill>
              <w14:schemeClr w14:val="tx1"/>
            </w14:solidFill>
          </w14:textFill>
        </w:rPr>
        <w:t>（</w:t>
      </w:r>
      <w:r>
        <w:rPr>
          <w:rFonts w:hint="default" w:ascii="Times New Roman" w:hAnsi="Times New Roman" w:eastAsia="宋体" w:cs="Times New Roman"/>
          <w:bCs/>
          <w:snapToGrid w:val="0"/>
          <w:color w:val="000000" w:themeColor="text1"/>
          <w:highlight w:val="none"/>
          <w:lang w:val="en-US" w:eastAsia="zh-CN"/>
          <w14:textFill>
            <w14:solidFill>
              <w14:schemeClr w14:val="tx1"/>
            </w14:solidFill>
          </w14:textFill>
        </w:rPr>
        <w:t>钻井施工阶段）的</w:t>
      </w:r>
      <w:r>
        <w:rPr>
          <w:rFonts w:hint="default" w:ascii="Times New Roman" w:hAnsi="Times New Roman" w:eastAsia="宋体" w:cs="Times New Roman"/>
          <w:bCs/>
          <w:snapToGrid w:val="0"/>
          <w:color w:val="000000" w:themeColor="text1"/>
          <w:highlight w:val="none"/>
          <w14:textFill>
            <w14:solidFill>
              <w14:schemeClr w14:val="tx1"/>
            </w14:solidFill>
          </w14:textFill>
        </w:rPr>
        <w:t>天然气所含的甲烷、硫化氢和油类物质的Q值计算结果为0.724，Q值＜1；</w:t>
      </w:r>
      <w:r>
        <w:rPr>
          <w:rFonts w:hint="default" w:ascii="Times New Roman" w:hAnsi="Times New Roman" w:eastAsia="宋体" w:cs="Times New Roman"/>
          <w:bCs/>
          <w:snapToGrid w:val="0"/>
          <w:color w:val="000000" w:themeColor="text1"/>
          <w:highlight w:val="none"/>
          <w:lang w:val="en-US" w:eastAsia="zh-CN"/>
          <w14:textFill>
            <w14:solidFill>
              <w14:schemeClr w14:val="tx1"/>
            </w14:solidFill>
          </w14:textFill>
        </w:rPr>
        <w:t>施工期（储层改造</w:t>
      </w:r>
      <w:r>
        <w:rPr>
          <w:rFonts w:hint="default" w:ascii="Times New Roman" w:hAnsi="Times New Roman" w:eastAsia="宋体" w:cs="Times New Roman"/>
          <w:bCs/>
          <w:snapToGrid w:val="0"/>
          <w:color w:val="000000" w:themeColor="text1"/>
          <w:highlight w:val="none"/>
          <w14:textFill>
            <w14:solidFill>
              <w14:schemeClr w14:val="tx1"/>
            </w14:solidFill>
          </w14:textFill>
        </w:rPr>
        <w:t>阶段</w:t>
      </w:r>
      <w:r>
        <w:rPr>
          <w:rFonts w:hint="default" w:ascii="Times New Roman" w:hAnsi="Times New Roman" w:eastAsia="宋体" w:cs="Times New Roman"/>
          <w:bCs/>
          <w:snapToGrid w:val="0"/>
          <w:color w:val="000000" w:themeColor="text1"/>
          <w:highlight w:val="none"/>
          <w:lang w:eastAsia="zh-CN"/>
          <w14:textFill>
            <w14:solidFill>
              <w14:schemeClr w14:val="tx1"/>
            </w14:solidFill>
          </w14:textFill>
        </w:rPr>
        <w:t>）</w:t>
      </w:r>
      <w:r>
        <w:rPr>
          <w:rFonts w:hint="default" w:ascii="Times New Roman" w:hAnsi="Times New Roman" w:eastAsia="宋体" w:cs="Times New Roman"/>
          <w:bCs/>
          <w:snapToGrid w:val="0"/>
          <w:color w:val="000000" w:themeColor="text1"/>
          <w:highlight w:val="none"/>
          <w14:textFill>
            <w14:solidFill>
              <w14:schemeClr w14:val="tx1"/>
            </w14:solidFill>
          </w14:textFill>
        </w:rPr>
        <w:t>的风险物质</w:t>
      </w:r>
      <w:r>
        <w:rPr>
          <w:rFonts w:hint="default" w:ascii="Times New Roman" w:hAnsi="Times New Roman" w:eastAsia="宋体" w:cs="Times New Roman"/>
          <w:color w:val="000000" w:themeColor="text1"/>
          <w:highlight w:val="none"/>
          <w14:textFill>
            <w14:solidFill>
              <w14:schemeClr w14:val="tx1"/>
            </w14:solidFill>
          </w14:textFill>
        </w:rPr>
        <w:t>37%浓度盐酸和柴油的</w:t>
      </w:r>
      <w:r>
        <w:rPr>
          <w:rFonts w:hint="default" w:ascii="Times New Roman" w:hAnsi="Times New Roman" w:eastAsia="宋体" w:cs="Times New Roman"/>
          <w:bCs/>
          <w:snapToGrid w:val="0"/>
          <w:color w:val="000000" w:themeColor="text1"/>
          <w:highlight w:val="none"/>
          <w14:textFill>
            <w14:solidFill>
              <w14:schemeClr w14:val="tx1"/>
            </w14:solidFill>
          </w14:textFill>
        </w:rPr>
        <w:t>Q值计算结果为0.6064，Q值＜1；</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Cs/>
          <w:snapToGrid w:val="0"/>
          <w:color w:val="000000" w:themeColor="text1"/>
          <w:highlight w:val="none"/>
          <w14:textFill>
            <w14:solidFill>
              <w14:schemeClr w14:val="tx1"/>
            </w14:solidFill>
          </w14:textFill>
        </w:rPr>
      </w:pPr>
      <w:r>
        <w:rPr>
          <w:rFonts w:hint="default" w:ascii="Times New Roman" w:hAnsi="Times New Roman" w:eastAsia="宋体" w:cs="Times New Roman"/>
          <w:bCs/>
          <w:snapToGrid w:val="0"/>
          <w:color w:val="000000" w:themeColor="text1"/>
          <w:highlight w:val="none"/>
          <w:lang w:val="en-US" w:eastAsia="zh-CN"/>
          <w14:textFill>
            <w14:solidFill>
              <w14:schemeClr w14:val="tx1"/>
            </w14:solidFill>
          </w14:textFill>
        </w:rPr>
        <w:t>②</w:t>
      </w:r>
      <w:r>
        <w:rPr>
          <w:rFonts w:hint="default" w:ascii="Times New Roman" w:hAnsi="Times New Roman" w:eastAsia="宋体" w:cs="Times New Roman"/>
          <w:bCs/>
          <w:snapToGrid w:val="0"/>
          <w:color w:val="000000" w:themeColor="text1"/>
          <w:highlight w:val="none"/>
          <w14:textFill>
            <w14:solidFill>
              <w14:schemeClr w14:val="tx1"/>
            </w14:solidFill>
          </w14:textFill>
        </w:rPr>
        <w:t>试采期天然气所含的甲烷和硫化氢的Q值计算结果为0.089，Q值＜1。</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综上所述，本项目各阶段对应的</w:t>
      </w:r>
      <w:r>
        <w:rPr>
          <w:rFonts w:hint="default" w:ascii="Times New Roman" w:hAnsi="Times New Roman" w:cs="Times New Roman"/>
          <w:b/>
          <w:bCs/>
          <w:color w:val="000000" w:themeColor="text1"/>
          <w:szCs w:val="24"/>
          <w:highlight w:val="none"/>
          <w:lang w:val="zh-CN"/>
          <w14:textFill>
            <w14:solidFill>
              <w14:schemeClr w14:val="tx1"/>
            </w14:solidFill>
          </w14:textFill>
        </w:rPr>
        <w:t>危险物质数量与临界量的比值（Q）</w:t>
      </w:r>
      <w:r>
        <w:rPr>
          <w:rFonts w:hint="default" w:ascii="Times New Roman" w:hAnsi="Times New Roman" w:cs="Times New Roman"/>
          <w:b/>
          <w:bCs/>
          <w:color w:val="000000" w:themeColor="text1"/>
          <w:szCs w:val="24"/>
          <w:highlight w:val="none"/>
          <w:lang w:val="en-US" w:eastAsia="zh-CN"/>
          <w14:textFill>
            <w14:solidFill>
              <w14:schemeClr w14:val="tx1"/>
            </w14:solidFill>
          </w14:textFill>
        </w:rPr>
        <w:t>均小于1，项目</w:t>
      </w:r>
      <w:r>
        <w:rPr>
          <w:rFonts w:hint="default" w:ascii="Times New Roman" w:hAnsi="Times New Roman" w:cs="Times New Roman"/>
          <w:b/>
          <w:bCs/>
          <w:color w:val="000000" w:themeColor="text1"/>
          <w:highlight w:val="none"/>
          <w14:textFill>
            <w14:solidFill>
              <w14:schemeClr w14:val="tx1"/>
            </w14:solidFill>
          </w14:textFill>
        </w:rPr>
        <w:t>环境风险潜势为I</w:t>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lang w:val="en-US" w:eastAsia="zh-CN"/>
          <w14:textFill>
            <w14:solidFill>
              <w14:schemeClr w14:val="tx1"/>
            </w14:solidFill>
          </w14:textFill>
        </w:rPr>
        <w:t xml:space="preserve">8 </w:t>
      </w:r>
      <w:r>
        <w:rPr>
          <w:rFonts w:hint="default" w:ascii="Times New Roman" w:hAnsi="Times New Roman" w:cs="Times New Roman"/>
          <w:color w:val="000000" w:themeColor="text1"/>
          <w:highlight w:val="none"/>
          <w14:textFill>
            <w14:solidFill>
              <w14:schemeClr w14:val="tx1"/>
            </w14:solidFill>
          </w14:textFill>
        </w:rPr>
        <w:t xml:space="preserve">  环境风险评价工作等级划分</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586"/>
        <w:gridCol w:w="1601"/>
        <w:gridCol w:w="1916"/>
        <w:gridCol w:w="1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环境风险潜势</w:t>
            </w:r>
          </w:p>
        </w:tc>
        <w:tc>
          <w:tcPr>
            <w:tcW w:w="15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Ⅳ、Ⅴ</w:t>
            </w:r>
            <w:r>
              <w:rPr>
                <w:rFonts w:hint="default" w:ascii="Times New Roman" w:hAnsi="Times New Roman" w:cs="Times New Roman"/>
                <w:color w:val="000000" w:themeColor="text1"/>
                <w:highlight w:val="none"/>
                <w:vertAlign w:val="superscript"/>
                <w14:textFill>
                  <w14:solidFill>
                    <w14:schemeClr w14:val="tx1"/>
                  </w14:solidFill>
                </w14:textFill>
              </w:rPr>
              <w:t>+</w:t>
            </w:r>
          </w:p>
        </w:tc>
        <w:tc>
          <w:tcPr>
            <w:tcW w:w="16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Ⅲ</w:t>
            </w:r>
          </w:p>
        </w:tc>
        <w:tc>
          <w:tcPr>
            <w:tcW w:w="191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Ⅱ</w:t>
            </w:r>
          </w:p>
        </w:tc>
        <w:tc>
          <w:tcPr>
            <w:tcW w:w="156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评价工作等级</w:t>
            </w:r>
          </w:p>
        </w:tc>
        <w:tc>
          <w:tcPr>
            <w:tcW w:w="15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w:t>
            </w:r>
          </w:p>
        </w:tc>
        <w:tc>
          <w:tcPr>
            <w:tcW w:w="16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w:t>
            </w:r>
          </w:p>
        </w:tc>
        <w:tc>
          <w:tcPr>
            <w:tcW w:w="191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w:t>
            </w:r>
          </w:p>
        </w:tc>
        <w:tc>
          <w:tcPr>
            <w:tcW w:w="156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2" w:type="dxa"/>
            <w:gridSpan w:val="5"/>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a 是相对于详细评价工作内容而言，在描述危险物质、环境影响途径、环境危害后果、</w:t>
            </w:r>
          </w:p>
          <w:p>
            <w:pPr>
              <w:pStyle w:val="295"/>
              <w:rPr>
                <w:rFonts w:hint="default" w:ascii="Times New Roman" w:hAnsi="Times New Roman" w:cs="Times New Roman"/>
                <w:color w:val="000000" w:themeColor="text1"/>
                <w:highlight w:val="none"/>
                <w:shd w:val="pct10" w:color="auto" w:fill="FFFFFF"/>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风险防范措施等方面给出定性的说明。</w:t>
            </w:r>
          </w:p>
        </w:tc>
      </w:tr>
    </w:tbl>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根据上述环境风险潜势初判结果，本项目</w:t>
      </w:r>
      <w:r>
        <w:rPr>
          <w:rFonts w:hint="eastAsia" w:cs="Times New Roman"/>
          <w:color w:val="000000" w:themeColor="text1"/>
          <w:szCs w:val="24"/>
          <w:highlight w:val="none"/>
          <w:lang w:val="en-US" w:eastAsia="zh-CN"/>
          <w14:textFill>
            <w14:solidFill>
              <w14:schemeClr w14:val="tx1"/>
            </w14:solidFill>
          </w14:textFill>
        </w:rPr>
        <w:t>环境风险只</w:t>
      </w:r>
      <w:r>
        <w:rPr>
          <w:rFonts w:hint="default" w:ascii="Times New Roman" w:hAnsi="Times New Roman" w:cs="Times New Roman"/>
          <w:color w:val="000000" w:themeColor="text1"/>
          <w:szCs w:val="24"/>
          <w:highlight w:val="none"/>
          <w14:textFill>
            <w14:solidFill>
              <w14:schemeClr w14:val="tx1"/>
            </w14:solidFill>
          </w14:textFill>
        </w:rPr>
        <w:t>需做“</w:t>
      </w:r>
      <w:r>
        <w:rPr>
          <w:rFonts w:hint="default" w:ascii="Times New Roman" w:hAnsi="Times New Roman" w:cs="Times New Roman"/>
          <w:color w:val="000000" w:themeColor="text1"/>
          <w:szCs w:val="24"/>
          <w:highlight w:val="none"/>
          <w:lang w:val="en-US" w:eastAsia="zh-CN"/>
          <w14:textFill>
            <w14:solidFill>
              <w14:schemeClr w14:val="tx1"/>
            </w14:solidFill>
          </w14:textFill>
        </w:rPr>
        <w:t>简单分析</w:t>
      </w:r>
      <w:r>
        <w:rPr>
          <w:rFonts w:hint="default" w:ascii="Times New Roman" w:hAnsi="Times New Roman" w:cs="Times New Roman"/>
          <w:color w:val="000000" w:themeColor="text1"/>
          <w:szCs w:val="24"/>
          <w:highlight w:val="none"/>
          <w14:textFill>
            <w14:solidFill>
              <w14:schemeClr w14:val="tx1"/>
            </w14:solidFill>
          </w14:textFill>
        </w:rPr>
        <w:t>”。</w:t>
      </w:r>
      <w:r>
        <w:rPr>
          <w:rFonts w:hint="default" w:ascii="Times New Roman" w:hAnsi="Times New Roman" w:cs="Times New Roman"/>
          <w:b/>
          <w:color w:val="000000" w:themeColor="text1"/>
          <w:szCs w:val="24"/>
          <w:highlight w:val="none"/>
          <w14:textFill>
            <w14:solidFill>
              <w14:schemeClr w14:val="tx1"/>
            </w14:solidFill>
          </w14:textFill>
        </w:rPr>
        <w:t>但考虑到硫化氢毒性较大，一旦发生井喷事故后对环境空气影响较大，进而会对周边居民生命财产安全造成影响，因此本次评价将环境风险评价等级中的大气环境定为二级，地下水环境、地表水环境仍为</w:t>
      </w:r>
      <w:r>
        <w:rPr>
          <w:rFonts w:hint="eastAsia" w:cs="Times New Roman"/>
          <w:b/>
          <w:color w:val="000000" w:themeColor="text1"/>
          <w:szCs w:val="24"/>
          <w:highlight w:val="none"/>
          <w:lang w:val="en-US" w:eastAsia="zh-CN"/>
          <w14:textFill>
            <w14:solidFill>
              <w14:schemeClr w14:val="tx1"/>
            </w14:solidFill>
          </w14:textFill>
        </w:rPr>
        <w:t>简单分析</w:t>
      </w:r>
      <w:r>
        <w:rPr>
          <w:rFonts w:hint="default" w:ascii="Times New Roman" w:hAnsi="Times New Roman" w:cs="Times New Roman"/>
          <w:b/>
          <w:color w:val="000000" w:themeColor="text1"/>
          <w:szCs w:val="24"/>
          <w:highlight w:val="none"/>
          <w14:textFill>
            <w14:solidFill>
              <w14:schemeClr w14:val="tx1"/>
            </w14:solidFill>
          </w14:textFill>
        </w:rPr>
        <w:t>。最终考虑到事故状态下的环境风险较大，本次评价环境风险等级按照二级进行评价。</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（2）评价范围</w:t>
      </w:r>
    </w:p>
    <w:p>
      <w:pPr>
        <w:pageBreakBefore w:val="0"/>
        <w:widowControl w:val="0"/>
        <w:tabs>
          <w:tab w:val="left" w:pos="0"/>
        </w:tabs>
        <w:kinsoku/>
        <w:wordWrap/>
        <w:overflowPunct/>
        <w:topLinePunct w:val="0"/>
        <w:autoSpaceDE/>
        <w:autoSpaceDN/>
        <w:bidi w:val="0"/>
        <w:adjustRightInd w:val="0"/>
        <w:snapToGrid w:val="0"/>
        <w:ind w:firstLine="480"/>
        <w:textAlignment w:val="auto"/>
        <w:outlineLvl w:val="9"/>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次评价地下水环境、地表水环境不设置环境风险评价范围，只对涉及的危险物质、环境影响途径、环境危害、风险防范措施等方面给出定性的说明；大气环境风险评价范围确定为井口周边5km范围，具体评价范围与敏感目标分布见后文</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_Ref142859160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表6.4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与</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_Ref143335575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图6.4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63" w:name="_Toc18945"/>
      <w:r>
        <w:rPr>
          <w:rFonts w:hint="default" w:ascii="Times New Roman" w:hAnsi="Times New Roman" w:cs="Times New Roman"/>
          <w:color w:val="000000" w:themeColor="text1"/>
          <w:highlight w:val="none"/>
          <w:lang w:eastAsia="zh-CN"/>
          <w14:textFill>
            <w14:solidFill>
              <w14:schemeClr w14:val="tx1"/>
            </w14:solidFill>
          </w14:textFill>
        </w:rPr>
        <w:t>相关政策、规范符合性分析</w:t>
      </w:r>
      <w:bookmarkEnd w:id="63"/>
    </w:p>
    <w:p>
      <w:pPr>
        <w:pStyle w:val="4"/>
        <w:pageBreakBefore w:val="0"/>
        <w:widowControl w:val="0"/>
        <w:kinsoku/>
        <w:wordWrap/>
        <w:overflowPunct/>
        <w:topLinePunct w:val="0"/>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64" w:name="_Toc120173078"/>
      <w:r>
        <w:rPr>
          <w:rFonts w:hint="default" w:ascii="Times New Roman" w:hAnsi="Times New Roman" w:cs="Times New Roman"/>
          <w:color w:val="000000" w:themeColor="text1"/>
          <w:highlight w:val="none"/>
          <w:lang w:eastAsia="zh-CN"/>
          <w14:textFill>
            <w14:solidFill>
              <w14:schemeClr w14:val="tx1"/>
            </w14:solidFill>
          </w14:textFill>
        </w:rPr>
        <w:t>产业政策及相关文件符合性分析</w:t>
      </w:r>
      <w:bookmarkEnd w:id="64"/>
    </w:p>
    <w:p>
      <w:pPr>
        <w:pageBreakBefore w:val="0"/>
        <w:widowControl w:val="0"/>
        <w:tabs>
          <w:tab w:val="left" w:pos="0"/>
        </w:tabs>
        <w:kinsoku/>
        <w:wordWrap/>
        <w:overflowPunct/>
        <w:topLinePunct w:val="0"/>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产业结构调整指导目录（2024年本）》（中华人民共和国国家发展和改革委员会第7号令，2024年2月1日起施行），本项目属于《产业结构调整指导目录》（2024年本）鼓励类中第七条“石油、天然气”中的第一款：“常规石油、天然气勘探与开采，页岩气、页岩油、致密油（气）、油砂、天然气水合物等非常规资源勘探开”。</w:t>
      </w:r>
    </w:p>
    <w:p>
      <w:pPr>
        <w:pageBreakBefore w:val="0"/>
        <w:widowControl w:val="0"/>
        <w:tabs>
          <w:tab w:val="left" w:pos="0"/>
        </w:tabs>
        <w:kinsoku/>
        <w:wordWrap/>
        <w:overflowPunct/>
        <w:topLinePunct w:val="0"/>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因此本项目建设符合国家产业政策。</w:t>
      </w:r>
    </w:p>
    <w:p>
      <w:pPr>
        <w:pageBreakBefore w:val="0"/>
        <w:widowControl w:val="0"/>
        <w:tabs>
          <w:tab w:val="left" w:pos="0"/>
        </w:tabs>
        <w:kinsoku/>
        <w:wordWrap/>
        <w:overflowPunct/>
        <w:topLinePunct w:val="0"/>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pStyle w:val="4"/>
        <w:pageBreakBefore w:val="0"/>
        <w:widowControl w:val="0"/>
        <w:kinsoku/>
        <w:wordWrap/>
        <w:overflowPunct/>
        <w:topLinePunct w:val="0"/>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用地及空间</w:t>
      </w:r>
      <w:r>
        <w:rPr>
          <w:rFonts w:hint="default" w:ascii="Times New Roman" w:hAnsi="Times New Roman" w:cs="Times New Roman"/>
          <w:color w:val="000000" w:themeColor="text1"/>
          <w:highlight w:val="none"/>
          <w:lang w:eastAsia="zh-CN"/>
          <w14:textFill>
            <w14:solidFill>
              <w14:schemeClr w14:val="tx1"/>
            </w14:solidFill>
          </w14:textFill>
        </w:rPr>
        <w:t>符合性分析</w:t>
      </w:r>
    </w:p>
    <w:p>
      <w:pPr>
        <w:pStyle w:val="5"/>
        <w:pageBreakBefore w:val="0"/>
        <w:numPr>
          <w:ilvl w:val="3"/>
          <w:numId w:val="0"/>
        </w:numPr>
        <w:kinsoku/>
        <w:wordWrap/>
        <w:overflowPunct/>
        <w:topLinePunct w:val="0"/>
        <w:bidi w:val="0"/>
        <w:adjustRightInd w:val="0"/>
        <w:snapToGrid w:val="0"/>
        <w:spacing w:before="0" w:beforeLines="0"/>
        <w:ind w:leftChars="200"/>
        <w:textAlignment w:val="auto"/>
        <w:rPr>
          <w:rFonts w:hint="eastAsia" w:ascii="宋体" w:hAnsi="宋体" w:eastAsia="宋体" w:cs="宋体"/>
          <w:b/>
          <w:bCs w:val="0"/>
          <w:color w:val="000000" w:themeColor="text1"/>
          <w:highlight w:val="none"/>
          <w14:textFill>
            <w14:solidFill>
              <w14:schemeClr w14:val="tx1"/>
            </w14:solidFill>
          </w14:textFill>
        </w:rPr>
      </w:pPr>
      <w:bookmarkStart w:id="65" w:name="_Toc120173081"/>
      <w:r>
        <w:rPr>
          <w:rFonts w:hint="eastAsia" w:ascii="宋体" w:hAnsi="宋体" w:eastAsia="宋体" w:cs="宋体"/>
          <w:b/>
          <w:bCs w:val="0"/>
          <w:color w:val="000000" w:themeColor="text1"/>
          <w:highlight w:val="none"/>
          <w:lang w:val="en-US" w:eastAsia="zh-CN"/>
          <w14:textFill>
            <w14:solidFill>
              <w14:schemeClr w14:val="tx1"/>
            </w14:solidFill>
          </w14:textFill>
        </w:rPr>
        <w:t>1、</w:t>
      </w:r>
      <w:r>
        <w:rPr>
          <w:rFonts w:hint="eastAsia" w:ascii="宋体" w:hAnsi="宋体" w:eastAsia="宋体" w:cs="宋体"/>
          <w:b/>
          <w:bCs w:val="0"/>
          <w:color w:val="000000" w:themeColor="text1"/>
          <w:highlight w:val="none"/>
          <w14:textFill>
            <w14:solidFill>
              <w14:schemeClr w14:val="tx1"/>
            </w14:solidFill>
          </w14:textFill>
        </w:rPr>
        <w:t>本项目与周边基本农田位置关系</w:t>
      </w:r>
    </w:p>
    <w:p>
      <w:pPr>
        <w:pStyle w:val="21"/>
        <w:pageBreakBefore w:val="0"/>
        <w:kinsoku/>
        <w:wordWrap/>
        <w:overflowPunct/>
        <w:topLinePunct w:val="0"/>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本项目利用P106-2井已建井场进行建设，通过与宣汉县自然资源局基本农田分布图叠图分析</w:t>
      </w:r>
      <w:r>
        <w:rPr>
          <w:rFonts w:hint="eastAsia" w:ascii="Times New Roman" w:hAnsi="Times New Roman" w:cs="Times New Roman"/>
          <w:color w:val="000000" w:themeColor="text1"/>
          <w:highlight w:val="none"/>
          <w:lang w:val="en-US" w:eastAsia="zh-CN"/>
          <w14:textFill>
            <w14:solidFill>
              <w14:schemeClr w14:val="tx1"/>
            </w14:solidFill>
          </w14:textFill>
        </w:rPr>
        <w:t>可知，</w:t>
      </w:r>
      <w:r>
        <w:rPr>
          <w:rFonts w:hint="default" w:ascii="Times New Roman" w:hAnsi="Times New Roman" w:cs="Times New Roman"/>
          <w:color w:val="000000" w:themeColor="text1"/>
          <w:highlight w:val="none"/>
          <w:lang w:eastAsia="zh-CN"/>
          <w14:textFill>
            <w14:solidFill>
              <w14:schemeClr w14:val="tx1"/>
            </w14:solidFill>
          </w14:textFill>
        </w:rPr>
        <w:t>本项目不占用基本农田（附图13）。</w:t>
      </w:r>
    </w:p>
    <w:p>
      <w:pPr>
        <w:pStyle w:val="5"/>
        <w:pageBreakBefore w:val="0"/>
        <w:numPr>
          <w:ilvl w:val="3"/>
          <w:numId w:val="0"/>
        </w:numPr>
        <w:kinsoku/>
        <w:wordWrap/>
        <w:overflowPunct/>
        <w:topLinePunct w:val="0"/>
        <w:bidi w:val="0"/>
        <w:adjustRightInd w:val="0"/>
        <w:snapToGrid w:val="0"/>
        <w:spacing w:before="0" w:beforeLines="0"/>
        <w:ind w:leftChars="200"/>
        <w:textAlignment w:val="auto"/>
        <w:rPr>
          <w:rFonts w:hint="default" w:ascii="宋体" w:hAnsi="宋体" w:eastAsia="宋体" w:cs="宋体"/>
          <w:b/>
          <w:bCs w:val="0"/>
          <w:color w:val="000000" w:themeColor="text1"/>
          <w:highlight w:val="none"/>
          <w:lang w:val="en-US" w:eastAsia="zh-CN"/>
          <w14:textFill>
            <w14:solidFill>
              <w14:schemeClr w14:val="tx1"/>
            </w14:solidFill>
          </w14:textFill>
        </w:rPr>
      </w:pPr>
      <w:r>
        <w:rPr>
          <w:rFonts w:hint="eastAsia" w:ascii="宋体" w:hAnsi="宋体" w:eastAsia="宋体" w:cs="宋体"/>
          <w:b/>
          <w:bCs w:val="0"/>
          <w:color w:val="000000" w:themeColor="text1"/>
          <w:highlight w:val="none"/>
          <w:lang w:val="en-US" w:eastAsia="zh-CN"/>
          <w14:textFill>
            <w14:solidFill>
              <w14:schemeClr w14:val="tx1"/>
            </w14:solidFill>
          </w14:textFill>
        </w:rPr>
        <w:t>2、</w:t>
      </w:r>
      <w:r>
        <w:rPr>
          <w:rFonts w:hint="default" w:ascii="宋体" w:hAnsi="宋体" w:eastAsia="宋体" w:cs="宋体"/>
          <w:b/>
          <w:bCs w:val="0"/>
          <w:color w:val="000000" w:themeColor="text1"/>
          <w:highlight w:val="none"/>
          <w:lang w:val="en-US" w:eastAsia="zh-CN"/>
          <w14:textFill>
            <w14:solidFill>
              <w14:schemeClr w14:val="tx1"/>
            </w14:solidFill>
          </w14:textFill>
        </w:rPr>
        <w:t>本项目与其他土地利用文件的符合性分析</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本项目与《自然资源部关于规范临时用地管理的通知》（自然资规〔2021〕2号）、《四川省自然资源厅关于进一步明确临时用地管理有关事项的通知》（川自然资规〔2022〕3号）的符合性见下表：</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 xml:space="preserve"> 与《自然资源部关于规范临时用地管理的通知》和《四川省自然资源厅关于进一步明确临时用地管理有关事项的通知》的符合性分析</w:t>
      </w:r>
    </w:p>
    <w:tbl>
      <w:tblPr>
        <w:tblStyle w:val="5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93"/>
        <w:gridCol w:w="821"/>
        <w:gridCol w:w="4801"/>
        <w:gridCol w:w="1759"/>
        <w:gridCol w:w="5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23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491" w:type="pct"/>
            <w:vAlign w:val="center"/>
          </w:tcPr>
          <w:p>
            <w:pPr>
              <w:pStyle w:val="295"/>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文件</w:t>
            </w:r>
          </w:p>
        </w:tc>
        <w:tc>
          <w:tcPr>
            <w:tcW w:w="2871" w:type="pct"/>
            <w:vAlign w:val="center"/>
          </w:tcPr>
          <w:p>
            <w:pPr>
              <w:pStyle w:val="295"/>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相关要求</w:t>
            </w:r>
          </w:p>
        </w:tc>
        <w:tc>
          <w:tcPr>
            <w:tcW w:w="105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本项目</w:t>
            </w:r>
          </w:p>
        </w:tc>
        <w:tc>
          <w:tcPr>
            <w:tcW w:w="349"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23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491" w:type="pct"/>
            <w:vMerge w:val="restart"/>
            <w:vAlign w:val="center"/>
          </w:tcPr>
          <w:p>
            <w:pPr>
              <w:pStyle w:val="295"/>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highlight w:val="none"/>
                <w14:textFill>
                  <w14:solidFill>
                    <w14:schemeClr w14:val="tx1"/>
                  </w14:solidFill>
                </w14:textFill>
              </w:rPr>
              <w:t>自然资源部关于规范临时用地管理的通知</w:t>
            </w:r>
            <w:r>
              <w:rPr>
                <w:rFonts w:hint="eastAsia" w:ascii="Times New Roman" w:hAnsi="Times New Roman"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highlight w:val="none"/>
                <w:lang w:eastAsia="zh-CN"/>
                <w14:textFill>
                  <w14:solidFill>
                    <w14:schemeClr w14:val="tx1"/>
                  </w14:solidFill>
                </w14:textFill>
              </w:rPr>
              <w:t>（自然资规〔2021〕2号）</w:t>
            </w:r>
          </w:p>
        </w:tc>
        <w:tc>
          <w:tcPr>
            <w:tcW w:w="2871"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临时用地的范围包括：（二）矿产资源勘查、工程地质勘查、水文地质勘查等，在勘查期间临时生活用房、临时工棚、勘查作业及其辅助工程、施工便道、运输便道等使用的土地，包括油气资源勘查中钻井井场、配套管线、电力设施、进场道路等钻井及配套设施使用的土地。（三）符合法律、法规规定的其他需要临时使用的土地。</w:t>
            </w:r>
          </w:p>
        </w:tc>
        <w:tc>
          <w:tcPr>
            <w:tcW w:w="105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本项目为天然气资源</w:t>
            </w:r>
            <w:r>
              <w:rPr>
                <w:rFonts w:hint="default" w:ascii="Times New Roman" w:hAnsi="Times New Roman" w:cs="Times New Roman"/>
                <w:color w:val="000000" w:themeColor="text1"/>
                <w:highlight w:val="none"/>
                <w:lang w:eastAsia="zh-CN"/>
                <w14:textFill>
                  <w14:solidFill>
                    <w14:schemeClr w14:val="tx1"/>
                  </w14:solidFill>
                </w14:textFill>
              </w:rPr>
              <w:t>地</w:t>
            </w:r>
            <w:r>
              <w:rPr>
                <w:rFonts w:hint="default" w:ascii="Times New Roman" w:hAnsi="Times New Roman" w:cs="Times New Roman"/>
                <w:color w:val="000000" w:themeColor="text1"/>
                <w:highlight w:val="none"/>
                <w14:textFill>
                  <w14:solidFill>
                    <w14:schemeClr w14:val="tx1"/>
                  </w14:solidFill>
                </w14:textFill>
              </w:rPr>
              <w:t>勘查项目，项目建设时需临时占用部分土地</w:t>
            </w:r>
            <w:r>
              <w:rPr>
                <w:rFonts w:hint="eastAsia" w:ascii="Times New Roman" w:hAnsi="Times New Roman" w:cs="Times New Roman"/>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主要为生活区需新增临时占地）</w:t>
            </w:r>
            <w:r>
              <w:rPr>
                <w:rFonts w:hint="default" w:ascii="Times New Roman" w:hAnsi="Times New Roman" w:cs="Times New Roman"/>
                <w:color w:val="000000" w:themeColor="text1"/>
                <w:highlight w:val="none"/>
                <w14:textFill>
                  <w14:solidFill>
                    <w14:schemeClr w14:val="tx1"/>
                  </w14:solidFill>
                </w14:textFill>
              </w:rPr>
              <w:t>；后期试采工程将在原井场建设，不格外新增占地。</w:t>
            </w:r>
          </w:p>
        </w:tc>
        <w:tc>
          <w:tcPr>
            <w:tcW w:w="34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23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491"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871"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项目施工、地质勘查使用临时用地时应坚持“用多少、批多少、占多少、恢复多少”，尽量不占或者少占耕地。临时用地使用期限一般不超过两年。建设周期较长的能源、交通、水利等基础设施建设项目施工使用的临时用地，期限不超过四年。</w:t>
            </w:r>
          </w:p>
        </w:tc>
        <w:tc>
          <w:tcPr>
            <w:tcW w:w="105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施工期临时用地，使用期限不超过2年，施工结束后立即进行复垦，新增占地面积小</w:t>
            </w:r>
          </w:p>
        </w:tc>
        <w:tc>
          <w:tcPr>
            <w:tcW w:w="34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23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491"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871"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县（市）自然资源主管部门负责临时用地审批，其中涉及占用耕地和永久基本农田的，由市级或者市级以上自然资源主管部门负责审批。油气资源探采合一开发涉及的钻井及配套设施建设用地，可先以临时用地方式批准使用，勘探结束转入生产使用的，办理建设用地审批手续；不转入生产的，油气企业应当完成土地复垦，按期归还。</w:t>
            </w:r>
          </w:p>
        </w:tc>
        <w:tc>
          <w:tcPr>
            <w:tcW w:w="105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本项目利旧已建井场建设，大部分占地利旧原井场已占用土地建设，仅生活区建设需占用少量土地，主要为道路旁荒地和少量林地，不涉及基本农田占用，且临时用地施工结束后将立即进行复垦</w:t>
            </w:r>
          </w:p>
        </w:tc>
        <w:tc>
          <w:tcPr>
            <w:tcW w:w="34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23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491"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871"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临时用地使用人应当按照批准的用途使用土地，不得转让、出租、抵押临时用地。临时用地使用人应当自临时用地期满之日起一年内完成土地复垦，因气候、灾害等不可抗力因素影响复垦的，经批准可以适当延长复垦期限。</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严格落实临时用地恢复责任，临时用地期满后应当拆除临时建（构）筑物，使用耕地的应当复垦为耕地，确保耕地面积不减少、质量不降低；使用耕地以外的其他农用地的应当恢复为农用地；使用未利用地的，对于符合条件的鼓励复垦为耕地。</w:t>
            </w:r>
          </w:p>
        </w:tc>
        <w:tc>
          <w:tcPr>
            <w:tcW w:w="1052" w:type="pct"/>
            <w:vAlign w:val="center"/>
          </w:tcPr>
          <w:p>
            <w:pPr>
              <w:pStyle w:val="295"/>
              <w:jc w:val="left"/>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建设单位不会转让、出租、抵押临时用地。若临时用地期满且后续不</w:t>
            </w:r>
            <w:r>
              <w:rPr>
                <w:rFonts w:hint="default" w:ascii="Times New Roman" w:hAnsi="Times New Roman" w:cs="Times New Roman"/>
                <w:color w:val="000000" w:themeColor="text1"/>
                <w:highlight w:val="none"/>
                <w:lang w:eastAsia="zh-CN"/>
                <w14:textFill>
                  <w14:solidFill>
                    <w14:schemeClr w14:val="tx1"/>
                  </w14:solidFill>
                </w14:textFill>
              </w:rPr>
              <w:t>再</w:t>
            </w:r>
            <w:r>
              <w:rPr>
                <w:rFonts w:hint="default" w:ascii="Times New Roman" w:hAnsi="Times New Roman" w:cs="Times New Roman"/>
                <w:color w:val="000000" w:themeColor="text1"/>
                <w:highlight w:val="none"/>
                <w14:textFill>
                  <w14:solidFill>
                    <w14:schemeClr w14:val="tx1"/>
                  </w14:solidFill>
                </w14:textFill>
              </w:rPr>
              <w:t>利用，建设单位将在用地期满之日起一年内完成土地复垦</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并按照当地主管部门恢复用地性质</w:t>
            </w:r>
            <w:r>
              <w:rPr>
                <w:rFonts w:hint="eastAsia" w:cs="Times New Roman"/>
                <w:color w:val="000000" w:themeColor="text1"/>
                <w:highlight w:val="none"/>
                <w:lang w:eastAsia="zh-CN"/>
                <w14:textFill>
                  <w14:solidFill>
                    <w14:schemeClr w14:val="tx1"/>
                  </w14:solidFill>
                </w14:textFill>
              </w:rPr>
              <w:t>。</w:t>
            </w:r>
          </w:p>
        </w:tc>
        <w:tc>
          <w:tcPr>
            <w:tcW w:w="34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235" w:type="pct"/>
            <w:vAlign w:val="center"/>
          </w:tcPr>
          <w:p>
            <w:pPr>
              <w:pStyle w:val="295"/>
              <w:jc w:val="center"/>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5</w:t>
            </w:r>
          </w:p>
        </w:tc>
        <w:tc>
          <w:tcPr>
            <w:tcW w:w="491" w:type="pct"/>
            <w:vMerge w:val="restart"/>
            <w:vAlign w:val="center"/>
          </w:tcPr>
          <w:p>
            <w:pPr>
              <w:pStyle w:val="295"/>
              <w:jc w:val="center"/>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highlight w:val="none"/>
                <w14:textFill>
                  <w14:solidFill>
                    <w14:schemeClr w14:val="tx1"/>
                  </w14:solidFill>
                </w14:textFill>
              </w:rPr>
              <w:t>四川省自然资源厅关于进一步明确临时用地管理有关事项的通知</w:t>
            </w:r>
            <w:r>
              <w:rPr>
                <w:rFonts w:hint="eastAsia" w:ascii="Times New Roman" w:hAnsi="Times New Roman" w:cs="Times New Roman"/>
                <w:b/>
                <w:bCs/>
                <w:color w:val="000000" w:themeColor="text1"/>
                <w:highlight w:val="none"/>
                <w:lang w:val="en-US" w:eastAsia="zh-CN"/>
                <w14:textFill>
                  <w14:solidFill>
                    <w14:schemeClr w14:val="tx1"/>
                  </w14:solidFill>
                </w14:textFill>
              </w:rPr>
              <w:t>中的要求</w:t>
            </w:r>
            <w:r>
              <w:rPr>
                <w:rFonts w:hint="eastAsia" w:cs="Times New Roman"/>
                <w:b/>
                <w:bCs/>
                <w:color w:val="000000" w:themeColor="text1"/>
                <w:highlight w:val="none"/>
                <w:lang w:eastAsia="zh-CN"/>
                <w14:textFill>
                  <w14:solidFill>
                    <w14:schemeClr w14:val="tx1"/>
                  </w14:solidFill>
                </w14:textFill>
              </w:rPr>
              <w:t>》（川自然资规〔2022〕3号）</w:t>
            </w:r>
          </w:p>
        </w:tc>
        <w:tc>
          <w:tcPr>
            <w:tcW w:w="2871" w:type="pct"/>
            <w:vAlign w:val="center"/>
          </w:tcPr>
          <w:p>
            <w:pPr>
              <w:pStyle w:val="295"/>
              <w:jc w:val="left"/>
              <w:rPr>
                <w:rFonts w:hint="eastAsia"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一、进一步规范临时用地审批。临时用地审批权不得下</w:t>
            </w:r>
          </w:p>
          <w:p>
            <w:pPr>
              <w:pStyle w:val="295"/>
              <w:jc w:val="left"/>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放或委托相关部门行使。涉及占用耕地和永久基本农田的临时用地，由市级自然资源主管部门负责审批，不涉及的由县级自然资源主管部门负责审批。需要临时使用林地的，应当按照《中华人民共和国森林法》有关规定进行临时用地审批。</w:t>
            </w:r>
          </w:p>
        </w:tc>
        <w:tc>
          <w:tcPr>
            <w:tcW w:w="1052" w:type="pct"/>
            <w:vAlign w:val="center"/>
          </w:tcPr>
          <w:p>
            <w:pPr>
              <w:pStyle w:val="295"/>
              <w:jc w:val="left"/>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本项目选址</w:t>
            </w:r>
            <w:r>
              <w:rPr>
                <w:rFonts w:hint="eastAsia" w:cs="Times New Roman"/>
                <w:color w:val="000000" w:themeColor="text1"/>
                <w:highlight w:val="none"/>
                <w:lang w:val="en-US" w:eastAsia="zh-CN"/>
                <w14:textFill>
                  <w14:solidFill>
                    <w14:schemeClr w14:val="tx1"/>
                  </w14:solidFill>
                </w14:textFill>
              </w:rPr>
              <w:t>不占用</w:t>
            </w:r>
            <w:r>
              <w:rPr>
                <w:rFonts w:hint="eastAsia" w:ascii="Times New Roman" w:hAnsi="Times New Roman" w:cs="Times New Roman"/>
                <w:color w:val="000000" w:themeColor="text1"/>
                <w:highlight w:val="none"/>
                <w14:textFill>
                  <w14:solidFill>
                    <w14:schemeClr w14:val="tx1"/>
                  </w14:solidFill>
                </w14:textFill>
              </w:rPr>
              <w:t>永久基本农田</w:t>
            </w:r>
            <w:r>
              <w:rPr>
                <w:rFonts w:hint="eastAsia" w:cs="Times New Roman"/>
                <w:color w:val="000000" w:themeColor="text1"/>
                <w:highlight w:val="none"/>
                <w:lang w:eastAsia="zh-CN"/>
                <w14:textFill>
                  <w14:solidFill>
                    <w14:schemeClr w14:val="tx1"/>
                  </w14:solidFill>
                </w14:textFill>
              </w:rPr>
              <w:t>。</w:t>
            </w:r>
          </w:p>
        </w:tc>
        <w:tc>
          <w:tcPr>
            <w:tcW w:w="349" w:type="pct"/>
            <w:vAlign w:val="center"/>
          </w:tcPr>
          <w:p>
            <w:pPr>
              <w:pStyle w:val="295"/>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235" w:type="pct"/>
            <w:vAlign w:val="center"/>
          </w:tcPr>
          <w:p>
            <w:pPr>
              <w:pStyle w:val="295"/>
              <w:jc w:val="center"/>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6</w:t>
            </w:r>
          </w:p>
        </w:tc>
        <w:tc>
          <w:tcPr>
            <w:tcW w:w="491" w:type="pct"/>
            <w:vMerge w:val="continue"/>
            <w:vAlign w:val="center"/>
          </w:tcPr>
          <w:p>
            <w:pPr>
              <w:pStyle w:val="295"/>
              <w:jc w:val="center"/>
              <w:rPr>
                <w:rFonts w:hint="eastAsia" w:ascii="Times New Roman" w:hAnsi="Times New Roman" w:cs="Times New Roman"/>
                <w:color w:val="000000" w:themeColor="text1"/>
                <w:highlight w:val="none"/>
                <w:lang w:val="en-US" w:eastAsia="zh-CN"/>
                <w14:textFill>
                  <w14:solidFill>
                    <w14:schemeClr w14:val="tx1"/>
                  </w14:solidFill>
                </w14:textFill>
              </w:rPr>
            </w:pPr>
          </w:p>
        </w:tc>
        <w:tc>
          <w:tcPr>
            <w:tcW w:w="2871" w:type="pct"/>
            <w:vAlign w:val="center"/>
          </w:tcPr>
          <w:p>
            <w:pPr>
              <w:pStyle w:val="295"/>
              <w:jc w:val="left"/>
              <w:rPr>
                <w:rFonts w:hint="eastAsia"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二、进一步落实临时用地恢复责任。县级自然资源主管</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部门负责审查临时用地土地复垦方案，并在土地复垦义务人完成复垦工作后，会同农业农村等相关部门开展复垦验收。审批临时用地的市、县级自然资源主管部门，应通知申请人根据《土地复垦条例实施办法》有关规定办理土地复垦费用预存手续。</w:t>
            </w:r>
          </w:p>
        </w:tc>
        <w:tc>
          <w:tcPr>
            <w:tcW w:w="1052" w:type="pct"/>
            <w:vAlign w:val="center"/>
          </w:tcPr>
          <w:p>
            <w:pPr>
              <w:pStyle w:val="295"/>
              <w:jc w:val="left"/>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建设单位临时用地土地复垦方案及临时用地踏勘报告目前同步编制过程中，</w:t>
            </w:r>
            <w:r>
              <w:rPr>
                <w:rFonts w:hint="eastAsia" w:ascii="Times New Roman" w:hAnsi="Times New Roman" w:cs="Times New Roman"/>
                <w:color w:val="000000" w:themeColor="text1"/>
                <w:highlight w:val="none"/>
                <w:lang w:val="en-US" w:eastAsia="zh-CN"/>
                <w14:textFill>
                  <w14:solidFill>
                    <w14:schemeClr w14:val="tx1"/>
                  </w14:solidFill>
                </w14:textFill>
              </w:rPr>
              <w:t>后续将</w:t>
            </w:r>
            <w:r>
              <w:rPr>
                <w:rFonts w:hint="eastAsia" w:ascii="Times New Roman" w:hAnsi="Times New Roman" w:cs="Times New Roman"/>
                <w:color w:val="000000" w:themeColor="text1"/>
                <w:highlight w:val="none"/>
                <w14:textFill>
                  <w14:solidFill>
                    <w14:schemeClr w14:val="tx1"/>
                  </w14:solidFill>
                </w14:textFill>
              </w:rPr>
              <w:t>按照相关要求正在办理相关用地手续</w:t>
            </w:r>
            <w:r>
              <w:rPr>
                <w:rFonts w:hint="eastAsia" w:cs="Times New Roman"/>
                <w:color w:val="000000" w:themeColor="text1"/>
                <w:highlight w:val="none"/>
                <w:lang w:eastAsia="zh-CN"/>
                <w14:textFill>
                  <w14:solidFill>
                    <w14:schemeClr w14:val="tx1"/>
                  </w14:solidFill>
                </w14:textFill>
              </w:rPr>
              <w:t>。</w:t>
            </w:r>
          </w:p>
        </w:tc>
        <w:tc>
          <w:tcPr>
            <w:tcW w:w="34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235" w:type="pct"/>
            <w:vAlign w:val="center"/>
          </w:tcPr>
          <w:p>
            <w:pPr>
              <w:pStyle w:val="295"/>
              <w:jc w:val="center"/>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7</w:t>
            </w:r>
          </w:p>
        </w:tc>
        <w:tc>
          <w:tcPr>
            <w:tcW w:w="491" w:type="pct"/>
            <w:vMerge w:val="continue"/>
            <w:vAlign w:val="center"/>
          </w:tcPr>
          <w:p>
            <w:pPr>
              <w:pStyle w:val="295"/>
              <w:jc w:val="center"/>
              <w:rPr>
                <w:rFonts w:hint="eastAsia" w:ascii="Times New Roman" w:hAnsi="Times New Roman" w:cs="Times New Roman"/>
                <w:color w:val="000000" w:themeColor="text1"/>
                <w:highlight w:val="none"/>
                <w:lang w:val="en-US" w:eastAsia="zh-CN"/>
                <w14:textFill>
                  <w14:solidFill>
                    <w14:schemeClr w14:val="tx1"/>
                  </w14:solidFill>
                </w14:textFill>
              </w:rPr>
            </w:pPr>
          </w:p>
        </w:tc>
        <w:tc>
          <w:tcPr>
            <w:tcW w:w="2871" w:type="pct"/>
            <w:vAlign w:val="center"/>
          </w:tcPr>
          <w:p>
            <w:pPr>
              <w:pStyle w:val="295"/>
              <w:jc w:val="left"/>
              <w:rPr>
                <w:rFonts w:hint="eastAsia"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三、进一步强化永久基本农田特殊保护。市、县级自然</w:t>
            </w:r>
          </w:p>
          <w:p>
            <w:pPr>
              <w:pStyle w:val="295"/>
              <w:jc w:val="left"/>
              <w:rPr>
                <w:rFonts w:hint="eastAsia" w:ascii="Times New Roman" w:hAnsi="Times New Roman" w:cs="Times New Roman"/>
                <w:color w:val="000000" w:themeColor="text1"/>
                <w:highlight w:val="none"/>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资源主管部门要严格耕地用途管制，临时用地应尽量不占或少占耕地，原则上不占用永久基本农田。确需占用永久基本农田的，县级自然资源主管部门应在前期选址阶段，实地核实永久基本农田地块的空间位置、地类、面积、质量状况、利用现状等，组织编制临时用地踏勘报告，并对占用永久基本农田的必要性和合理性进行严格论证，报市级自然资源主管部门审查。</w:t>
            </w:r>
          </w:p>
        </w:tc>
        <w:tc>
          <w:tcPr>
            <w:tcW w:w="1052" w:type="pct"/>
            <w:vAlign w:val="center"/>
          </w:tcPr>
          <w:p>
            <w:pPr>
              <w:pStyle w:val="295"/>
              <w:jc w:val="left"/>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cs="Times New Roman"/>
                <w:color w:val="000000" w:themeColor="text1"/>
                <w:highlight w:val="none"/>
                <w14:textFill>
                  <w14:solidFill>
                    <w14:schemeClr w14:val="tx1"/>
                  </w14:solidFill>
                </w14:textFill>
              </w:rPr>
              <w:t>本项目选址以最大程度地避本项目选址</w:t>
            </w:r>
            <w:r>
              <w:rPr>
                <w:rFonts w:hint="eastAsia" w:cs="Times New Roman"/>
                <w:color w:val="000000" w:themeColor="text1"/>
                <w:highlight w:val="none"/>
                <w:lang w:val="en-US" w:eastAsia="zh-CN"/>
                <w14:textFill>
                  <w14:solidFill>
                    <w14:schemeClr w14:val="tx1"/>
                  </w14:solidFill>
                </w14:textFill>
              </w:rPr>
              <w:t>不占用</w:t>
            </w:r>
            <w:r>
              <w:rPr>
                <w:rFonts w:hint="eastAsia" w:ascii="Times New Roman" w:hAnsi="Times New Roman" w:cs="Times New Roman"/>
                <w:color w:val="000000" w:themeColor="text1"/>
                <w:highlight w:val="none"/>
                <w14:textFill>
                  <w14:solidFill>
                    <w14:schemeClr w14:val="tx1"/>
                  </w14:solidFill>
                </w14:textFill>
              </w:rPr>
              <w:t>永久基本农田</w:t>
            </w:r>
            <w:r>
              <w:rPr>
                <w:rFonts w:hint="eastAsia" w:cs="Times New Roman"/>
                <w:color w:val="000000" w:themeColor="text1"/>
                <w:highlight w:val="none"/>
                <w:lang w:eastAsia="zh-CN"/>
                <w14:textFill>
                  <w14:solidFill>
                    <w14:schemeClr w14:val="tx1"/>
                  </w14:solidFill>
                </w14:textFill>
              </w:rPr>
              <w:t>。</w:t>
            </w:r>
          </w:p>
        </w:tc>
        <w:tc>
          <w:tcPr>
            <w:tcW w:w="34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符合</w:t>
            </w:r>
          </w:p>
        </w:tc>
      </w:tr>
    </w:tbl>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综上所述，本项目新增的临时占地与《自然资源部关于规范临时用地管理的通知》（自然资规〔2021〕2号）、《四川省自然资源厅关于进一步明确临时用地管理有关事项的通知》（川自然资规〔2022〕3号）中相关要求相符。</w:t>
      </w:r>
    </w:p>
    <w:p>
      <w:pPr>
        <w:pStyle w:val="5"/>
        <w:pageBreakBefore w:val="0"/>
        <w:numPr>
          <w:ilvl w:val="3"/>
          <w:numId w:val="0"/>
        </w:numPr>
        <w:kinsoku/>
        <w:wordWrap/>
        <w:overflowPunct/>
        <w:topLinePunct w:val="0"/>
        <w:bidi w:val="0"/>
        <w:adjustRightInd w:val="0"/>
        <w:snapToGrid w:val="0"/>
        <w:spacing w:before="0" w:beforeLines="0"/>
        <w:ind w:leftChars="200"/>
        <w:textAlignment w:val="auto"/>
        <w:rPr>
          <w:rFonts w:hint="default" w:ascii="宋体" w:hAnsi="宋体" w:eastAsia="宋体" w:cs="宋体"/>
          <w:b/>
          <w:bCs w:val="0"/>
          <w:color w:val="000000" w:themeColor="text1"/>
          <w:highlight w:val="none"/>
          <w:lang w:val="en-US" w:eastAsia="zh-CN"/>
          <w14:textFill>
            <w14:solidFill>
              <w14:schemeClr w14:val="tx1"/>
            </w14:solidFill>
          </w14:textFill>
        </w:rPr>
      </w:pPr>
      <w:r>
        <w:rPr>
          <w:rFonts w:hint="eastAsia" w:ascii="宋体" w:hAnsi="宋体" w:eastAsia="宋体" w:cs="宋体"/>
          <w:b/>
          <w:bCs w:val="0"/>
          <w:color w:val="000000" w:themeColor="text1"/>
          <w:highlight w:val="none"/>
          <w:lang w:val="en-US" w:eastAsia="zh-CN"/>
          <w14:textFill>
            <w14:solidFill>
              <w14:schemeClr w14:val="tx1"/>
            </w14:solidFill>
          </w14:textFill>
        </w:rPr>
        <w:t>3、本项目</w:t>
      </w:r>
      <w:r>
        <w:rPr>
          <w:rFonts w:hint="default" w:ascii="宋体" w:hAnsi="宋体" w:eastAsia="宋体" w:cs="宋体"/>
          <w:b/>
          <w:bCs w:val="0"/>
          <w:color w:val="000000" w:themeColor="text1"/>
          <w:highlight w:val="none"/>
          <w:lang w:val="en-US" w:eastAsia="zh-CN"/>
          <w14:textFill>
            <w14:solidFill>
              <w14:schemeClr w14:val="tx1"/>
            </w14:solidFill>
          </w14:textFill>
        </w:rPr>
        <w:t>与城乡规划符合性分析</w:t>
      </w:r>
      <w:bookmarkEnd w:id="65"/>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根据现场调查，项目位于农村地区，距离普光镇约4.45km，远离乡镇，不涉及乡镇规划建城范围；</w:t>
      </w:r>
      <w:r>
        <w:rPr>
          <w:rFonts w:hint="eastAsia" w:ascii="Times New Roman" w:hAnsi="Times New Roman" w:cs="Times New Roman"/>
          <w:color w:val="000000" w:themeColor="text1"/>
          <w:highlight w:val="none"/>
          <w:lang w:val="en-US" w:eastAsia="zh-CN"/>
          <w14:textFill>
            <w14:solidFill>
              <w14:schemeClr w14:val="tx1"/>
            </w14:solidFill>
          </w14:textFill>
        </w:rPr>
        <w:t>同时对照项目与区域城镇开发边界套合图（附图14），项目未处于城镇开发边界范围内。</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综上所述，项目本项目选址与当地城乡规划不冲突。项目建设前，建设单位应向宣汉县自然资源和规划局提出工程用地申请，得到批复后方可动工。</w:t>
      </w:r>
    </w:p>
    <w:p>
      <w:pPr>
        <w:pStyle w:val="5"/>
        <w:pageBreakBefore w:val="0"/>
        <w:numPr>
          <w:ilvl w:val="3"/>
          <w:numId w:val="0"/>
        </w:numPr>
        <w:kinsoku/>
        <w:wordWrap/>
        <w:overflowPunct/>
        <w:topLinePunct w:val="0"/>
        <w:bidi w:val="0"/>
        <w:adjustRightInd w:val="0"/>
        <w:snapToGrid w:val="0"/>
        <w:spacing w:before="0" w:beforeLines="0"/>
        <w:ind w:leftChars="200"/>
        <w:textAlignment w:val="auto"/>
        <w:rPr>
          <w:rFonts w:hint="default" w:ascii="宋体" w:hAnsi="宋体" w:eastAsia="宋体" w:cs="宋体"/>
          <w:b/>
          <w:bCs w:val="0"/>
          <w:color w:val="000000" w:themeColor="text1"/>
          <w:highlight w:val="none"/>
          <w:lang w:val="en-US" w:eastAsia="zh-CN"/>
          <w14:textFill>
            <w14:solidFill>
              <w14:schemeClr w14:val="tx1"/>
            </w14:solidFill>
          </w14:textFill>
        </w:rPr>
      </w:pPr>
      <w:r>
        <w:rPr>
          <w:rFonts w:hint="eastAsia" w:ascii="宋体" w:hAnsi="宋体" w:eastAsia="宋体" w:cs="宋体"/>
          <w:b/>
          <w:bCs w:val="0"/>
          <w:color w:val="000000" w:themeColor="text1"/>
          <w:highlight w:val="none"/>
          <w:lang w:val="en-US" w:eastAsia="zh-CN"/>
          <w14:textFill>
            <w14:solidFill>
              <w14:schemeClr w14:val="tx1"/>
            </w14:solidFill>
          </w14:textFill>
        </w:rPr>
        <w:t>4、本项目</w:t>
      </w:r>
      <w:r>
        <w:rPr>
          <w:rFonts w:hint="default" w:ascii="宋体" w:hAnsi="宋体" w:eastAsia="宋体" w:cs="宋体"/>
          <w:b/>
          <w:bCs w:val="0"/>
          <w:color w:val="000000" w:themeColor="text1"/>
          <w:highlight w:val="none"/>
          <w:lang w:val="en-US" w:eastAsia="zh-CN"/>
          <w14:textFill>
            <w14:solidFill>
              <w14:schemeClr w14:val="tx1"/>
            </w14:solidFill>
          </w14:textFill>
        </w:rPr>
        <w:t>与达州市“三区三线”的符合性分析</w:t>
      </w:r>
    </w:p>
    <w:p>
      <w:pPr>
        <w:pStyle w:val="21"/>
        <w:pageBreakBefore w:val="0"/>
        <w:tabs>
          <w:tab w:val="left" w:pos="863"/>
        </w:tabs>
        <w:kinsoku/>
        <w:wordWrap/>
        <w:overflowPunct/>
        <w:topLinePunct w:val="0"/>
        <w:autoSpaceDE/>
        <w:autoSpaceDN/>
        <w:bidi w:val="0"/>
        <w:adjustRightInd w:val="0"/>
        <w:snapToGrid w:val="0"/>
        <w:spacing w:before="0"/>
        <w:ind w:left="0" w:firstLine="480"/>
        <w:textAlignment w:val="auto"/>
        <w:rPr>
          <w:rFonts w:hint="default" w:ascii="Times New Roman" w:hAnsi="Times New Roman" w:cs="Times New Roman"/>
          <w:color w:val="000000" w:themeColor="text1"/>
          <w:kern w:val="2"/>
          <w:szCs w:val="22"/>
          <w:highlight w:val="none"/>
          <w:lang w:eastAsia="zh-CN"/>
          <w14:textFill>
            <w14:solidFill>
              <w14:schemeClr w14:val="tx1"/>
            </w14:solidFill>
          </w14:textFill>
        </w:rPr>
      </w:pPr>
      <w:r>
        <w:rPr>
          <w:rFonts w:hint="default" w:ascii="Times New Roman" w:hAnsi="Times New Roman" w:cs="Times New Roman"/>
          <w:color w:val="000000" w:themeColor="text1"/>
          <w:kern w:val="2"/>
          <w:szCs w:val="22"/>
          <w:highlight w:val="none"/>
          <w:lang w:eastAsia="zh-CN"/>
          <w14:textFill>
            <w14:solidFill>
              <w14:schemeClr w14:val="tx1"/>
            </w14:solidFill>
          </w14:textFill>
        </w:rPr>
        <w:t>（1）与达州市《达州市国土空间总体规划（2021-2035）》的符合性分析</w:t>
      </w:r>
    </w:p>
    <w:p>
      <w:pPr>
        <w:pStyle w:val="21"/>
        <w:pageBreakBefore w:val="0"/>
        <w:tabs>
          <w:tab w:val="left" w:pos="863"/>
        </w:tabs>
        <w:kinsoku/>
        <w:wordWrap/>
        <w:overflowPunct/>
        <w:topLinePunct w:val="0"/>
        <w:autoSpaceDE/>
        <w:autoSpaceDN/>
        <w:bidi w:val="0"/>
        <w:adjustRightInd w:val="0"/>
        <w:snapToGrid w:val="0"/>
        <w:spacing w:before="0"/>
        <w:ind w:left="0" w:firstLine="48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kern w:val="2"/>
          <w:szCs w:val="22"/>
          <w:highlight w:val="none"/>
          <w:lang w:eastAsia="zh-CN"/>
          <w14:textFill>
            <w14:solidFill>
              <w14:schemeClr w14:val="tx1"/>
            </w14:solidFill>
          </w14:textFill>
        </w:rPr>
        <w:t>根据《达州市国土空间总体规划（2021-2035）》中的要求：“强化底线约束，严格管控</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w:t>
      </w:r>
      <w:r>
        <w:rPr>
          <w:rFonts w:hint="default" w:ascii="Times New Roman" w:hAnsi="Times New Roman" w:cs="Times New Roman"/>
          <w:color w:val="000000" w:themeColor="text1"/>
          <w:kern w:val="2"/>
          <w:szCs w:val="22"/>
          <w:highlight w:val="none"/>
          <w:lang w:eastAsia="zh-CN"/>
          <w14:textFill>
            <w14:solidFill>
              <w14:schemeClr w14:val="tx1"/>
            </w14:solidFill>
          </w14:textFill>
        </w:rPr>
        <w:t>三线</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w:t>
      </w:r>
      <w:r>
        <w:rPr>
          <w:rFonts w:hint="default" w:ascii="Times New Roman" w:hAnsi="Times New Roman" w:cs="Times New Roman"/>
          <w:color w:val="000000" w:themeColor="text1"/>
          <w:kern w:val="2"/>
          <w:szCs w:val="22"/>
          <w:highlight w:val="none"/>
          <w:lang w:eastAsia="zh-CN"/>
          <w14:textFill>
            <w14:solidFill>
              <w14:schemeClr w14:val="tx1"/>
            </w14:solidFill>
          </w14:textFill>
        </w:rPr>
        <w:t>。优化市域空间总体格局，形成</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w:t>
      </w:r>
      <w:r>
        <w:rPr>
          <w:rFonts w:hint="default" w:ascii="Times New Roman" w:hAnsi="Times New Roman" w:cs="Times New Roman"/>
          <w:color w:val="000000" w:themeColor="text1"/>
          <w:kern w:val="2"/>
          <w:szCs w:val="22"/>
          <w:highlight w:val="none"/>
          <w:lang w:eastAsia="zh-CN"/>
          <w14:textFill>
            <w14:solidFill>
              <w14:schemeClr w14:val="tx1"/>
            </w14:solidFill>
          </w14:textFill>
        </w:rPr>
        <w:t>北特中都南粮，一屏两廊三带、一核两翼六轴</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w:t>
      </w:r>
      <w:r>
        <w:rPr>
          <w:rFonts w:hint="default" w:ascii="Times New Roman" w:hAnsi="Times New Roman" w:cs="Times New Roman"/>
          <w:color w:val="000000" w:themeColor="text1"/>
          <w:kern w:val="2"/>
          <w:szCs w:val="22"/>
          <w:highlight w:val="none"/>
          <w:lang w:eastAsia="zh-CN"/>
          <w14:textFill>
            <w14:solidFill>
              <w14:schemeClr w14:val="tx1"/>
            </w14:solidFill>
          </w14:textFill>
        </w:rPr>
        <w:t>的市域总体格局”。本项目位于达州市中部区域的宣汉县，属于《达州市国土空间总体规划（2021-2035）》中的北部生态农业产业区内，本项目</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性质</w:t>
      </w:r>
      <w:r>
        <w:rPr>
          <w:rFonts w:hint="default" w:ascii="Times New Roman" w:hAnsi="Times New Roman" w:cs="Times New Roman"/>
          <w:color w:val="000000" w:themeColor="text1"/>
          <w:kern w:val="2"/>
          <w:szCs w:val="22"/>
          <w:highlight w:val="none"/>
          <w:lang w:eastAsia="zh-CN"/>
          <w14:textFill>
            <w14:solidFill>
              <w14:schemeClr w14:val="tx1"/>
            </w14:solidFill>
          </w14:textFill>
        </w:rPr>
        <w:t>实验性探井</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及试采</w:t>
      </w:r>
      <w:r>
        <w:rPr>
          <w:rFonts w:hint="default" w:ascii="Times New Roman" w:hAnsi="Times New Roman" w:cs="Times New Roman"/>
          <w:color w:val="000000" w:themeColor="text1"/>
          <w:kern w:val="2"/>
          <w:szCs w:val="22"/>
          <w:highlight w:val="none"/>
          <w:lang w:eastAsia="zh-CN"/>
          <w14:textFill>
            <w14:solidFill>
              <w14:schemeClr w14:val="tx1"/>
            </w14:solidFill>
          </w14:textFill>
        </w:rPr>
        <w:t>，本项目利旧已建井场建设，大部分占地利旧原井场已占用土地建设，仅</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施工期</w:t>
      </w:r>
      <w:r>
        <w:rPr>
          <w:rFonts w:hint="default" w:ascii="Times New Roman" w:hAnsi="Times New Roman" w:cs="Times New Roman"/>
          <w:color w:val="000000" w:themeColor="text1"/>
          <w:kern w:val="2"/>
          <w:szCs w:val="22"/>
          <w:highlight w:val="none"/>
          <w:lang w:eastAsia="zh-CN"/>
          <w14:textFill>
            <w14:solidFill>
              <w14:schemeClr w14:val="tx1"/>
            </w14:solidFill>
          </w14:textFill>
        </w:rPr>
        <w:t>生活区建设需</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临时</w:t>
      </w:r>
      <w:r>
        <w:rPr>
          <w:rFonts w:hint="default" w:ascii="Times New Roman" w:hAnsi="Times New Roman" w:cs="Times New Roman"/>
          <w:color w:val="000000" w:themeColor="text1"/>
          <w:kern w:val="2"/>
          <w:szCs w:val="22"/>
          <w:highlight w:val="none"/>
          <w:lang w:eastAsia="zh-CN"/>
          <w14:textFill>
            <w14:solidFill>
              <w14:schemeClr w14:val="tx1"/>
            </w14:solidFill>
          </w14:textFill>
        </w:rPr>
        <w:t>占用少量土地，主要为道路旁荒地和少量林地，不涉及基本农田占用，并且施工结束后将对临时占地区域进行复垦。从总体而言，项目的建设不会对达州市国土空间总体规划造成较大影响。因此，项目的建设符合《达州市国土空间总体规划（2021-2035）》。</w:t>
      </w:r>
    </w:p>
    <w:p>
      <w:pPr>
        <w:pStyle w:val="21"/>
        <w:pageBreakBefore w:val="0"/>
        <w:tabs>
          <w:tab w:val="left" w:pos="863"/>
        </w:tabs>
        <w:kinsoku/>
        <w:wordWrap/>
        <w:overflowPunct/>
        <w:topLinePunct w:val="0"/>
        <w:autoSpaceDE/>
        <w:autoSpaceDN/>
        <w:bidi w:val="0"/>
        <w:adjustRightInd w:val="0"/>
        <w:snapToGrid w:val="0"/>
        <w:spacing w:before="0"/>
        <w:ind w:left="0" w:firstLine="480"/>
        <w:textAlignment w:val="auto"/>
        <w:rPr>
          <w:rFonts w:hint="default" w:ascii="Times New Roman" w:hAnsi="Times New Roman" w:cs="Times New Roman"/>
          <w:color w:val="000000" w:themeColor="text1"/>
          <w:kern w:val="2"/>
          <w:szCs w:val="22"/>
          <w:highlight w:val="none"/>
          <w:lang w:eastAsia="zh-CN"/>
          <w14:textFill>
            <w14:solidFill>
              <w14:schemeClr w14:val="tx1"/>
            </w14:solidFill>
          </w14:textFill>
        </w:rPr>
      </w:pPr>
      <w:r>
        <w:rPr>
          <w:rFonts w:hint="default" w:ascii="Times New Roman" w:hAnsi="Times New Roman" w:cs="Times New Roman"/>
          <w:color w:val="000000" w:themeColor="text1"/>
          <w:kern w:val="2"/>
          <w:szCs w:val="22"/>
          <w:highlight w:val="none"/>
          <w:lang w:eastAsia="zh-CN"/>
          <w14:textFill>
            <w14:solidFill>
              <w14:schemeClr w14:val="tx1"/>
            </w14:solidFill>
          </w14:textFill>
        </w:rPr>
        <w:t>（2）与达州市“三区三线”的符合性分析</w:t>
      </w:r>
    </w:p>
    <w:p>
      <w:pPr>
        <w:pStyle w:val="21"/>
        <w:pageBreakBefore w:val="0"/>
        <w:tabs>
          <w:tab w:val="left" w:pos="863"/>
        </w:tabs>
        <w:kinsoku/>
        <w:wordWrap/>
        <w:overflowPunct/>
        <w:topLinePunct w:val="0"/>
        <w:autoSpaceDE/>
        <w:autoSpaceDN/>
        <w:bidi w:val="0"/>
        <w:adjustRightInd w:val="0"/>
        <w:snapToGrid w:val="0"/>
        <w:spacing w:before="0"/>
        <w:ind w:left="0" w:firstLine="480"/>
        <w:textAlignment w:val="auto"/>
        <w:rPr>
          <w:rFonts w:hint="default" w:ascii="Times New Roman" w:hAnsi="Times New Roman" w:cs="Times New Roman"/>
          <w:color w:val="000000" w:themeColor="text1"/>
          <w:kern w:val="2"/>
          <w:szCs w:val="22"/>
          <w:highlight w:val="none"/>
          <w:lang w:eastAsia="zh-CN"/>
          <w14:textFill>
            <w14:solidFill>
              <w14:schemeClr w14:val="tx1"/>
            </w14:solidFill>
          </w14:textFill>
        </w:rPr>
      </w:pPr>
      <w:r>
        <w:rPr>
          <w:rFonts w:hint="default" w:ascii="Times New Roman" w:hAnsi="Times New Roman" w:cs="Times New Roman"/>
          <w:color w:val="000000" w:themeColor="text1"/>
          <w:kern w:val="2"/>
          <w:szCs w:val="22"/>
          <w:highlight w:val="none"/>
          <w:lang w:eastAsia="zh-CN"/>
          <w14:textFill>
            <w14:solidFill>
              <w14:schemeClr w14:val="tx1"/>
            </w14:solidFill>
          </w14:textFill>
        </w:rPr>
        <w:t>根据达州市“三区三线”的管控要求，项目与达州市“三区三线”的符合性分析如下：</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表 </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cs="Times New Roman"/>
          <w:color w:val="000000" w:themeColor="text1"/>
          <w:highlight w:val="none"/>
          <w:lang w:val="en-US" w:eastAsia="zh-CN"/>
          <w14:textFill>
            <w14:solidFill>
              <w14:schemeClr w14:val="tx1"/>
            </w14:solidFill>
          </w14:textFill>
        </w:rPr>
        <w:t>2</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与达州市“三区三线”符合性分析</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6"/>
        <w:gridCol w:w="3974"/>
        <w:gridCol w:w="2834"/>
        <w:gridCol w:w="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0" w:type="auto"/>
            <w:tcMar>
              <w:left w:w="57" w:type="dxa"/>
              <w:right w:w="57" w:type="dxa"/>
            </w:tcMar>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3974" w:type="dxa"/>
            <w:tcMar>
              <w:left w:w="57" w:type="dxa"/>
              <w:right w:w="57" w:type="dxa"/>
            </w:tcMar>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相关要求</w:t>
            </w:r>
          </w:p>
        </w:tc>
        <w:tc>
          <w:tcPr>
            <w:tcW w:w="2834" w:type="dxa"/>
            <w:tcMar>
              <w:left w:w="57" w:type="dxa"/>
              <w:right w:w="57" w:type="dxa"/>
            </w:tcMar>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本项目情况</w:t>
            </w:r>
          </w:p>
        </w:tc>
        <w:tc>
          <w:tcPr>
            <w:tcW w:w="0" w:type="auto"/>
            <w:tcMar>
              <w:left w:w="57" w:type="dxa"/>
              <w:right w:w="57" w:type="dxa"/>
            </w:tcMar>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3974" w:type="dxa"/>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城镇空间：以城镇居民生产、生活为主体功能的国土空间，包括城镇建设空间、工矿建设空间以及部分乡级政府驻地的开发建设空间。</w:t>
            </w:r>
          </w:p>
        </w:tc>
        <w:tc>
          <w:tcPr>
            <w:tcW w:w="2834" w:type="dxa"/>
            <w:tcMar>
              <w:left w:w="57" w:type="dxa"/>
              <w:right w:w="57" w:type="dxa"/>
            </w:tcMar>
            <w:vAlign w:val="center"/>
          </w:tcPr>
          <w:p>
            <w:pPr>
              <w:pStyle w:val="295"/>
              <w:jc w:val="left"/>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本项目利旧已建井场建设，大部分占地利旧原井场已占用土地建设，</w:t>
            </w:r>
            <w:r>
              <w:rPr>
                <w:rFonts w:hint="default" w:ascii="Times New Roman" w:hAnsi="Times New Roman" w:cs="Times New Roman"/>
                <w:color w:val="000000" w:themeColor="text1"/>
                <w:kern w:val="2"/>
                <w:szCs w:val="22"/>
                <w:highlight w:val="none"/>
                <w:lang w:eastAsia="zh-CN"/>
                <w14:textFill>
                  <w14:solidFill>
                    <w14:schemeClr w14:val="tx1"/>
                  </w14:solidFill>
                </w14:textFill>
              </w:rPr>
              <w:t>仅</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施工期</w:t>
            </w:r>
            <w:r>
              <w:rPr>
                <w:rFonts w:hint="default" w:ascii="Times New Roman" w:hAnsi="Times New Roman" w:cs="Times New Roman"/>
                <w:color w:val="000000" w:themeColor="text1"/>
                <w:kern w:val="2"/>
                <w:szCs w:val="22"/>
                <w:highlight w:val="none"/>
                <w:lang w:eastAsia="zh-CN"/>
                <w14:textFill>
                  <w14:solidFill>
                    <w14:schemeClr w14:val="tx1"/>
                  </w14:solidFill>
                </w14:textFill>
              </w:rPr>
              <w:t>生活区建设需</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临时</w:t>
            </w:r>
            <w:r>
              <w:rPr>
                <w:rFonts w:hint="default" w:ascii="Times New Roman" w:hAnsi="Times New Roman" w:cs="Times New Roman"/>
                <w:color w:val="000000" w:themeColor="text1"/>
                <w:highlight w:val="none"/>
                <w14:textFill>
                  <w14:solidFill>
                    <w14:schemeClr w14:val="tx1"/>
                  </w14:solidFill>
                </w14:textFill>
              </w:rPr>
              <w:t>占用少量土地，主要为道路旁荒地和少量林地，不涉及城镇建设用地</w:t>
            </w:r>
            <w:r>
              <w:rPr>
                <w:rFonts w:hint="eastAsia" w:cs="Times New Roman"/>
                <w:color w:val="000000" w:themeColor="text1"/>
                <w:highlight w:val="none"/>
                <w:lang w:eastAsia="zh-CN"/>
                <w14:textFill>
                  <w14:solidFill>
                    <w14:schemeClr w14:val="tx1"/>
                  </w14:solidFill>
                </w14:textFill>
              </w:rPr>
              <w:t>。</w:t>
            </w:r>
          </w:p>
        </w:tc>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3974" w:type="dxa"/>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农业空间：以农业生产和农村居民生活为主体功能，承担农产品生产和农村生活功能的国土空间，主要包括永久基本农田、一般农田等农业生产用地以及村庄等农村生活用地。</w:t>
            </w:r>
          </w:p>
        </w:tc>
        <w:tc>
          <w:tcPr>
            <w:tcW w:w="2834" w:type="dxa"/>
            <w:vMerge w:val="restart"/>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本项目利旧已建井场建设，大部分占地利旧原井场已占用土地建设，</w:t>
            </w:r>
            <w:r>
              <w:rPr>
                <w:rFonts w:hint="default" w:ascii="Times New Roman" w:hAnsi="Times New Roman" w:cs="Times New Roman"/>
                <w:color w:val="000000" w:themeColor="text1"/>
                <w:kern w:val="2"/>
                <w:szCs w:val="22"/>
                <w:highlight w:val="none"/>
                <w:lang w:eastAsia="zh-CN"/>
                <w14:textFill>
                  <w14:solidFill>
                    <w14:schemeClr w14:val="tx1"/>
                  </w14:solidFill>
                </w14:textFill>
              </w:rPr>
              <w:t>仅</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施工期</w:t>
            </w:r>
            <w:r>
              <w:rPr>
                <w:rFonts w:hint="default" w:ascii="Times New Roman" w:hAnsi="Times New Roman" w:cs="Times New Roman"/>
                <w:color w:val="000000" w:themeColor="text1"/>
                <w:kern w:val="2"/>
                <w:szCs w:val="22"/>
                <w:highlight w:val="none"/>
                <w:lang w:eastAsia="zh-CN"/>
                <w14:textFill>
                  <w14:solidFill>
                    <w14:schemeClr w14:val="tx1"/>
                  </w14:solidFill>
                </w14:textFill>
              </w:rPr>
              <w:t>生活区建设需</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临时</w:t>
            </w:r>
            <w:r>
              <w:rPr>
                <w:rFonts w:hint="default" w:ascii="Times New Roman" w:hAnsi="Times New Roman" w:cs="Times New Roman"/>
                <w:color w:val="000000" w:themeColor="text1"/>
                <w:highlight w:val="none"/>
                <w14:textFill>
                  <w14:solidFill>
                    <w14:schemeClr w14:val="tx1"/>
                  </w14:solidFill>
                </w14:textFill>
              </w:rPr>
              <w:t>占用少量土地，主要为道路旁荒地和少量林地，不涉及基本农田占用（见附图13），并且施工结束后将对临时占地区域进行复垦。</w:t>
            </w:r>
          </w:p>
        </w:tc>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3974" w:type="dxa"/>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生态空间：具有自然属性的，以提供生态服务或生态产品为主体功能的国土空间，包括森林、草原、湿地、河流、湖泊、滩涂、荒地、荒漠等。</w:t>
            </w:r>
          </w:p>
        </w:tc>
        <w:tc>
          <w:tcPr>
            <w:tcW w:w="2834" w:type="dxa"/>
            <w:vMerge w:val="continue"/>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3974" w:type="dxa"/>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生态保护红线：是在生态空间范围内具有特殊重要的生态功能、必须强制性严格保护的区域，是保障和维护国家生态安全的底线和生命线。</w:t>
            </w:r>
          </w:p>
        </w:tc>
        <w:tc>
          <w:tcPr>
            <w:tcW w:w="2834" w:type="dxa"/>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本项目不涉及生态保护红线。（见附图15）</w:t>
            </w:r>
          </w:p>
        </w:tc>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3974" w:type="dxa"/>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永久基本农田保护红线：是按照一定时期人口和社会经济发展对农产品的需求，依法确定的不得占用、不得开发、需要永久性保护的耕地空间边界。</w:t>
            </w:r>
          </w:p>
        </w:tc>
        <w:tc>
          <w:tcPr>
            <w:tcW w:w="2834" w:type="dxa"/>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本项目利旧已建井场建设，大部分占地利旧原井场已占用土地建设，</w:t>
            </w:r>
            <w:r>
              <w:rPr>
                <w:rFonts w:hint="default" w:ascii="Times New Roman" w:hAnsi="Times New Roman" w:cs="Times New Roman"/>
                <w:color w:val="000000" w:themeColor="text1"/>
                <w:kern w:val="2"/>
                <w:szCs w:val="22"/>
                <w:highlight w:val="none"/>
                <w:lang w:eastAsia="zh-CN"/>
                <w14:textFill>
                  <w14:solidFill>
                    <w14:schemeClr w14:val="tx1"/>
                  </w14:solidFill>
                </w14:textFill>
              </w:rPr>
              <w:t>仅</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施工期</w:t>
            </w:r>
            <w:r>
              <w:rPr>
                <w:rFonts w:hint="default" w:ascii="Times New Roman" w:hAnsi="Times New Roman" w:cs="Times New Roman"/>
                <w:color w:val="000000" w:themeColor="text1"/>
                <w:kern w:val="2"/>
                <w:szCs w:val="22"/>
                <w:highlight w:val="none"/>
                <w:lang w:eastAsia="zh-CN"/>
                <w14:textFill>
                  <w14:solidFill>
                    <w14:schemeClr w14:val="tx1"/>
                  </w14:solidFill>
                </w14:textFill>
              </w:rPr>
              <w:t>生活区建设需</w:t>
            </w:r>
            <w:r>
              <w:rPr>
                <w:rFonts w:hint="eastAsia" w:ascii="Times New Roman" w:hAnsi="Times New Roman" w:cs="Times New Roman"/>
                <w:color w:val="000000" w:themeColor="text1"/>
                <w:kern w:val="2"/>
                <w:szCs w:val="22"/>
                <w:highlight w:val="none"/>
                <w:lang w:val="en-US" w:eastAsia="zh-CN"/>
                <w14:textFill>
                  <w14:solidFill>
                    <w14:schemeClr w14:val="tx1"/>
                  </w14:solidFill>
                </w14:textFill>
              </w:rPr>
              <w:t>临时</w:t>
            </w:r>
            <w:r>
              <w:rPr>
                <w:rFonts w:hint="default" w:ascii="Times New Roman" w:hAnsi="Times New Roman" w:cs="Times New Roman"/>
                <w:color w:val="000000" w:themeColor="text1"/>
                <w:highlight w:val="none"/>
                <w14:textFill>
                  <w14:solidFill>
                    <w14:schemeClr w14:val="tx1"/>
                  </w14:solidFill>
                </w14:textFill>
              </w:rPr>
              <w:t>占用少量土地，主要为道路旁荒地和少量林地，不涉及基本农田占用，并且施工结束后将对临时占地区域进行复垦。</w:t>
            </w:r>
          </w:p>
        </w:tc>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w:t>
            </w:r>
          </w:p>
        </w:tc>
        <w:tc>
          <w:tcPr>
            <w:tcW w:w="3974" w:type="dxa"/>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城镇开发边界：在一定时期内，可以进行城镇开发和集中建设的地域空间边界，包括城镇现状建成区、优化发展区，以及因城镇建设发展需要必须实行规划控制的区域。</w:t>
            </w:r>
          </w:p>
        </w:tc>
        <w:tc>
          <w:tcPr>
            <w:tcW w:w="2834" w:type="dxa"/>
            <w:tcMar>
              <w:left w:w="57" w:type="dxa"/>
              <w:right w:w="57" w:type="dxa"/>
            </w:tcMar>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本项目不涉及城镇开发区。（见附图14）</w:t>
            </w:r>
          </w:p>
        </w:tc>
        <w:tc>
          <w:tcPr>
            <w:tcW w:w="0" w:type="auto"/>
            <w:tcMar>
              <w:left w:w="57" w:type="dxa"/>
              <w:right w:w="57"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bl>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综上所述，本项目与</w:t>
      </w:r>
      <w:r>
        <w:rPr>
          <w:rFonts w:hint="default" w:ascii="Times New Roman" w:hAnsi="Times New Roman" w:cs="Times New Roman"/>
          <w:bCs/>
          <w:color w:val="000000" w:themeColor="text1"/>
          <w:szCs w:val="24"/>
          <w:highlight w:val="none"/>
          <w14:textFill>
            <w14:solidFill>
              <w14:schemeClr w14:val="tx1"/>
            </w14:solidFill>
          </w14:textFill>
        </w:rPr>
        <w:t>区域</w:t>
      </w:r>
      <w:r>
        <w:rPr>
          <w:rFonts w:hint="default" w:ascii="Times New Roman" w:hAnsi="Times New Roman" w:cs="Times New Roman"/>
          <w:color w:val="000000" w:themeColor="text1"/>
          <w:highlight w:val="none"/>
          <w14:textFill>
            <w14:solidFill>
              <w14:schemeClr w14:val="tx1"/>
            </w14:solidFill>
          </w14:textFill>
        </w:rPr>
        <w:t>“三区三线”相符。</w:t>
      </w:r>
    </w:p>
    <w:p>
      <w:pPr>
        <w:pStyle w:val="4"/>
        <w:pageBreakBefore w:val="0"/>
        <w:widowControl w:val="0"/>
        <w:kinsoku/>
        <w:wordWrap/>
        <w:overflowPunct/>
        <w:topLinePunct w:val="0"/>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与石油天然气开采行业相关技术规范符合性分析</w:t>
      </w:r>
    </w:p>
    <w:p>
      <w:pPr>
        <w:pStyle w:val="5"/>
        <w:pageBreakBefore w:val="0"/>
        <w:widowControl w:val="0"/>
        <w:numPr>
          <w:ilvl w:val="3"/>
          <w:numId w:val="0"/>
        </w:numPr>
        <w:kinsoku/>
        <w:wordWrap/>
        <w:overflowPunct/>
        <w:topLinePunct w:val="0"/>
        <w:bidi w:val="0"/>
        <w:adjustRightInd w:val="0"/>
        <w:snapToGrid w:val="0"/>
        <w:spacing w:before="0" w:beforeLines="0"/>
        <w:ind w:leftChars="200"/>
        <w:textAlignment w:val="auto"/>
        <w:rPr>
          <w:rFonts w:hint="eastAsia" w:ascii="宋体" w:hAnsi="宋体" w:eastAsia="宋体" w:cs="宋体"/>
          <w:b/>
          <w:bCs w:val="0"/>
          <w:color w:val="000000" w:themeColor="text1"/>
          <w:highlight w:val="none"/>
          <w14:textFill>
            <w14:solidFill>
              <w14:schemeClr w14:val="tx1"/>
            </w14:solidFill>
          </w14:textFill>
        </w:rPr>
      </w:pPr>
      <w:r>
        <w:rPr>
          <w:rFonts w:hint="eastAsia" w:ascii="宋体" w:hAnsi="宋体" w:eastAsia="宋体" w:cs="宋体"/>
          <w:b/>
          <w:bCs w:val="0"/>
          <w:color w:val="000000" w:themeColor="text1"/>
          <w:highlight w:val="none"/>
          <w:lang w:val="en-US" w:eastAsia="zh-CN"/>
          <w14:textFill>
            <w14:solidFill>
              <w14:schemeClr w14:val="tx1"/>
            </w14:solidFill>
          </w14:textFill>
        </w:rPr>
        <w:t>1、</w:t>
      </w:r>
      <w:r>
        <w:rPr>
          <w:rFonts w:hint="eastAsia" w:ascii="宋体" w:hAnsi="宋体" w:eastAsia="宋体" w:cs="宋体"/>
          <w:b/>
          <w:bCs w:val="0"/>
          <w:color w:val="000000" w:themeColor="text1"/>
          <w:highlight w:val="none"/>
          <w14:textFill>
            <w14:solidFill>
              <w14:schemeClr w14:val="tx1"/>
            </w14:solidFill>
          </w14:textFill>
        </w:rPr>
        <w:t>与《石油天然气开采业污染防治技术政策》的符合性分析</w:t>
      </w:r>
    </w:p>
    <w:p>
      <w:pPr>
        <w:pageBreakBefore w:val="0"/>
        <w:widowControl w:val="0"/>
        <w:kinsoku/>
        <w:wordWrap/>
        <w:overflowPunct/>
        <w:topLinePunct w:val="0"/>
        <w:autoSpaceDE w:val="0"/>
        <w:autoSpaceDN w:val="0"/>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根据《石油天然气开采业污染防治技术政策》（公告〔2012〕18号），本项目与《石油天然气开采业污染防治技术政策》符合性分析见下表。</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 xml:space="preserve">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与《石油天然气开采业污染防治技术政策》符合性分析表</w:t>
      </w:r>
    </w:p>
    <w:tbl>
      <w:tblPr>
        <w:tblStyle w:val="53"/>
        <w:tblW w:w="83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3731"/>
        <w:gridCol w:w="2835"/>
        <w:gridCol w:w="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blHeader/>
        </w:trPr>
        <w:tc>
          <w:tcPr>
            <w:tcW w:w="94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373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技术政策要求</w:t>
            </w:r>
          </w:p>
        </w:tc>
        <w:tc>
          <w:tcPr>
            <w:tcW w:w="2835"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本工程内容</w:t>
            </w:r>
          </w:p>
        </w:tc>
        <w:tc>
          <w:tcPr>
            <w:tcW w:w="82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w:t>
            </w:r>
          </w:p>
        </w:tc>
        <w:tc>
          <w:tcPr>
            <w:tcW w:w="7386"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清洁生产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7"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油气田建设应总体规划，优化布局，整体开发，减少占地和油气损失，实现油气和废物的集中收集、处理处置。</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本项目属于天然气钻井及试采工程</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占地较少，废水、固废收集后集中交由</w:t>
            </w:r>
            <w:r>
              <w:rPr>
                <w:rFonts w:hint="default" w:ascii="Times New Roman" w:hAnsi="Times New Roman" w:cs="Times New Roman"/>
                <w:color w:val="000000" w:themeColor="text1"/>
                <w:highlight w:val="none"/>
                <w:lang w:val="en-US" w:eastAsia="zh-CN"/>
                <w14:textFill>
                  <w14:solidFill>
                    <w14:schemeClr w14:val="tx1"/>
                  </w14:solidFill>
                </w14:textFill>
              </w:rPr>
              <w:t>相应</w:t>
            </w:r>
            <w:r>
              <w:rPr>
                <w:rFonts w:hint="default" w:ascii="Times New Roman" w:hAnsi="Times New Roman" w:cs="Times New Roman"/>
                <w:color w:val="000000" w:themeColor="text1"/>
                <w:highlight w:val="none"/>
                <w14:textFill>
                  <w14:solidFill>
                    <w14:schemeClr w14:val="tx1"/>
                  </w14:solidFill>
                </w14:textFill>
              </w:rPr>
              <w:t>具有处置能力的单位处理处置。</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3"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油气田开发不得使用含有国际公约禁用化学物质的油气田化学剂，逐步淘汰微毒及以上油气田化学剂，鼓励使用无毒油气田化学剂。</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本项目无国际公约禁用化学物质。</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在油气勘探过程中，宜使用环保型炸药和可控震源，应采取防渗等措施预防燃料泄漏对环境的污染。</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本项目无需炸药，油罐区设置地面硬化防渗、围堰</w:t>
            </w:r>
            <w:r>
              <w:rPr>
                <w:rFonts w:hint="default" w:ascii="Times New Roman" w:hAnsi="Times New Roman" w:cs="Times New Roman"/>
                <w:color w:val="000000" w:themeColor="text1"/>
                <w:highlight w:val="none"/>
                <w:lang w:val="en-US" w:eastAsia="zh-CN"/>
                <w14:textFill>
                  <w14:solidFill>
                    <w14:schemeClr w14:val="tx1"/>
                  </w14:solidFill>
                </w14:textFill>
              </w:rPr>
              <w:t>等</w:t>
            </w:r>
            <w:r>
              <w:rPr>
                <w:rFonts w:hint="default" w:ascii="Times New Roman" w:hAnsi="Times New Roman" w:cs="Times New Roman"/>
                <w:color w:val="000000" w:themeColor="text1"/>
                <w:highlight w:val="none"/>
                <w14:textFill>
                  <w14:solidFill>
                    <w14:schemeClr w14:val="tx1"/>
                  </w14:solidFill>
                </w14:textFill>
              </w:rPr>
              <w:t>，可预防燃料泄漏对环境的污染。</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在钻井过程中，鼓励采用环境友好的钻井液体系；配备完善的固控设备，钻井液循环率达到95%以上；钻井过程产生的废水应回用。</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本项目为侧钻井，侧钻井段优先采用含封堵性聚合物的水基钻井液体系（若遇特殊地层情况，可能会转为油基钻井），固控设备完善，钻井液循环率达到95%以上，钻井废水处理回用。</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7"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井下作业过程中，酸化液和压裂液宜集中配制，酸化残液、压裂残液和返排液应回收利用或进行无害化处置，压裂放喷返排入罐率应达到100%。酸化、压裂作业和试油（气）过程应采取防喷、地面管线防刺、防漏、防溢等措施。</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本项目压裂液运输到现场集中配置，现场采取了防漏、防溢措施，酸化残液、压裂残液和返排液</w:t>
            </w:r>
            <w:r>
              <w:rPr>
                <w:rFonts w:hint="default" w:ascii="Times New Roman" w:hAnsi="Times New Roman" w:cs="Times New Roman"/>
                <w:color w:val="000000" w:themeColor="text1"/>
                <w:highlight w:val="none"/>
                <w:lang w:val="en-US" w:eastAsia="zh-CN"/>
                <w14:textFill>
                  <w14:solidFill>
                    <w14:schemeClr w14:val="tx1"/>
                  </w14:solidFill>
                </w14:textFill>
              </w:rPr>
              <w:t>等全部收集并</w:t>
            </w:r>
            <w:r>
              <w:rPr>
                <w:rFonts w:hint="default" w:ascii="Times New Roman" w:hAnsi="Times New Roman" w:cs="Times New Roman"/>
                <w:color w:val="000000" w:themeColor="text1"/>
                <w:highlight w:val="none"/>
                <w14:textFill>
                  <w14:solidFill>
                    <w14:schemeClr w14:val="tx1"/>
                  </w14:solidFill>
                </w14:textFill>
              </w:rPr>
              <w:t>外运处理。压裂作业和试油（气）过程</w:t>
            </w:r>
            <w:r>
              <w:rPr>
                <w:rFonts w:hint="default" w:ascii="Times New Roman" w:hAnsi="Times New Roman" w:cs="Times New Roman"/>
                <w:color w:val="000000" w:themeColor="text1"/>
                <w:highlight w:val="none"/>
                <w:lang w:val="en-US" w:eastAsia="zh-CN"/>
                <w14:textFill>
                  <w14:solidFill>
                    <w14:schemeClr w14:val="tx1"/>
                  </w14:solidFill>
                </w14:textFill>
              </w:rPr>
              <w:t>将</w:t>
            </w:r>
            <w:r>
              <w:rPr>
                <w:rFonts w:hint="default" w:ascii="Times New Roman" w:hAnsi="Times New Roman" w:cs="Times New Roman"/>
                <w:color w:val="000000" w:themeColor="text1"/>
                <w:highlight w:val="none"/>
                <w14:textFill>
                  <w14:solidFill>
                    <w14:schemeClr w14:val="tx1"/>
                  </w14:solidFill>
                </w14:textFill>
              </w:rPr>
              <w:t>采取防喷、地面管线防刺、防漏、防溢等措施。</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w:t>
            </w:r>
          </w:p>
        </w:tc>
        <w:tc>
          <w:tcPr>
            <w:tcW w:w="7386"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生态保护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在开发过程中，伴生气应回收利用，减少温室气体排放，不具备回收利用条件的，应充分燃烧，伴生气回收利用率应达到 80%以上；站场放空天然气应充分燃烧。燃烧放空设施应避开鸟类迁徙通道。</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放喷过程中不具备利用条件，在放喷池进行充分燃烧。放喷池未位于鸟类迁徙通道上。</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w:t>
            </w:r>
          </w:p>
        </w:tc>
        <w:tc>
          <w:tcPr>
            <w:tcW w:w="7386"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1"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本项目钻井过程中产生的钻井废水经不落地操作平台处理后回用于配制钻井液，剩余不能回用部分通过密闭罐车定期拉运至赵家坝污水站处理达标后管输至普光11井回注站回注；洗井废水及压裂返排液</w:t>
            </w:r>
            <w:r>
              <w:rPr>
                <w:rFonts w:hint="eastAsia" w:ascii="Times New Roman" w:hAnsi="Times New Roman" w:cs="Times New Roman"/>
                <w:color w:val="000000" w:themeColor="text1"/>
                <w:highlight w:val="none"/>
                <w:lang w:val="en-US" w:eastAsia="zh-CN"/>
                <w14:textFill>
                  <w14:solidFill>
                    <w14:schemeClr w14:val="tx1"/>
                  </w14:solidFill>
                </w14:textFill>
              </w:rPr>
              <w:t>由放喷池、压裂液储罐收集后，</w:t>
            </w:r>
            <w:r>
              <w:rPr>
                <w:rFonts w:hint="default" w:ascii="Times New Roman" w:hAnsi="Times New Roman" w:cs="Times New Roman"/>
                <w:color w:val="000000" w:themeColor="text1"/>
                <w:highlight w:val="none"/>
                <w:lang w:val="en-US" w:eastAsia="zh-CN"/>
                <w14:textFill>
                  <w14:solidFill>
                    <w14:schemeClr w14:val="tx1"/>
                  </w14:solidFill>
                </w14:textFill>
              </w:rPr>
              <w:t>优先回用于周边其他井场压裂液配置，若周边井场暂无法使用或压裂返排液水质无法满足回用要求时，则通过密闭罐车定期拉运至赵家坝污水站处理达标后管输至普光11井回注站回注。</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固体废物收集、贮存、处理处置设施应按照标准要求采取防渗措施。试油（气）后应立即封闭废弃钻井液贮池。</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钻井过程中按相关要求进行固废收集、贮存和处理，并采取相应防渗措施。试油（气）后将对清洁化操作平台清理后封闭。</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回收落地原油，以及原油处理、废水处理产生的油泥（砂）等中的油类物质，含油污泥资源化利用率应达到90%以上，残余固体废物应按照《国家危险废物名录》和危险废物鉴别标准识别，根据识别结果资源化利用或无害化处置。</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不涉及原油，本工程在井口及易产生油污的生产设施底部进行防渗处理，收集可能产生的废油，完钻后统一收集交有资质单位处置。</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对受到油污染的土壤宜采取生物或物化方法进行修复。</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不涉及原油，废油很少，通过采取防渗措施，总体不会造成土壤的油污染。</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四</w:t>
            </w:r>
          </w:p>
        </w:tc>
        <w:tc>
          <w:tcPr>
            <w:tcW w:w="7386"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运行风险和环境管理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油气田企业应制定环境保护管理规定，建立并运行健康、安全与环境管理体系。</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建设单位</w:t>
            </w:r>
            <w:r>
              <w:rPr>
                <w:rFonts w:hint="default" w:ascii="Times New Roman" w:hAnsi="Times New Roman" w:cs="Times New Roman"/>
                <w:color w:val="000000" w:themeColor="text1"/>
                <w:highlight w:val="none"/>
                <w14:textFill>
                  <w14:solidFill>
                    <w14:schemeClr w14:val="tx1"/>
                  </w14:solidFill>
                </w14:textFill>
              </w:rPr>
              <w:t>制定</w:t>
            </w:r>
            <w:r>
              <w:rPr>
                <w:rFonts w:hint="eastAsia" w:cs="Times New Roman"/>
                <w:color w:val="000000" w:themeColor="text1"/>
                <w:highlight w:val="none"/>
                <w:lang w:val="en-US" w:eastAsia="zh-CN"/>
                <w14:textFill>
                  <w14:solidFill>
                    <w14:schemeClr w14:val="tx1"/>
                  </w14:solidFill>
                </w14:textFill>
              </w:rPr>
              <w:t>了</w:t>
            </w:r>
            <w:r>
              <w:rPr>
                <w:rFonts w:hint="default" w:ascii="Times New Roman" w:hAnsi="Times New Roman" w:cs="Times New Roman"/>
                <w:color w:val="000000" w:themeColor="text1"/>
                <w:highlight w:val="none"/>
                <w14:textFill>
                  <w14:solidFill>
                    <w14:schemeClr w14:val="tx1"/>
                  </w14:solidFill>
                </w14:textFill>
              </w:rPr>
              <w:t>完善的环境保护管理规定，并建立</w:t>
            </w:r>
            <w:r>
              <w:rPr>
                <w:rFonts w:hint="eastAsia" w:cs="Times New Roman"/>
                <w:color w:val="000000" w:themeColor="text1"/>
                <w:highlight w:val="none"/>
                <w:lang w:val="en-US" w:eastAsia="zh-CN"/>
                <w14:textFill>
                  <w14:solidFill>
                    <w14:schemeClr w14:val="tx1"/>
                  </w14:solidFill>
                </w14:textFill>
              </w:rPr>
              <w:t>了</w:t>
            </w:r>
            <w:r>
              <w:rPr>
                <w:rFonts w:hint="default" w:ascii="Times New Roman" w:hAnsi="Times New Roman" w:cs="Times New Roman"/>
                <w:color w:val="000000" w:themeColor="text1"/>
                <w:highlight w:val="none"/>
                <w14:textFill>
                  <w14:solidFill>
                    <w14:schemeClr w14:val="tx1"/>
                  </w14:solidFill>
                </w14:textFill>
              </w:rPr>
              <w:t>运行健康、安全与环境管理体系。</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加强油气田建设、开发过程的环境监督管理。油气田建设过程应开展工程环境监理。</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建设单位制定</w:t>
            </w:r>
            <w:r>
              <w:rPr>
                <w:rFonts w:hint="eastAsia" w:cs="Times New Roman"/>
                <w:color w:val="000000" w:themeColor="text1"/>
                <w:highlight w:val="none"/>
                <w:lang w:val="en-US" w:eastAsia="zh-CN"/>
                <w14:textFill>
                  <w14:solidFill>
                    <w14:schemeClr w14:val="tx1"/>
                  </w14:solidFill>
                </w14:textFill>
              </w:rPr>
              <w:t>了</w:t>
            </w:r>
            <w:r>
              <w:rPr>
                <w:rFonts w:hint="default" w:ascii="Times New Roman" w:hAnsi="Times New Roman" w:cs="Times New Roman"/>
                <w:color w:val="000000" w:themeColor="text1"/>
                <w:highlight w:val="none"/>
                <w:lang w:val="en-US" w:eastAsia="zh-CN"/>
                <w14:textFill>
                  <w14:solidFill>
                    <w14:schemeClr w14:val="tx1"/>
                  </w14:solidFill>
                </w14:textFill>
              </w:rPr>
              <w:t>完善的环境监督与管理制度体系和环境监督管理计划。</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在开发过程中，企业应加强油气井套管的检测和维护，防止油气泄漏污染地下水。</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本项目制定了套管检测和维护计划和制度，防止</w:t>
            </w:r>
            <w:r>
              <w:rPr>
                <w:rFonts w:hint="default" w:ascii="Times New Roman" w:hAnsi="Times New Roman" w:cs="Times New Roman"/>
                <w:color w:val="000000" w:themeColor="text1"/>
                <w:highlight w:val="none"/>
                <w:lang w:eastAsia="zh-CN"/>
                <w14:textFill>
                  <w14:solidFill>
                    <w14:schemeClr w14:val="tx1"/>
                  </w14:solidFill>
                </w14:textFill>
              </w:rPr>
              <w:t>天然气泄漏</w:t>
            </w:r>
            <w:r>
              <w:rPr>
                <w:rFonts w:hint="default" w:ascii="Times New Roman" w:hAnsi="Times New Roman" w:cs="Times New Roman"/>
                <w:color w:val="000000" w:themeColor="text1"/>
                <w:highlight w:val="none"/>
                <w14:textFill>
                  <w14:solidFill>
                    <w14:schemeClr w14:val="tx1"/>
                  </w14:solidFill>
                </w14:textFill>
              </w:rPr>
              <w:t>污染地下水。</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油气田企业应建立环境保护人员培训制度，环境监测人员、统计人员、污染治理设施操作人员应经培训合格后上岗。</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建设单位</w:t>
            </w:r>
            <w:r>
              <w:rPr>
                <w:rFonts w:hint="default" w:ascii="Times New Roman" w:hAnsi="Times New Roman" w:cs="Times New Roman"/>
                <w:color w:val="000000" w:themeColor="text1"/>
                <w:highlight w:val="none"/>
                <w14:textFill>
                  <w14:solidFill>
                    <w14:schemeClr w14:val="tx1"/>
                  </w14:solidFill>
                </w14:textFill>
              </w:rPr>
              <w:t>设置有专门的环境管理部门，并制定有完善的培训制度。</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5" w:hRule="atLeast"/>
        </w:trPr>
        <w:tc>
          <w:tcPr>
            <w:tcW w:w="9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3731"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油气田企业应对开发过程进行环境风险因素识别，制定突发环境事件应急预案并定期进行演练。应开展特征污染物监测工作，采取环境风险防范和应急措施，防止发生由突发性油气泄漏产生的环境事故。</w:t>
            </w:r>
          </w:p>
        </w:tc>
        <w:tc>
          <w:tcPr>
            <w:tcW w:w="2835"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建设单位将严格按照要求设置突发环境事件应急预案，并定期举行演练。在井场周边设置事故监测点，实时监测危险因子。</w:t>
            </w:r>
          </w:p>
        </w:tc>
        <w:tc>
          <w:tcPr>
            <w:tcW w:w="82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bl>
    <w:p>
      <w:pPr>
        <w:pageBreakBefore w:val="0"/>
        <w:widowControl w:val="0"/>
        <w:kinsoku/>
        <w:wordWrap/>
        <w:overflowPunct/>
        <w:topLinePunct w:val="0"/>
        <w:autoSpaceDE w:val="0"/>
        <w:autoSpaceDN w:val="0"/>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pageBreakBefore w:val="0"/>
        <w:widowControl w:val="0"/>
        <w:kinsoku/>
        <w:wordWrap/>
        <w:overflowPunct/>
        <w:topLinePunct w:val="0"/>
        <w:autoSpaceDE w:val="0"/>
        <w:autoSpaceDN w:val="0"/>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由上表可见，本项目与《石油天然气开采业污染防治技术政策》符合。</w:t>
      </w:r>
    </w:p>
    <w:p>
      <w:pPr>
        <w:pStyle w:val="5"/>
        <w:keepNext/>
        <w:keepLines/>
        <w:pageBreakBefore w:val="0"/>
        <w:widowControl w:val="0"/>
        <w:numPr>
          <w:ilvl w:val="3"/>
          <w:numId w:val="0"/>
        </w:numPr>
        <w:kinsoku/>
        <w:wordWrap/>
        <w:overflowPunct/>
        <w:topLinePunct w:val="0"/>
        <w:autoSpaceDE/>
        <w:autoSpaceDN/>
        <w:bidi w:val="0"/>
        <w:adjustRightInd w:val="0"/>
        <w:snapToGrid w:val="0"/>
        <w:spacing w:before="0" w:beforeLines="0"/>
        <w:ind w:leftChars="0" w:firstLine="482" w:firstLineChars="200"/>
        <w:textAlignment w:val="auto"/>
        <w:rPr>
          <w:rFonts w:hint="default" w:ascii="宋体" w:hAnsi="宋体" w:eastAsia="宋体" w:cs="宋体"/>
          <w:b/>
          <w:bCs w:val="0"/>
          <w:color w:val="000000" w:themeColor="text1"/>
          <w:highlight w:val="none"/>
          <w:lang w:val="en-US" w:eastAsia="zh-CN"/>
          <w14:textFill>
            <w14:solidFill>
              <w14:schemeClr w14:val="tx1"/>
            </w14:solidFill>
          </w14:textFill>
        </w:rPr>
      </w:pPr>
      <w:r>
        <w:rPr>
          <w:rFonts w:hint="eastAsia" w:ascii="宋体" w:hAnsi="宋体" w:eastAsia="宋体" w:cs="宋体"/>
          <w:b/>
          <w:bCs w:val="0"/>
          <w:color w:val="000000" w:themeColor="text1"/>
          <w:highlight w:val="none"/>
          <w:lang w:val="en-US" w:eastAsia="zh-CN"/>
          <w14:textFill>
            <w14:solidFill>
              <w14:schemeClr w14:val="tx1"/>
            </w14:solidFill>
          </w14:textFill>
        </w:rPr>
        <w:t>2、</w:t>
      </w:r>
      <w:r>
        <w:rPr>
          <w:rFonts w:hint="default" w:ascii="宋体" w:hAnsi="宋体" w:eastAsia="宋体" w:cs="宋体"/>
          <w:b/>
          <w:bCs w:val="0"/>
          <w:color w:val="000000" w:themeColor="text1"/>
          <w:highlight w:val="none"/>
          <w:lang w:val="en-US" w:eastAsia="zh-CN"/>
          <w14:textFill>
            <w14:solidFill>
              <w14:schemeClr w14:val="tx1"/>
            </w14:solidFill>
          </w14:textFill>
        </w:rPr>
        <w:t>与《关于进一步加强石油天然气行业环境影响评价管理的通知》符合性分析</w:t>
      </w:r>
    </w:p>
    <w:p>
      <w:pPr>
        <w:pageBreakBefore w:val="0"/>
        <w:widowControl w:val="0"/>
        <w:tabs>
          <w:tab w:val="left" w:pos="0"/>
        </w:tabs>
        <w:kinsoku/>
        <w:wordWrap/>
        <w:overflowPunct/>
        <w:topLinePunct w:val="0"/>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根据《关于进一步加强石油天然气行业环境影响评价管理的通知》（环办环评函〔2019〕910号），本项目符合性分析如下。</w:t>
      </w: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表 </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cs="Times New Roman"/>
          <w:color w:val="000000" w:themeColor="text1"/>
          <w:highlight w:val="none"/>
          <w:lang w:val="en-US" w:eastAsia="zh-CN"/>
          <w14:textFill>
            <w14:solidFill>
              <w14:schemeClr w14:val="tx1"/>
            </w14:solidFill>
          </w14:textFill>
        </w:rPr>
        <w:t>4</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与《关于进一步加强石油天然气行业环境影响评价管理的通知》符合性分析表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92"/>
        <w:gridCol w:w="4358"/>
        <w:gridCol w:w="2529"/>
        <w:gridCol w:w="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35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260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技术政策要求</w:t>
            </w:r>
          </w:p>
        </w:tc>
        <w:tc>
          <w:tcPr>
            <w:tcW w:w="151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项目内容</w:t>
            </w:r>
          </w:p>
        </w:tc>
        <w:tc>
          <w:tcPr>
            <w:tcW w:w="527"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w:t>
            </w:r>
          </w:p>
        </w:tc>
        <w:tc>
          <w:tcPr>
            <w:tcW w:w="4645" w:type="pct"/>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推进规划环境影响评价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260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油气企业在编制内部相关油气开发专项规划时，鼓励同步编制规划环境影响报告书。</w:t>
            </w:r>
          </w:p>
        </w:tc>
        <w:tc>
          <w:tcPr>
            <w:tcW w:w="151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未编制相</w:t>
            </w:r>
            <w:r>
              <w:rPr>
                <w:rFonts w:hint="default" w:ascii="Times New Roman" w:hAnsi="Times New Roman" w:cs="Times New Roman"/>
                <w:color w:val="000000" w:themeColor="text1"/>
                <w:highlight w:val="none"/>
                <w:lang w:val="en-US" w:eastAsia="zh-CN"/>
                <w14:textFill>
                  <w14:solidFill>
                    <w14:schemeClr w14:val="tx1"/>
                  </w14:solidFill>
                </w14:textFill>
              </w:rPr>
              <w:t>关</w:t>
            </w:r>
            <w:r>
              <w:rPr>
                <w:rFonts w:hint="default" w:ascii="Times New Roman" w:hAnsi="Times New Roman" w:cs="Times New Roman"/>
                <w:color w:val="000000" w:themeColor="text1"/>
                <w:highlight w:val="none"/>
                <w14:textFill>
                  <w14:solidFill>
                    <w14:schemeClr w14:val="tx1"/>
                  </w14:solidFill>
                </w14:textFill>
              </w:rPr>
              <w:t>油气开发专项规划环境影响报告书。</w:t>
            </w:r>
          </w:p>
        </w:tc>
        <w:tc>
          <w:tcPr>
            <w:tcW w:w="52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非强制性要求，不违背。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w:t>
            </w:r>
          </w:p>
        </w:tc>
        <w:tc>
          <w:tcPr>
            <w:tcW w:w="4645" w:type="pct"/>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深化项目环评“放管服”改革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260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油气开采项目（含新开发和滚动开发项目）原则上应当以区块为单位开展环评（以下简称区块环评），一般包括区块内拟建的新井、加密井、调整井、站场、设备、管道和电缆及其更换工程、弃置工程及配套工程等。</w:t>
            </w:r>
            <w:r>
              <w:rPr>
                <w:rFonts w:hint="default" w:ascii="Times New Roman" w:hAnsi="Times New Roman" w:cs="Times New Roman"/>
                <w:color w:val="000000" w:themeColor="text1"/>
                <w:highlight w:val="none"/>
                <w14:textFill>
                  <w14:solidFill>
                    <w14:schemeClr w14:val="tx1"/>
                  </w14:solidFill>
                </w14:textFill>
              </w:rPr>
              <w:t>项目环评应当深入评价项目建设、运营带来的环境影响和环境风险，提出有效的生态环境保护和环境风险防范措施。滚动开发区块产能建设项目环评文件中还应对现有工程环境影响进行回顾性评价，对存在的生态环境问题和环境风险隐患提出有效防治措施。依托其他防治设施的或者委托第三方处置的，应当论证其可行性和有效性。</w:t>
            </w:r>
          </w:p>
        </w:tc>
        <w:tc>
          <w:tcPr>
            <w:tcW w:w="1512" w:type="pct"/>
            <w:vAlign w:val="center"/>
          </w:tcPr>
          <w:p>
            <w:pPr>
              <w:pStyle w:val="295"/>
              <w:jc w:val="left"/>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（1）普光气田主体区块环评情况：</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①2007年《中国石化普光气田开发及川气东送管道工程环境影响报告书》经原环保部审批</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2012年《中国石化普光气田开发及川气东送管道工程环境影响补充报告书》经原环保部审批</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在</w:t>
            </w:r>
            <w:r>
              <w:rPr>
                <w:rFonts w:hint="default" w:ascii="Times New Roman" w:hAnsi="Times New Roman" w:cs="Times New Roman"/>
                <w:color w:val="000000" w:themeColor="text1"/>
                <w:highlight w:val="none"/>
                <w:lang w:val="en-US" w:eastAsia="zh-CN"/>
                <w14:textFill>
                  <w14:solidFill>
                    <w14:schemeClr w14:val="tx1"/>
                  </w14:solidFill>
                </w14:textFill>
              </w:rPr>
              <w:t>上述</w:t>
            </w:r>
            <w:r>
              <w:rPr>
                <w:rFonts w:hint="default" w:ascii="Times New Roman" w:hAnsi="Times New Roman" w:cs="Times New Roman"/>
                <w:color w:val="000000" w:themeColor="text1"/>
                <w:highlight w:val="none"/>
                <w14:textFill>
                  <w14:solidFill>
                    <w14:schemeClr w14:val="tx1"/>
                  </w14:solidFill>
                </w14:textFill>
              </w:rPr>
              <w:t>报告</w:t>
            </w:r>
            <w:r>
              <w:rPr>
                <w:rFonts w:hint="default" w:ascii="Times New Roman" w:hAnsi="Times New Roman" w:cs="Times New Roman"/>
                <w:color w:val="000000" w:themeColor="text1"/>
                <w:highlight w:val="none"/>
                <w:lang w:val="en-US" w:eastAsia="zh-CN"/>
                <w14:textFill>
                  <w14:solidFill>
                    <w14:schemeClr w14:val="tx1"/>
                  </w14:solidFill>
                </w14:textFill>
              </w:rPr>
              <w:t>书及补充报告书</w:t>
            </w:r>
            <w:r>
              <w:rPr>
                <w:rFonts w:hint="default" w:ascii="Times New Roman" w:hAnsi="Times New Roman" w:cs="Times New Roman"/>
                <w:color w:val="000000" w:themeColor="text1"/>
                <w:highlight w:val="none"/>
                <w14:textFill>
                  <w14:solidFill>
                    <w14:schemeClr w14:val="tx1"/>
                  </w14:solidFill>
                </w14:textFill>
              </w:rPr>
              <w:t>中分析了普光气田主体区块相关内容。</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②2018年6月，中原油田普光分公司组织开展了普光气田开发工程环境影响后评价，明确了普光气田主体区块的建设内容和建设进度，后评价报告在</w:t>
            </w:r>
            <w:r>
              <w:rPr>
                <w:rFonts w:hint="default" w:ascii="Times New Roman" w:hAnsi="Times New Roman" w:cs="Times New Roman"/>
                <w:color w:val="000000" w:themeColor="text1"/>
                <w:highlight w:val="none"/>
                <w:lang w:eastAsia="zh-CN"/>
                <w14:textFill>
                  <w14:solidFill>
                    <w14:schemeClr w14:val="tx1"/>
                  </w14:solidFill>
                </w14:textFill>
              </w:rPr>
              <w:t>生态环境部</w:t>
            </w:r>
            <w:r>
              <w:rPr>
                <w:rFonts w:hint="default" w:ascii="Times New Roman" w:hAnsi="Times New Roman" w:cs="Times New Roman"/>
                <w:color w:val="000000" w:themeColor="text1"/>
                <w:highlight w:val="none"/>
                <w14:textFill>
                  <w14:solidFill>
                    <w14:schemeClr w14:val="tx1"/>
                  </w14:solidFill>
                </w14:textFill>
              </w:rPr>
              <w:t>进行备案。</w:t>
            </w:r>
          </w:p>
          <w:p>
            <w:pPr>
              <w:pStyle w:val="295"/>
              <w:jc w:val="left"/>
              <w:rPr>
                <w:rFonts w:hint="default" w:ascii="Times New Roman" w:hAnsi="Times New Roman" w:eastAsia="宋体" w:cs="Times New Roman"/>
                <w:b/>
                <w:bCs/>
                <w:color w:val="000000" w:themeColor="text1"/>
                <w:highlight w:val="none"/>
                <w:u w:val="none"/>
                <w:lang w:val="en-US" w:eastAsia="zh-CN"/>
                <w14:textFill>
                  <w14:solidFill>
                    <w14:schemeClr w14:val="tx1"/>
                  </w14:solidFill>
                </w14:textFill>
              </w:rPr>
            </w:pPr>
            <w:r>
              <w:rPr>
                <w:rFonts w:hint="eastAsia" w:ascii="Times New Roman" w:hAnsi="Times New Roman" w:cs="Times New Roman"/>
                <w:b/>
                <w:bCs/>
                <w:color w:val="000000" w:themeColor="text1"/>
                <w:highlight w:val="none"/>
                <w:u w:val="none"/>
                <w:lang w:val="en-US" w:eastAsia="zh-CN"/>
                <w14:textFill>
                  <w14:solidFill>
                    <w14:schemeClr w14:val="tx1"/>
                  </w14:solidFill>
                </w14:textFill>
              </w:rPr>
              <w:t>（2）本项目涉及区块环评情况：</w:t>
            </w:r>
          </w:p>
          <w:p>
            <w:pPr>
              <w:pStyle w:val="295"/>
              <w:jc w:val="left"/>
              <w:rPr>
                <w:rFonts w:hint="default" w:ascii="Times New Roman" w:hAnsi="Times New Roman" w:eastAsia="宋体" w:cs="Times New Roman"/>
                <w:b w:val="0"/>
                <w:bCs w:val="0"/>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none"/>
                <w:lang w:val="en-US" w:eastAsia="zh-CN"/>
                <w14:textFill>
                  <w14:solidFill>
                    <w14:schemeClr w14:val="tx1"/>
                  </w14:solidFill>
                </w14:textFill>
              </w:rPr>
              <w:t>本次拟侧钻的老井P106-2井位于P106集气站内，属于普光主体区域内的普光3区块，属于</w:t>
            </w:r>
            <w:r>
              <w:rPr>
                <w:rFonts w:hint="eastAsia" w:cs="Times New Roman"/>
                <w:color w:val="000000" w:themeColor="text1"/>
                <w:highlight w:val="none"/>
                <w:u w:val="none"/>
                <w:lang w:val="en-US" w:eastAsia="zh-CN"/>
                <w14:textFill>
                  <w14:solidFill>
                    <w14:schemeClr w14:val="tx1"/>
                  </w14:solidFill>
                </w14:textFill>
              </w:rPr>
              <w:t>主体区块环评</w:t>
            </w:r>
            <w:r>
              <w:rPr>
                <w:rFonts w:hint="default" w:ascii="Times New Roman" w:hAnsi="Times New Roman" w:cs="Times New Roman"/>
                <w:color w:val="000000" w:themeColor="text1"/>
                <w:highlight w:val="none"/>
                <w:u w:val="none"/>
                <w:lang w:val="en-US" w:eastAsia="zh-CN"/>
                <w14:textFill>
                  <w14:solidFill>
                    <w14:schemeClr w14:val="tx1"/>
                  </w14:solidFill>
                </w14:textFill>
              </w:rPr>
              <w:t>评价内容</w:t>
            </w:r>
            <w:r>
              <w:rPr>
                <w:rFonts w:hint="eastAsia" w:cs="Times New Roman"/>
                <w:color w:val="000000" w:themeColor="text1"/>
                <w:highlight w:val="none"/>
                <w:u w:val="none"/>
                <w:lang w:val="en-US"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由于项目所在区域属于高含硫气田，其地质结构较为复杂，且目前对项目所在区域产能储量仍未探明，故中国石油化工股份有限公司中原油田普光分公司拟在该区域部署实验性探井1口进行试采（即本项目），探明后为普光主体区块进一步整体开发做准备。</w:t>
            </w:r>
            <w:r>
              <w:rPr>
                <w:rFonts w:hint="eastAsia" w:cs="Times New Roman"/>
                <w:b w:val="0"/>
                <w:bCs w:val="0"/>
                <w:color w:val="000000" w:themeColor="text1"/>
                <w:highlight w:val="none"/>
                <w:u w:val="single"/>
                <w:lang w:val="en-US" w:eastAsia="zh-CN"/>
                <w14:textFill>
                  <w14:solidFill>
                    <w14:schemeClr w14:val="tx1"/>
                  </w14:solidFill>
                </w14:textFill>
              </w:rPr>
              <w:t>故本项目性质为实验性探井及试采，不属于新井、加密井、调整井、站场、设备、管道和电缆及其更换工程、弃置工程及配套工程等。</w:t>
            </w:r>
          </w:p>
          <w:p>
            <w:pPr>
              <w:pStyle w:val="295"/>
              <w:jc w:val="left"/>
              <w:rPr>
                <w:rFonts w:hint="default" w:ascii="Times New Roman" w:hAnsi="Times New Roman" w:eastAsia="宋体" w:cs="Times New Roman"/>
                <w:b/>
                <w:bCs/>
                <w:color w:val="000000" w:themeColor="text1"/>
                <w:highlight w:val="none"/>
                <w:u w:val="none"/>
                <w:lang w:val="en-US" w:eastAsia="zh-CN"/>
                <w14:textFill>
                  <w14:solidFill>
                    <w14:schemeClr w14:val="tx1"/>
                  </w14:solidFill>
                </w14:textFill>
              </w:rPr>
            </w:pPr>
            <w:r>
              <w:rPr>
                <w:rFonts w:hint="eastAsia" w:cs="Times New Roman"/>
                <w:b/>
                <w:bCs/>
                <w:color w:val="000000" w:themeColor="text1"/>
                <w:highlight w:val="none"/>
                <w:u w:val="none"/>
                <w:lang w:val="en-US" w:eastAsia="zh-CN"/>
                <w14:textFill>
                  <w14:solidFill>
                    <w14:schemeClr w14:val="tx1"/>
                  </w14:solidFill>
                </w14:textFill>
              </w:rPr>
              <w:t>（3）</w:t>
            </w:r>
            <w:r>
              <w:rPr>
                <w:rFonts w:hint="eastAsia" w:ascii="Times New Roman" w:hAnsi="Times New Roman" w:cs="Times New Roman"/>
                <w:b/>
                <w:bCs/>
                <w:color w:val="000000" w:themeColor="text1"/>
                <w:highlight w:val="none"/>
                <w:u w:val="none"/>
                <w:lang w:val="en-US" w:eastAsia="zh-CN"/>
                <w14:textFill>
                  <w14:solidFill>
                    <w14:schemeClr w14:val="tx1"/>
                  </w14:solidFill>
                </w14:textFill>
              </w:rPr>
              <w:t>本项目环评情况：</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本次评价充分论证了施工期和试采期各污染物处置的可行性</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并</w:t>
            </w:r>
            <w:r>
              <w:rPr>
                <w:rFonts w:hint="default" w:ascii="Times New Roman" w:hAnsi="Times New Roman" w:cs="Times New Roman"/>
                <w:color w:val="000000" w:themeColor="text1"/>
                <w:highlight w:val="none"/>
                <w14:textFill>
                  <w14:solidFill>
                    <w14:schemeClr w14:val="tx1"/>
                  </w14:solidFill>
                </w14:textFill>
              </w:rPr>
              <w:t>提出了有效的生态环境保护和环境风险防范措施。</w:t>
            </w:r>
          </w:p>
        </w:tc>
        <w:tc>
          <w:tcPr>
            <w:tcW w:w="52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w:t>
            </w:r>
          </w:p>
        </w:tc>
        <w:tc>
          <w:tcPr>
            <w:tcW w:w="4645" w:type="pct"/>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强化生态环境保护措施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260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涉及向地表水体排放污染物的陆地油气开采项目，应当符合国家和地方污染物排放标准，满足重点污染物排放总量控制要求。</w:t>
            </w:r>
          </w:p>
        </w:tc>
        <w:tc>
          <w:tcPr>
            <w:tcW w:w="151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本项目施工期和试采期废水均</w:t>
            </w:r>
            <w:r>
              <w:rPr>
                <w:rFonts w:hint="eastAsia" w:cs="Times New Roman"/>
                <w:color w:val="000000" w:themeColor="text1"/>
                <w:highlight w:val="none"/>
                <w:lang w:val="en-US" w:eastAsia="zh-CN"/>
                <w14:textFill>
                  <w14:solidFill>
                    <w14:schemeClr w14:val="tx1"/>
                  </w14:solidFill>
                </w14:textFill>
              </w:rPr>
              <w:t>采取回用及</w:t>
            </w:r>
            <w:r>
              <w:rPr>
                <w:rFonts w:hint="default" w:ascii="Times New Roman" w:hAnsi="Times New Roman" w:cs="Times New Roman"/>
                <w:color w:val="000000" w:themeColor="text1"/>
                <w:highlight w:val="none"/>
                <w14:textFill>
                  <w14:solidFill>
                    <w14:schemeClr w14:val="tx1"/>
                  </w14:solidFill>
                </w14:textFill>
              </w:rPr>
              <w:t>回注处理，无废水外排。</w:t>
            </w:r>
          </w:p>
        </w:tc>
        <w:tc>
          <w:tcPr>
            <w:tcW w:w="52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260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SY/T5329）等相关标准要求后回注，同步采取切实可行措施防治污染。回注目的层应当为地质构造封闭地层，一般应当回注到现役油气藏或枯竭废弃油气藏。</w:t>
            </w:r>
          </w:p>
        </w:tc>
        <w:tc>
          <w:tcPr>
            <w:tcW w:w="1512" w:type="pct"/>
            <w:vAlign w:val="center"/>
          </w:tcPr>
          <w:p>
            <w:pPr>
              <w:pStyle w:val="295"/>
              <w:keepNext w:val="0"/>
              <w:keepLines w:val="0"/>
              <w:pageBreakBefore w:val="0"/>
              <w:widowControl/>
              <w:kinsoku/>
              <w:wordWrap/>
              <w:overflowPunct/>
              <w:topLinePunct w:val="0"/>
              <w:autoSpaceDE/>
              <w:autoSpaceDN/>
              <w:bidi w:val="0"/>
              <w:adjustRightInd w:val="0"/>
              <w:snapToGrid w:val="0"/>
              <w:ind w:firstLine="420" w:firstLineChars="200"/>
              <w:jc w:val="left"/>
              <w:textAlignment w:val="baseline"/>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本项目钻井阶段产生的</w:t>
            </w:r>
            <w:r>
              <w:rPr>
                <w:rFonts w:hint="default" w:ascii="Times New Roman" w:hAnsi="Times New Roman" w:eastAsia="宋体" w:cs="Times New Roman"/>
                <w:color w:val="000000" w:themeColor="text1"/>
                <w:highlight w:val="none"/>
                <w:lang w:val="en-US" w:eastAsia="zh-CN"/>
                <w14:textFill>
                  <w14:solidFill>
                    <w14:schemeClr w14:val="tx1"/>
                  </w14:solidFill>
                </w14:textFill>
              </w:rPr>
              <w:t>钻井废水、场地初期雨水</w:t>
            </w:r>
            <w:r>
              <w:rPr>
                <w:rFonts w:hint="eastAsia" w:cs="Times New Roman"/>
                <w:color w:val="000000" w:themeColor="text1"/>
                <w:highlight w:val="none"/>
                <w:lang w:val="en-US" w:eastAsia="zh-CN"/>
                <w14:textFill>
                  <w14:solidFill>
                    <w14:schemeClr w14:val="tx1"/>
                  </w14:solidFill>
                </w14:textFill>
              </w:rPr>
              <w:t>，以及</w:t>
            </w:r>
            <w:r>
              <w:rPr>
                <w:rFonts w:hint="default" w:ascii="Times New Roman" w:hAnsi="Times New Roman" w:eastAsia="宋体" w:cs="Times New Roman"/>
                <w:color w:val="000000" w:themeColor="text1"/>
                <w:highlight w:val="none"/>
                <w:lang w:val="en-US" w:eastAsia="zh-CN"/>
                <w14:textFill>
                  <w14:solidFill>
                    <w14:schemeClr w14:val="tx1"/>
                  </w14:solidFill>
                </w14:textFill>
              </w:rPr>
              <w:t>储层改造阶段产生的压裂返排液及洗井废水</w:t>
            </w:r>
            <w:r>
              <w:rPr>
                <w:rFonts w:hint="eastAsia" w:cs="Times New Roman"/>
                <w:color w:val="000000" w:themeColor="text1"/>
                <w:highlight w:val="none"/>
                <w:lang w:val="en-US" w:eastAsia="zh-CN"/>
                <w14:textFill>
                  <w14:solidFill>
                    <w14:schemeClr w14:val="tx1"/>
                  </w14:solidFill>
                </w14:textFill>
              </w:rPr>
              <w:t>都优先考虑回用，不能回用的部分</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定期装车拉运至赵家坝污水处理站处理达标后经普光11井回注站回注</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w:t>
            </w:r>
          </w:p>
          <w:p>
            <w:pPr>
              <w:pStyle w:val="295"/>
              <w:keepNext w:val="0"/>
              <w:keepLines w:val="0"/>
              <w:pageBreakBefore w:val="0"/>
              <w:widowControl/>
              <w:kinsoku/>
              <w:wordWrap/>
              <w:overflowPunct/>
              <w:topLinePunct w:val="0"/>
              <w:autoSpaceDE/>
              <w:autoSpaceDN/>
              <w:bidi w:val="0"/>
              <w:adjustRightInd w:val="0"/>
              <w:snapToGrid w:val="0"/>
              <w:ind w:firstLine="420" w:firstLineChars="200"/>
              <w:jc w:val="left"/>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赵家坝污水处理站和普光11井回注站已取得环评批复，并已开展竣工环保验收，并在其环评报告中充分论述了回注的环境可行性、污染防治措施、全过程生态环境保护及风险防控措施、监控要求等内容，满足要求</w:t>
            </w:r>
            <w:r>
              <w:rPr>
                <w:rFonts w:hint="default" w:ascii="Times New Roman" w:hAnsi="Times New Roman" w:eastAsia="宋体" w:cs="Times New Roman"/>
                <w:color w:val="000000" w:themeColor="text1"/>
                <w:highlight w:val="none"/>
                <w14:textFill>
                  <w14:solidFill>
                    <w14:schemeClr w14:val="tx1"/>
                  </w14:solidFill>
                </w14:textFill>
              </w:rPr>
              <w:t>。</w:t>
            </w:r>
          </w:p>
        </w:tc>
        <w:tc>
          <w:tcPr>
            <w:tcW w:w="52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260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气开采产生的废弃油基泥浆、含油钻屑及其他固体废物，应当遵循减量化、资源化、无害化原则，按照国家和地方有关固体废物的管理规定进行处置。鼓励企业自建含油污泥集中式处理和综合利用设施，提高废弃油基泥浆和含油钻屑及其处理产物的综合利用率。油气开采项目产生的危险废物，应当按照《建设项目危险废物环境影响评价指南》要求评价。</w:t>
            </w:r>
          </w:p>
        </w:tc>
        <w:tc>
          <w:tcPr>
            <w:tcW w:w="151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本项目正常情况下不涉及油基钻井工艺，无废弃油基泥浆、含油钻屑产生。如遇特殊地层</w:t>
            </w:r>
            <w:r>
              <w:rPr>
                <w:rFonts w:hint="eastAsia" w:cs="Times New Roman"/>
                <w:color w:val="000000" w:themeColor="text1"/>
                <w:szCs w:val="21"/>
                <w:highlight w:val="none"/>
                <w:lang w:val="en-US" w:eastAsia="zh-CN"/>
                <w14:textFill>
                  <w14:solidFill>
                    <w14:schemeClr w14:val="tx1"/>
                  </w14:solidFill>
                </w14:textFill>
              </w:rPr>
              <w:t>将</w:t>
            </w:r>
            <w:r>
              <w:rPr>
                <w:rFonts w:hint="default" w:ascii="Times New Roman" w:hAnsi="Times New Roman" w:cs="Times New Roman"/>
                <w:color w:val="000000" w:themeColor="text1"/>
                <w:szCs w:val="21"/>
                <w:highlight w:val="none"/>
                <w14:textFill>
                  <w14:solidFill>
                    <w14:schemeClr w14:val="tx1"/>
                  </w14:solidFill>
                </w14:textFill>
              </w:rPr>
              <w:t>采用油基钻井泥浆，产生的废弃油基泥浆、含油钻屑及其他固体废物，遵循了减量化、资源化、无害化原则，并按照国家和地方有关固体废物的管理规定交由资质单位处置，本次评价已按照《建设项目危险废物环境影响评价指南》要求进行了评价</w:t>
            </w:r>
            <w:r>
              <w:rPr>
                <w:rFonts w:hint="default" w:ascii="Times New Roman" w:hAnsi="Times New Roman" w:cs="Times New Roman"/>
                <w:color w:val="000000" w:themeColor="text1"/>
                <w:highlight w:val="none"/>
                <w14:textFill>
                  <w14:solidFill>
                    <w14:schemeClr w14:val="tx1"/>
                  </w14:solidFill>
                </w14:textFill>
              </w:rPr>
              <w:t>。</w:t>
            </w:r>
          </w:p>
        </w:tc>
        <w:tc>
          <w:tcPr>
            <w:tcW w:w="52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260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151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本项目天然气均密闭输送。不涉及天然气净化。本项目设计钻井液体系时，充分考虑</w:t>
            </w:r>
            <w:r>
              <w:rPr>
                <w:rFonts w:hint="eastAsia" w:cs="Times New Roman"/>
                <w:color w:val="000000" w:themeColor="text1"/>
                <w:highlight w:val="none"/>
                <w:lang w:val="en-US" w:eastAsia="zh-CN"/>
                <w14:textFill>
                  <w14:solidFill>
                    <w14:schemeClr w14:val="tx1"/>
                  </w14:solidFill>
                </w14:textFill>
              </w:rPr>
              <w:t>了</w:t>
            </w:r>
            <w:r>
              <w:rPr>
                <w:rFonts w:hint="default" w:ascii="Times New Roman" w:hAnsi="Times New Roman" w:cs="Times New Roman"/>
                <w:color w:val="000000" w:themeColor="text1"/>
                <w:highlight w:val="none"/>
                <w14:textFill>
                  <w14:solidFill>
                    <w14:schemeClr w14:val="tx1"/>
                  </w14:solidFill>
                </w14:textFill>
              </w:rPr>
              <w:t>防H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S措施，同时加强钻井期间钻井、试采等环节环境风险防范措施。</w:t>
            </w:r>
          </w:p>
        </w:tc>
        <w:tc>
          <w:tcPr>
            <w:tcW w:w="52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260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应当尽量减少施工占地、缩短施工时间、选择合理施工方式、落实环境敏感区管控要求以及其他生态环境保护措施，降低生态环境影响。钻井和压裂设备应当优先使用网电、高标准清洁燃油，减少废气排放。选用低噪声设备，避免噪声扰民。施工结束后，应当及时落实环评提出的生态 保护措施。</w:t>
            </w:r>
          </w:p>
        </w:tc>
        <w:tc>
          <w:tcPr>
            <w:tcW w:w="151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项目按标准化井场进行建设，试采井站在原钻井平台占地范围内实施。本次评价已提出施工结束后，应当及时落实生态保护措施。</w:t>
            </w:r>
          </w:p>
        </w:tc>
        <w:tc>
          <w:tcPr>
            <w:tcW w:w="52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w:t>
            </w:r>
          </w:p>
        </w:tc>
        <w:tc>
          <w:tcPr>
            <w:tcW w:w="260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陆地油气长输管道项目，原则上应当单独编制环评文件。</w:t>
            </w:r>
          </w:p>
        </w:tc>
        <w:tc>
          <w:tcPr>
            <w:tcW w:w="151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本项目不涉及油气长输管道。</w:t>
            </w:r>
          </w:p>
        </w:tc>
        <w:tc>
          <w:tcPr>
            <w:tcW w:w="52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w:t>
            </w:r>
          </w:p>
        </w:tc>
        <w:tc>
          <w:tcPr>
            <w:tcW w:w="260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气储存项目，选址尽量远离环境敏感区。加强甲烷及挥发性有机物的泄漏检测，落实地下水污染防治和跟踪监测要求，采取有效措施做好环境风险防范与环境应急管理；盐穴储气库项目还应当严格落实采卤造腔期和管道施工期的生态环境保护措施，妥善处理采出水。</w:t>
            </w:r>
          </w:p>
        </w:tc>
        <w:tc>
          <w:tcPr>
            <w:tcW w:w="151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本项目不涉及油气储存。本项目进行了非甲烷总烃和硫化氢监测，同时站场内设置了可燃气体报警仪、硫化氢气体检测仪、硫化氢气体报警仪。本次评价落实了地下水污染防治和跟踪监测要求。</w:t>
            </w:r>
          </w:p>
        </w:tc>
        <w:tc>
          <w:tcPr>
            <w:tcW w:w="52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w:t>
            </w:r>
          </w:p>
        </w:tc>
        <w:tc>
          <w:tcPr>
            <w:tcW w:w="260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油气企业应当加强风险防控，按规定编制突发环境事件应急预案，报所在地生态环境主管部门备案。海洋油气勘探开发溢油应急计划报相关海域生态环境监督管理局备案。</w:t>
            </w:r>
          </w:p>
        </w:tc>
        <w:tc>
          <w:tcPr>
            <w:tcW w:w="151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本次评价要求建设单位</w:t>
            </w:r>
            <w:r>
              <w:rPr>
                <w:rFonts w:hint="default" w:ascii="Times New Roman" w:hAnsi="Times New Roman" w:cs="Times New Roman"/>
                <w:color w:val="000000" w:themeColor="text1"/>
                <w:highlight w:val="none"/>
                <w14:textFill>
                  <w14:solidFill>
                    <w14:schemeClr w14:val="tx1"/>
                  </w14:solidFill>
                </w14:textFill>
              </w:rPr>
              <w:t>严格按照相关要求编制突发环境事件应急预案，并报所在地生态环境主管部门备案。</w:t>
            </w:r>
          </w:p>
        </w:tc>
        <w:tc>
          <w:tcPr>
            <w:tcW w:w="527" w:type="pct"/>
            <w:vAlign w:val="center"/>
          </w:tcPr>
          <w:p>
            <w:pPr>
              <w:pStyle w:val="295"/>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bl>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综上所述，本项目符合《关于进一步加强石油天然气行业环境影响评价管理的通知》（环办环评函〔2019〕910号）的相关要求。</w:t>
      </w:r>
    </w:p>
    <w:p>
      <w:pPr>
        <w:pStyle w:val="5"/>
        <w:pageBreakBefore w:val="0"/>
        <w:numPr>
          <w:ilvl w:val="3"/>
          <w:numId w:val="0"/>
        </w:numPr>
        <w:kinsoku/>
        <w:wordWrap/>
        <w:overflowPunct/>
        <w:topLinePunct w:val="0"/>
        <w:autoSpaceDE/>
        <w:autoSpaceDN/>
        <w:bidi w:val="0"/>
        <w:adjustRightInd w:val="0"/>
        <w:snapToGrid w:val="0"/>
        <w:spacing w:before="0" w:beforeLines="0"/>
        <w:ind w:left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2.7.4</w:t>
      </w:r>
      <w:r>
        <w:rPr>
          <w:rFonts w:hint="default" w:ascii="Times New Roman" w:hAnsi="Times New Roman" w:cs="Times New Roman"/>
          <w:color w:val="000000" w:themeColor="text1"/>
          <w:highlight w:val="none"/>
          <w14:textFill>
            <w14:solidFill>
              <w14:schemeClr w14:val="tx1"/>
            </w14:solidFill>
          </w14:textFill>
        </w:rPr>
        <w:t>与</w:t>
      </w:r>
      <w:r>
        <w:rPr>
          <w:rFonts w:hint="eastAsia" w:cs="Times New Roman"/>
          <w:color w:val="000000" w:themeColor="text1"/>
          <w:highlight w:val="none"/>
          <w:lang w:val="en-US" w:eastAsia="zh-CN"/>
          <w14:textFill>
            <w14:solidFill>
              <w14:schemeClr w14:val="tx1"/>
            </w14:solidFill>
          </w14:textFill>
        </w:rPr>
        <w:t>主体功能区及生态功能区</w:t>
      </w:r>
      <w:r>
        <w:rPr>
          <w:rFonts w:hint="default" w:ascii="Times New Roman" w:hAnsi="Times New Roman" w:cs="Times New Roman"/>
          <w:color w:val="000000" w:themeColor="text1"/>
          <w:highlight w:val="none"/>
          <w14:textFill>
            <w14:solidFill>
              <w14:schemeClr w14:val="tx1"/>
            </w14:solidFill>
          </w14:textFill>
        </w:rPr>
        <w:t>符合性分析</w:t>
      </w:r>
    </w:p>
    <w:p>
      <w:pPr>
        <w:pStyle w:val="5"/>
        <w:pageBreakBefore w:val="0"/>
        <w:widowControl w:val="0"/>
        <w:numPr>
          <w:ilvl w:val="0"/>
          <w:numId w:val="0"/>
        </w:numPr>
        <w:kinsoku/>
        <w:wordWrap/>
        <w:overflowPunct/>
        <w:topLinePunct w:val="0"/>
        <w:autoSpaceDE/>
        <w:autoSpaceDN/>
        <w:bidi w:val="0"/>
        <w:adjustRightInd w:val="0"/>
        <w:snapToGrid w:val="0"/>
        <w:spacing w:before="0" w:beforeLines="0"/>
        <w:ind w:left="48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2.7.4.1</w:t>
      </w:r>
      <w:r>
        <w:rPr>
          <w:rFonts w:hint="default" w:ascii="Times New Roman" w:hAnsi="Times New Roman" w:cs="Times New Roman"/>
          <w:color w:val="000000" w:themeColor="text1"/>
          <w:highlight w:val="none"/>
          <w14:textFill>
            <w14:solidFill>
              <w14:schemeClr w14:val="tx1"/>
            </w14:solidFill>
          </w14:textFill>
        </w:rPr>
        <w:t>与四川省主体功能区规划的符合性分析</w:t>
      </w:r>
    </w:p>
    <w:p>
      <w:pPr>
        <w:pStyle w:val="25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bookmarkStart w:id="66" w:name="_Hlk100174112"/>
      <w:r>
        <w:rPr>
          <w:rFonts w:hint="eastAsia" w:cs="Times New Roman"/>
          <w:b/>
          <w:bCs/>
          <w:color w:val="000000" w:themeColor="text1"/>
          <w:highlight w:val="none"/>
          <w:lang w:val="en-US" w:eastAsia="zh-CN"/>
          <w14:textFill>
            <w14:solidFill>
              <w14:schemeClr w14:val="tx1"/>
            </w14:solidFill>
          </w14:textFill>
        </w:rPr>
        <w:t>1、</w:t>
      </w:r>
      <w:r>
        <w:rPr>
          <w:rFonts w:hint="default" w:ascii="Times New Roman" w:hAnsi="Times New Roman" w:cs="Times New Roman"/>
          <w:b/>
          <w:bCs/>
          <w:color w:val="000000" w:themeColor="text1"/>
          <w:highlight w:val="none"/>
          <w14:textFill>
            <w14:solidFill>
              <w14:schemeClr w14:val="tx1"/>
            </w14:solidFill>
          </w14:textFill>
        </w:rPr>
        <w:t>四川省主体功能区规划</w:t>
      </w:r>
      <w:bookmarkEnd w:id="66"/>
      <w:r>
        <w:rPr>
          <w:rFonts w:hint="default" w:ascii="Times New Roman" w:hAnsi="Times New Roman" w:cs="Times New Roman"/>
          <w:b/>
          <w:bCs/>
          <w:color w:val="000000" w:themeColor="text1"/>
          <w:highlight w:val="none"/>
          <w14:textFill>
            <w14:solidFill>
              <w14:schemeClr w14:val="tx1"/>
            </w14:solidFill>
          </w14:textFill>
        </w:rPr>
        <w:t>概述</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根据《四川省主体功能区规划》（川府发〔2013〕16号文）（以下简称《规划》），全省主体功能区分为以下四个大类：</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1</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重点开发区域</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主要包括成都平原、川南、川东北和攀西地区19市（州）中的89个县（市、区），以及与之相连的50个点状开发城镇，该区域面积10.3万平方公里，占全省</w:t>
      </w:r>
      <w:r>
        <w:rPr>
          <w:rFonts w:hint="eastAsia" w:cs="Times New Roman"/>
          <w:color w:val="000000" w:themeColor="text1"/>
          <w:highlight w:val="none"/>
          <w:lang w:eastAsia="zh-CN"/>
          <w14:textFill>
            <w14:solidFill>
              <w14:schemeClr w14:val="tx1"/>
            </w14:solidFill>
          </w14:textFill>
        </w:rPr>
        <w:t>辖区面积</w:t>
      </w:r>
      <w:r>
        <w:rPr>
          <w:rFonts w:hint="default" w:ascii="Times New Roman" w:hAnsi="Times New Roman" w:cs="Times New Roman"/>
          <w:color w:val="000000" w:themeColor="text1"/>
          <w:highlight w:val="none"/>
          <w14:textFill>
            <w14:solidFill>
              <w14:schemeClr w14:val="tx1"/>
            </w14:solidFill>
          </w14:textFill>
        </w:rPr>
        <w:t>21.2%；分为国家层面重点开发区域和省级层面重点开发区域。</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该功能区是全省经济增长的重要支撑区，实施加快推进新型工业化新型城镇化的主要承载区，是全省经济和人口密集区。</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2</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限制开发区域（农产品主产区）</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限制开发的农产品主产区是指具备较好的农业生产条件，以提供农产品为主体功能，以提供生态产品、服务产品和工</w:t>
      </w:r>
      <w:r>
        <w:rPr>
          <w:rFonts w:hint="default" w:ascii="Times New Roman" w:hAnsi="Times New Roman" w:cs="Times New Roman"/>
          <w:color w:val="000000" w:themeColor="text1"/>
          <w:highlight w:val="none"/>
          <w:lang w:eastAsia="zh-CN"/>
          <w14:textFill>
            <w14:solidFill>
              <w14:schemeClr w14:val="tx1"/>
            </w14:solidFill>
          </w14:textFill>
        </w:rPr>
        <w:t>业产</w:t>
      </w:r>
      <w:r>
        <w:rPr>
          <w:rFonts w:hint="default" w:ascii="Times New Roman" w:hAnsi="Times New Roman" w:cs="Times New Roman"/>
          <w:color w:val="000000" w:themeColor="text1"/>
          <w:highlight w:val="none"/>
          <w14:textFill>
            <w14:solidFill>
              <w14:schemeClr w14:val="tx1"/>
            </w14:solidFill>
          </w14:textFill>
        </w:rPr>
        <w:t>品为其他功能，需要在国土空间开发中限制进行大规模高强度工业化城镇化开发，以保持并提高农产品生产能力的区域。</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全省农产品主产区包括盆地中部平原浅丘区、川南低中山区和盆地东部丘陵低山区、盆地西缘山区和安宁河流域5大农产品主产区，共35个县（市），面积6.7万平方公里，扣除其中重点开发的县城镇及重点镇规划面积1750平方公里，占全省</w:t>
      </w:r>
      <w:r>
        <w:rPr>
          <w:rFonts w:hint="eastAsia" w:cs="Times New Roman"/>
          <w:color w:val="000000" w:themeColor="text1"/>
          <w:highlight w:val="none"/>
          <w:lang w:eastAsia="zh-CN"/>
          <w14:textFill>
            <w14:solidFill>
              <w14:schemeClr w14:val="tx1"/>
            </w14:solidFill>
          </w14:textFill>
        </w:rPr>
        <w:t>辖区面积</w:t>
      </w:r>
      <w:r>
        <w:rPr>
          <w:rFonts w:hint="default" w:ascii="Times New Roman" w:hAnsi="Times New Roman" w:cs="Times New Roman"/>
          <w:color w:val="000000" w:themeColor="text1"/>
          <w:highlight w:val="none"/>
          <w14:textFill>
            <w14:solidFill>
              <w14:schemeClr w14:val="tx1"/>
            </w14:solidFill>
          </w14:textFill>
        </w:rPr>
        <w:t>13.4%。</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该功能区是国家优质商品猪战略保障基地，现代农业示范区，现代林业产业基地，优势特色农产品加工业发展的重点区域，农民安居乐业的美好家园。区域应着力保护耕地，加强农业基础设施建设，稳定粮食生产，发展现代农业，增强农业综合生产能力，保障全省主要农产品有效供给，增加农民收入，加快社会主义新农村建设。</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3</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限制开发区域（重点生态功能区）</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限制开发的重点生态功能区是指生态系统十分重要，关系较大范围区域的生态安全，目前生态系统有所退化，需要在国土空间开发中限制进行大规模高强度工业化城镇化开发，以保持并提高生态产品供给能力的区域。</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重点生态功能区共57个县（市），总面积31.8万平方公里，扣除其中省级重点生态功能区中重点开发的县城镇及重点镇规划面积，占全省</w:t>
      </w:r>
      <w:r>
        <w:rPr>
          <w:rFonts w:hint="eastAsia" w:cs="Times New Roman"/>
          <w:color w:val="000000" w:themeColor="text1"/>
          <w:highlight w:val="none"/>
          <w:lang w:eastAsia="zh-CN"/>
          <w14:textFill>
            <w14:solidFill>
              <w14:schemeClr w14:val="tx1"/>
            </w14:solidFill>
          </w14:textFill>
        </w:rPr>
        <w:t>辖区面积</w:t>
      </w:r>
      <w:r>
        <w:rPr>
          <w:rFonts w:hint="default" w:ascii="Times New Roman" w:hAnsi="Times New Roman" w:cs="Times New Roman"/>
          <w:color w:val="000000" w:themeColor="text1"/>
          <w:highlight w:val="none"/>
          <w14:textFill>
            <w14:solidFill>
              <w14:schemeClr w14:val="tx1"/>
            </w14:solidFill>
          </w14:textFill>
        </w:rPr>
        <w:t>65.4%；分为国家层面的重点生态功能区和省级层面的重点生态功能区。</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国家青藏高原生态屏障和长江上游生态屏障的重要组成部分，国家重要的水源涵养、水土保持与生物多样性保护区域，全省提供生态产品的主体区域与生态财富富集区，保障国家生态安全的重要区域，生态文明建设、人与自然和谐相处的示范区。</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4</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禁止开发区域</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开发区域是指依法设立的各级各类自然文化资源保护区域，以及其他禁止进行工业化城镇化开发、需要特殊保护的重点生态功能区。主要包括国家级自然保护区、世界文化自然遗产、国家级风景名胜区、国家森林公园、国家重要湿地、国家湿地公园和国家地质公园；省级及以下各级各类自然文化资源保护区域、重要饮用水水源地以及其他省级人民政府根据需要确定的禁止开发区域。</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该区域是四川省自然文化资源的重要区域，森林、湿地生态、生物多样性和珍稀动植物基因资源保护地，重要水土保持区域与重要饮用水水源保护地。</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开发区域要严格控制人为因素对自然生态的干扰，严禁不符合主体功能区定位的开发活动，引导人口逐步有序转移，实现污染物“零排放”，提高环境质量，提高可持续发展能力。自然保护区、文化自然遗产、风景名胜区、森林公园、湿地公园、地质公园，要逐步达到各类区域规定执行标准。</w:t>
      </w:r>
    </w:p>
    <w:p>
      <w:pPr>
        <w:pStyle w:val="25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与四川省主体功能区规划的符合性分析</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四川省人民政府关于印发四川省主体功能区规划的通知》（川府发〔2013〕16号），本项目所在地属限制开发区域（农产品主产区），不属于重点生态功能区，该地区无国家级自然保护区、世界文化遗产、国家风景名胜区、国家森林公园和国家地质公园。项目不在禁止开发区，不在重点保护区内，符合《四川省主体功能区规划》要求。</w:t>
      </w:r>
    </w:p>
    <w:tbl>
      <w:tblPr>
        <w:tblStyle w:val="52"/>
        <w:tblW w:w="0" w:type="auto"/>
        <w:tblInd w:w="0" w:type="dxa"/>
        <w:tblLayout w:type="autofit"/>
        <w:tblCellMar>
          <w:top w:w="0" w:type="dxa"/>
          <w:left w:w="108" w:type="dxa"/>
          <w:bottom w:w="0" w:type="dxa"/>
          <w:right w:w="108" w:type="dxa"/>
        </w:tblCellMar>
      </w:tblPr>
      <w:tblGrid>
        <w:gridCol w:w="8306"/>
      </w:tblGrid>
      <w:tr>
        <w:tblPrEx>
          <w:tblCellMar>
            <w:top w:w="0" w:type="dxa"/>
            <w:left w:w="108" w:type="dxa"/>
            <w:bottom w:w="0" w:type="dxa"/>
            <w:right w:w="108" w:type="dxa"/>
          </w:tblCellMar>
        </w:tblPrEx>
        <w:tc>
          <w:tcPr>
            <w:tcW w:w="8306" w:type="dxa"/>
            <w:shd w:val="clear" w:color="auto" w:fill="auto"/>
          </w:tcPr>
          <w:p>
            <w:pPr>
              <w:pStyle w:val="609"/>
              <w:adjustRightInd w:val="0"/>
              <w:snapToGrid w:val="0"/>
              <w:spacing w:line="240" w:lineRule="auto"/>
              <w:ind w:firstLine="0" w:firstLineChars="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73952" behindDoc="0" locked="0" layoutInCell="1" allowOverlap="1">
                      <wp:simplePos x="0" y="0"/>
                      <wp:positionH relativeFrom="column">
                        <wp:posOffset>3439160</wp:posOffset>
                      </wp:positionH>
                      <wp:positionV relativeFrom="paragraph">
                        <wp:posOffset>945515</wp:posOffset>
                      </wp:positionV>
                      <wp:extent cx="727710" cy="292100"/>
                      <wp:effectExtent l="4445" t="4445" r="10795" b="8255"/>
                      <wp:wrapNone/>
                      <wp:docPr id="793856168" name="文本框 3"/>
                      <wp:cNvGraphicFramePr/>
                      <a:graphic xmlns:a="http://schemas.openxmlformats.org/drawingml/2006/main">
                        <a:graphicData uri="http://schemas.microsoft.com/office/word/2010/wordprocessingShape">
                          <wps:wsp>
                            <wps:cNvSpPr txBox="1">
                              <a:spLocks noChangeArrowheads="1"/>
                            </wps:cNvSpPr>
                            <wps:spPr bwMode="auto">
                              <a:xfrm>
                                <a:off x="0" y="0"/>
                                <a:ext cx="727710" cy="292100"/>
                              </a:xfrm>
                              <a:prstGeom prst="rect">
                                <a:avLst/>
                              </a:prstGeom>
                              <a:solidFill>
                                <a:srgbClr val="FFFFFF"/>
                              </a:solidFill>
                              <a:ln w="9525">
                                <a:solidFill>
                                  <a:srgbClr val="000000"/>
                                </a:solidFill>
                                <a:miter lim="800000"/>
                              </a:ln>
                            </wps:spPr>
                            <wps:txbx>
                              <w:txbxContent>
                                <w:p>
                                  <w:pPr>
                                    <w:ind w:firstLine="0" w:firstLineChars="0"/>
                                  </w:pPr>
                                  <w:r>
                                    <w:rPr>
                                      <w:rFonts w:hint="eastAsia"/>
                                    </w:rPr>
                                    <w:t>本项目</w:t>
                                  </w:r>
                                </w:p>
                              </w:txbxContent>
                            </wps:txbx>
                            <wps:bodyPr rot="0" vert="horz" wrap="square" lIns="91440" tIns="45720" rIns="91440" bIns="45720" anchor="t" anchorCtr="0" upright="1">
                              <a:noAutofit/>
                            </wps:bodyPr>
                          </wps:wsp>
                        </a:graphicData>
                      </a:graphic>
                    </wp:anchor>
                  </w:drawing>
                </mc:Choice>
                <mc:Fallback>
                  <w:pict>
                    <v:shape id="文本框 3" o:spid="_x0000_s1026" o:spt="202" type="#_x0000_t202" style="position:absolute;left:0pt;margin-left:270.8pt;margin-top:74.45pt;height:23pt;width:57.3pt;z-index:251773952;mso-width-relative:page;mso-height-relative:page;" fillcolor="#FFFFFF" filled="t" stroked="t" coordsize="21600,21600" o:gfxdata="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InFe9oAAAALAQAADwAAAAAAAAAB&#10;ACAAAAAiAAAAZHJzL2Rvd25yZXYueG1sUEsBAhQAFAAAAAgAh07iQDDcPotHAgAAjgQAAA4AAAAA&#10;AAAAAQAgAAAAKQEAAGRycy9lMm9Eb2MueG1sUEsFBgAAAAAGAAYAWQEAAOIFAAAAAA==&#10;">
                      <v:fill on="t" focussize="0,0"/>
                      <v:stroke color="#000000" miterlimit="8" joinstyle="miter"/>
                      <v:imagedata o:title=""/>
                      <o:lock v:ext="edit" aspectratio="f"/>
                      <v:textbox>
                        <w:txbxContent>
                          <w:p>
                            <w:pPr>
                              <w:ind w:firstLine="0" w:firstLineChars="0"/>
                            </w:pPr>
                            <w:r>
                              <w:rPr>
                                <w:rFonts w:hint="eastAsia"/>
                              </w:rPr>
                              <w:t>本项目</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72928" behindDoc="0" locked="0" layoutInCell="1" allowOverlap="1">
                      <wp:simplePos x="0" y="0"/>
                      <wp:positionH relativeFrom="column">
                        <wp:posOffset>4165600</wp:posOffset>
                      </wp:positionH>
                      <wp:positionV relativeFrom="paragraph">
                        <wp:posOffset>1095375</wp:posOffset>
                      </wp:positionV>
                      <wp:extent cx="277495" cy="306070"/>
                      <wp:effectExtent l="3810" t="3175" r="4445" b="14605"/>
                      <wp:wrapNone/>
                      <wp:docPr id="917533131" name="直接箭头连接符 4"/>
                      <wp:cNvGraphicFramePr/>
                      <a:graphic xmlns:a="http://schemas.openxmlformats.org/drawingml/2006/main">
                        <a:graphicData uri="http://schemas.microsoft.com/office/word/2010/wordprocessingShape">
                          <wps:wsp>
                            <wps:cNvCnPr>
                              <a:cxnSpLocks noChangeShapeType="1"/>
                            </wps:cNvCnPr>
                            <wps:spPr bwMode="auto">
                              <a:xfrm>
                                <a:off x="0" y="0"/>
                                <a:ext cx="277728" cy="306121"/>
                              </a:xfrm>
                              <a:prstGeom prst="straightConnector1">
                                <a:avLst/>
                              </a:prstGeom>
                              <a:noFill/>
                              <a:ln w="9525">
                                <a:solidFill>
                                  <a:srgbClr val="000000"/>
                                </a:solidFill>
                                <a:round/>
                                <a:tailEnd type="triangle" w="med" len="med"/>
                              </a:ln>
                            </wps:spPr>
                            <wps:bodyPr/>
                          </wps:wsp>
                        </a:graphicData>
                      </a:graphic>
                    </wp:anchor>
                  </w:drawing>
                </mc:Choice>
                <mc:Fallback>
                  <w:pict>
                    <v:shape id="直接箭头连接符 4" o:spid="_x0000_s1026" o:spt="32" type="#_x0000_t32" style="position:absolute;left:0pt;margin-left:328pt;margin-top:86.25pt;height:24.1pt;width:21.85pt;z-index:251772928;mso-width-relative:page;mso-height-relative:page;" filled="f" stroked="t" coordsize="21600,21600" o:gfxdata="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TAT0XbAAAA&#10;CwEAAA8AAAAAAAAAAQAgAAAAIgAAAGRycy9kb3ducmV2LnhtbFBLAQIUABQAAAAIAIdO4kBdkQXm&#10;GgIAAPgDAAAOAAAAAAAAAAEAIAAAACoBAABkcnMvZTJvRG9jLnhtbFBLBQYAAAAABgAGAFkBAAC2&#10;BQAAAAA=&#10;">
                      <v:fill on="f" focussize="0,0"/>
                      <v:stroke color="#000000" joinstyle="round" endarrow="block"/>
                      <v:imagedata o:title=""/>
                      <o:lock v:ext="edit" aspectratio="f"/>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71904" behindDoc="0" locked="0" layoutInCell="1" allowOverlap="1">
                      <wp:simplePos x="0" y="0"/>
                      <wp:positionH relativeFrom="column">
                        <wp:posOffset>4395470</wp:posOffset>
                      </wp:positionH>
                      <wp:positionV relativeFrom="paragraph">
                        <wp:posOffset>1355090</wp:posOffset>
                      </wp:positionV>
                      <wp:extent cx="147320" cy="158750"/>
                      <wp:effectExtent l="20955" t="24130" r="22225" b="26670"/>
                      <wp:wrapNone/>
                      <wp:docPr id="1654838072" name="星形: 四角 2"/>
                      <wp:cNvGraphicFramePr/>
                      <a:graphic xmlns:a="http://schemas.openxmlformats.org/drawingml/2006/main">
                        <a:graphicData uri="http://schemas.microsoft.com/office/word/2010/wordprocessingShape">
                          <wps:wsp>
                            <wps:cNvSpPr>
                              <a:spLocks noChangeArrowheads="1"/>
                            </wps:cNvSpPr>
                            <wps:spPr bwMode="auto">
                              <a:xfrm>
                                <a:off x="0" y="0"/>
                                <a:ext cx="147320" cy="158750"/>
                              </a:xfrm>
                              <a:prstGeom prst="star4">
                                <a:avLst>
                                  <a:gd name="adj" fmla="val 12500"/>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星形: 四角 2" o:spid="_x0000_s1026" o:spt="187" type="#_x0000_t187" style="position:absolute;left:0pt;margin-left:346.1pt;margin-top:106.7pt;height:12.5pt;width:11.6pt;z-index:251771904;mso-width-relative:page;mso-height-relative:page;" fillcolor="#FFFFFF" filled="t" stroked="t" coordsize="21600,21600" o:gfxdata="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2&#10;VtXbAAAACwEAAA8AAAAAAAAAAQAgAAAAIgAAAGRycy9kb3ducmV2LnhtbFBLAQIUABQAAAAIAIdO&#10;4kB9Wei2WQIAAKwEAAAOAAAAAAAAAAEAIAAAACoBAABkcnMvZTJvRG9jLnhtbFBLBQYAAAAABgAG&#10;AFkBAAD1BQAAAAA=&#10;" adj="8100">
                      <v:fill on="t" focussize="0,0"/>
                      <v:stroke color="#000000" miterlimit="8" joinstyle="miter"/>
                      <v:imagedata o:title=""/>
                      <o:lock v:ext="edit" aspectratio="f"/>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anchor distT="0" distB="0" distL="114300" distR="114300" simplePos="0" relativeHeight="251770880" behindDoc="0" locked="0" layoutInCell="1" allowOverlap="1">
                  <wp:simplePos x="0" y="0"/>
                  <wp:positionH relativeFrom="column">
                    <wp:posOffset>343535</wp:posOffset>
                  </wp:positionH>
                  <wp:positionV relativeFrom="paragraph">
                    <wp:posOffset>44450</wp:posOffset>
                  </wp:positionV>
                  <wp:extent cx="4750435" cy="3524250"/>
                  <wp:effectExtent l="0" t="0" r="12065" b="0"/>
                  <wp:wrapTopAndBottom/>
                  <wp:docPr id="435197355" name="图片 1"/>
                  <wp:cNvGraphicFramePr/>
                  <a:graphic xmlns:a="http://schemas.openxmlformats.org/drawingml/2006/main">
                    <a:graphicData uri="http://schemas.openxmlformats.org/drawingml/2006/picture">
                      <pic:pic xmlns:pic="http://schemas.openxmlformats.org/drawingml/2006/picture">
                        <pic:nvPicPr>
                          <pic:cNvPr id="435197355" name="图片 1"/>
                          <pic:cNvPicPr>
                            <a:picLocks noChangeArrowheads="1"/>
                          </pic:cNvPicPr>
                        </pic:nvPicPr>
                        <pic:blipFill>
                          <a:blip r:embed="rId22" cstate="print">
                            <a:extLst>
                              <a:ext uri="{28A0092B-C50C-407E-A947-70E740481C1C}">
                                <a14:useLocalDpi xmlns:a14="http://schemas.microsoft.com/office/drawing/2010/main" val="0"/>
                              </a:ext>
                            </a:extLst>
                          </a:blip>
                          <a:srcRect l="14778" r="13237"/>
                          <a:stretch>
                            <a:fillRect/>
                          </a:stretch>
                        </pic:blipFill>
                        <pic:spPr>
                          <a:xfrm>
                            <a:off x="0" y="0"/>
                            <a:ext cx="4750435" cy="3524250"/>
                          </a:xfrm>
                          <a:prstGeom prst="rect">
                            <a:avLst/>
                          </a:prstGeom>
                          <a:noFill/>
                          <a:ln>
                            <a:noFill/>
                          </a:ln>
                        </pic:spPr>
                      </pic:pic>
                    </a:graphicData>
                  </a:graphic>
                </wp:anchor>
              </w:drawing>
            </w:r>
          </w:p>
        </w:tc>
      </w:tr>
      <w:tr>
        <w:tblPrEx>
          <w:tblCellMar>
            <w:top w:w="0" w:type="dxa"/>
            <w:left w:w="108" w:type="dxa"/>
            <w:bottom w:w="0" w:type="dxa"/>
            <w:right w:w="108" w:type="dxa"/>
          </w:tblCellMar>
        </w:tblPrEx>
        <w:tc>
          <w:tcPr>
            <w:tcW w:w="8306" w:type="dxa"/>
            <w:shd w:val="clear" w:color="auto" w:fill="auto"/>
          </w:tcPr>
          <w:p>
            <w:pPr>
              <w:ind w:firstLine="48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图2.7-</w:t>
            </w:r>
            <w:r>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1</w:t>
            </w:r>
            <w:r>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 xml:space="preserve">   本项目与四川省主体功能区划位置关系图</w:t>
            </w:r>
          </w:p>
        </w:tc>
      </w:tr>
    </w:tbl>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pStyle w:val="5"/>
        <w:pageBreakBefore w:val="0"/>
        <w:widowControl w:val="0"/>
        <w:numPr>
          <w:ilvl w:val="0"/>
          <w:numId w:val="0"/>
        </w:numPr>
        <w:kinsoku/>
        <w:wordWrap/>
        <w:overflowPunct/>
        <w:topLinePunct w:val="0"/>
        <w:autoSpaceDE/>
        <w:autoSpaceDN/>
        <w:bidi w:val="0"/>
        <w:adjustRightInd w:val="0"/>
        <w:snapToGrid w:val="0"/>
        <w:spacing w:before="0" w:beforeLines="0"/>
        <w:ind w:left="48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2.7.4.1</w:t>
      </w:r>
      <w:r>
        <w:rPr>
          <w:rFonts w:hint="default" w:ascii="Times New Roman" w:hAnsi="Times New Roman" w:cs="Times New Roman"/>
          <w:color w:val="000000" w:themeColor="text1"/>
          <w:highlight w:val="none"/>
          <w14:textFill>
            <w14:solidFill>
              <w14:schemeClr w14:val="tx1"/>
            </w14:solidFill>
          </w14:textFill>
        </w:rPr>
        <w:t>与</w:t>
      </w:r>
      <w:r>
        <w:rPr>
          <w:rFonts w:hint="eastAsia" w:cs="Times New Roman"/>
          <w:color w:val="000000" w:themeColor="text1"/>
          <w:highlight w:val="none"/>
          <w:lang w:val="en-US" w:eastAsia="zh-CN"/>
          <w14:textFill>
            <w14:solidFill>
              <w14:schemeClr w14:val="tx1"/>
            </w14:solidFill>
          </w14:textFill>
        </w:rPr>
        <w:t>生态功能区划</w:t>
      </w:r>
      <w:r>
        <w:rPr>
          <w:rFonts w:hint="default" w:ascii="Times New Roman" w:hAnsi="Times New Roman" w:cs="Times New Roman"/>
          <w:color w:val="000000" w:themeColor="text1"/>
          <w:highlight w:val="none"/>
          <w14:textFill>
            <w14:solidFill>
              <w14:schemeClr w14:val="tx1"/>
            </w14:solidFill>
          </w14:textFill>
        </w:rPr>
        <w:t>符合性分析</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评价区域为农林生态系统，生态系统单一，结构简单，环境异质性差。区域以自然生境为主，易于恢复。</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四川省生态功能区划》，项目所在地达州市宣汉县普光镇位于Ⅰ四川盆地亚热带农林生态区——I-3盆北秦巴山地常绿阔叶林-针阔混交林生态亚区——I-3-2大巴山水源涵养与土壤保持生态功能区，其生态建设与发展方向为：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拟建项目区不占用自然保护区、森林公园、地质公园和风景名胜区等环境敏感区，占地面积占区域土地面积的比例很小，严格按照水保要求采取相应水土流失防治措施，项目建设不会明显加剧区域的水土流失和地质灾害，对公益林资源、动植物资源影响</w:t>
      </w:r>
      <w:r>
        <w:rPr>
          <w:rFonts w:hint="eastAsia" w:ascii="Times New Roman" w:hAnsi="Times New Roman" w:cs="Times New Roman"/>
          <w:color w:val="000000" w:themeColor="text1"/>
          <w:szCs w:val="24"/>
          <w:highlight w:val="none"/>
          <w:lang w:val="en-US" w:eastAsia="zh-CN"/>
          <w14:textFill>
            <w14:solidFill>
              <w14:schemeClr w14:val="tx1"/>
            </w14:solidFill>
          </w14:textFill>
        </w:rPr>
        <w:t>很小</w:t>
      </w:r>
      <w:r>
        <w:rPr>
          <w:rFonts w:hint="default" w:ascii="Times New Roman" w:hAnsi="Times New Roman" w:cs="Times New Roman"/>
          <w:color w:val="000000" w:themeColor="text1"/>
          <w:szCs w:val="24"/>
          <w:highlight w:val="none"/>
          <w14:textFill>
            <w14:solidFill>
              <w14:schemeClr w14:val="tx1"/>
            </w14:solidFill>
          </w14:textFill>
        </w:rPr>
        <w:t>，因此，项目建设对该生态功能区的生态功能影响很小，符合《四川省生态功能区划》要求。</w:t>
      </w:r>
    </w:p>
    <w:p>
      <w:pPr>
        <w:pStyle w:val="5"/>
        <w:pageBreakBefore w:val="0"/>
        <w:numPr>
          <w:ilvl w:val="3"/>
          <w:numId w:val="0"/>
        </w:numPr>
        <w:kinsoku/>
        <w:wordWrap/>
        <w:overflowPunct/>
        <w:topLinePunct w:val="0"/>
        <w:autoSpaceDE/>
        <w:autoSpaceDN/>
        <w:bidi w:val="0"/>
        <w:adjustRightInd w:val="0"/>
        <w:snapToGrid w:val="0"/>
        <w:spacing w:before="0" w:beforeLines="0"/>
        <w:ind w:left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2.7.5</w:t>
      </w:r>
      <w:r>
        <w:rPr>
          <w:rFonts w:hint="default" w:ascii="Times New Roman" w:hAnsi="Times New Roman" w:cs="Times New Roman"/>
          <w:color w:val="000000" w:themeColor="text1"/>
          <w:highlight w:val="none"/>
          <w14:textFill>
            <w14:solidFill>
              <w14:schemeClr w14:val="tx1"/>
            </w14:solidFill>
          </w14:textFill>
        </w:rPr>
        <w:t>与</w:t>
      </w:r>
      <w:r>
        <w:rPr>
          <w:rFonts w:hint="eastAsia" w:cs="Times New Roman"/>
          <w:color w:val="000000" w:themeColor="text1"/>
          <w:highlight w:val="none"/>
          <w:lang w:val="en-US" w:eastAsia="zh-CN"/>
          <w14:textFill>
            <w14:solidFill>
              <w14:schemeClr w14:val="tx1"/>
            </w14:solidFill>
          </w14:textFill>
        </w:rPr>
        <w:t>社会经济及能源规划</w:t>
      </w:r>
      <w:r>
        <w:rPr>
          <w:rFonts w:hint="default" w:ascii="Times New Roman" w:hAnsi="Times New Roman" w:cs="Times New Roman"/>
          <w:color w:val="000000" w:themeColor="text1"/>
          <w:highlight w:val="none"/>
          <w14:textFill>
            <w14:solidFill>
              <w14:schemeClr w14:val="tx1"/>
            </w14:solidFill>
          </w14:textFill>
        </w:rPr>
        <w:t>符合性分析</w:t>
      </w:r>
    </w:p>
    <w:p>
      <w:pPr>
        <w:pStyle w:val="5"/>
        <w:keepNext/>
        <w:keepLines/>
        <w:pageBreakBefore w:val="0"/>
        <w:widowControl w:val="0"/>
        <w:numPr>
          <w:ilvl w:val="0"/>
          <w:numId w:val="0"/>
        </w:numPr>
        <w:kinsoku/>
        <w:wordWrap/>
        <w:overflowPunct/>
        <w:topLinePunct w:val="0"/>
        <w:autoSpaceDE/>
        <w:autoSpaceDN/>
        <w:bidi w:val="0"/>
        <w:adjustRightInd w:val="0"/>
        <w:snapToGrid w:val="0"/>
        <w:spacing w:before="0" w:beforeLines="0"/>
        <w:ind w:firstLine="482" w:firstLineChars="200"/>
        <w:textAlignment w:val="auto"/>
        <w:rPr>
          <w:rFonts w:hint="eastAsia" w:ascii="宋体" w:hAnsi="宋体" w:eastAsia="宋体" w:cs="宋体"/>
          <w:b/>
          <w:bCs w:val="0"/>
          <w:color w:val="000000" w:themeColor="text1"/>
          <w:highlight w:val="none"/>
          <w14:textFill>
            <w14:solidFill>
              <w14:schemeClr w14:val="tx1"/>
            </w14:solidFill>
          </w14:textFill>
        </w:rPr>
      </w:pPr>
      <w:r>
        <w:rPr>
          <w:rFonts w:hint="eastAsia" w:ascii="宋体" w:hAnsi="宋体" w:eastAsia="宋体" w:cs="宋体"/>
          <w:b/>
          <w:bCs w:val="0"/>
          <w:color w:val="000000" w:themeColor="text1"/>
          <w:highlight w:val="none"/>
          <w:lang w:val="en-US" w:eastAsia="zh-CN"/>
          <w14:textFill>
            <w14:solidFill>
              <w14:schemeClr w14:val="tx1"/>
            </w14:solidFill>
          </w14:textFill>
        </w:rPr>
        <w:t>1</w:t>
      </w:r>
      <w:r>
        <w:rPr>
          <w:rFonts w:hint="eastAsia" w:ascii="宋体" w:hAnsi="宋体" w:eastAsia="宋体" w:cs="宋体"/>
          <w:b/>
          <w:bCs w:val="0"/>
          <w:color w:val="000000" w:themeColor="text1"/>
          <w:highlight w:val="none"/>
          <w14:textFill>
            <w14:solidFill>
              <w14:schemeClr w14:val="tx1"/>
            </w14:solidFill>
          </w14:textFill>
        </w:rPr>
        <w:t>、与《达州市国民经济和社会发展第十四个五年规划和二〇三五年远景目标纲要》的符合性分析</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达州市国民经济和社会发展第十四个五年规划和二〇三五年远景目标纲要》中，强调要打造中国“气大庆”，实施中国“气大庆”建设行动，加强天然气产供储销体系建设，建成全国最大天然气（页岩气）生产基地，天然气年产量力争达到630亿推进中国“气大庆”建设。对接国有油气企业混合所有制改革，探索央（企）地资源开发利益共享共赢发展模式。</w:t>
      </w:r>
      <w:r>
        <w:rPr>
          <w:rFonts w:hint="default" w:ascii="Times New Roman" w:hAnsi="Times New Roman" w:cs="Times New Roman"/>
          <w:b w:val="0"/>
          <w:bCs w:val="0"/>
          <w:color w:val="000000" w:themeColor="text1"/>
          <w:highlight w:val="none"/>
          <w:u w:val="single"/>
          <w14:textFill>
            <w14:solidFill>
              <w14:schemeClr w14:val="tx1"/>
            </w14:solidFill>
          </w14:textFill>
        </w:rPr>
        <w:t>加大勘探开发力度，重点实施中石油川东北高含硫天然气开发项目（二期）、达州致密气勘探开发项目等天然气开发项目，统筹加强中石化普光气田新井和中石油其他区块产能建设，服务国家能源战略、保障天然气供应安全。</w:t>
      </w:r>
      <w:r>
        <w:rPr>
          <w:rFonts w:hint="default" w:ascii="Times New Roman" w:hAnsi="Times New Roman" w:cs="Times New Roman"/>
          <w:color w:val="000000" w:themeColor="text1"/>
          <w:highlight w:val="none"/>
          <w14:textFill>
            <w14:solidFill>
              <w14:schemeClr w14:val="tx1"/>
            </w14:solidFill>
          </w14:textFill>
        </w:rPr>
        <w:t>全面规范提升天然气供应水平，完善天然气管网公平接入机制，推进市域输气管网与国家干网的互联互通，不断扩大天然气“直供”范围</w:t>
      </w:r>
      <w:r>
        <w:rPr>
          <w:rFonts w:hint="eastAsia" w:cs="Times New Roman"/>
          <w:color w:val="000000" w:themeColor="text1"/>
          <w:highlight w:val="none"/>
          <w:lang w:eastAsia="zh-CN"/>
          <w14:textFill>
            <w14:solidFill>
              <w14:schemeClr w14:val="tx1"/>
            </w14:solidFill>
          </w14:textFill>
        </w:rPr>
        <w:t>。</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本项目属于中石化普光气田新井勘探试</w:t>
      </w:r>
      <w:r>
        <w:rPr>
          <w:rFonts w:hint="default" w:ascii="Times New Roman" w:hAnsi="Times New Roman" w:cs="Times New Roman"/>
          <w:color w:val="000000" w:themeColor="text1"/>
          <w:highlight w:val="none"/>
          <w:lang w:val="en-US" w:eastAsia="zh-CN"/>
          <w14:textFill>
            <w14:solidFill>
              <w14:schemeClr w14:val="tx1"/>
            </w14:solidFill>
          </w14:textFill>
        </w:rPr>
        <w:t>采</w:t>
      </w:r>
      <w:r>
        <w:rPr>
          <w:rFonts w:hint="default" w:ascii="Times New Roman" w:hAnsi="Times New Roman" w:cs="Times New Roman"/>
          <w:color w:val="000000" w:themeColor="text1"/>
          <w:highlight w:val="none"/>
          <w14:textFill>
            <w14:solidFill>
              <w14:schemeClr w14:val="tx1"/>
            </w14:solidFill>
          </w14:textFill>
        </w:rPr>
        <w:t>项目，因此本项目符合达州市国民经济和社会发展规划纲要。</w:t>
      </w:r>
    </w:p>
    <w:p>
      <w:pPr>
        <w:pageBreakBefore w:val="0"/>
        <w:widowControl w:val="0"/>
        <w:tabs>
          <w:tab w:val="left" w:pos="0"/>
        </w:tabs>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zCs w:val="24"/>
          <w:highlight w:val="none"/>
          <w14:textFill>
            <w14:solidFill>
              <w14:schemeClr w14:val="tx1"/>
            </w14:solidFill>
          </w14:textFill>
        </w:rPr>
        <w:t>与《四川省矿产资源总体规划（2021</w:t>
      </w:r>
      <w:r>
        <w:rPr>
          <w:rFonts w:hint="default" w:ascii="Times New Roman" w:hAnsi="Times New Roman" w:cs="Times New Roman"/>
          <w:b/>
          <w:bCs/>
          <w:color w:val="000000" w:themeColor="text1"/>
          <w:szCs w:val="24"/>
          <w:highlight w:val="none"/>
          <w:lang w:eastAsia="zh-CN"/>
          <w14:textFill>
            <w14:solidFill>
              <w14:schemeClr w14:val="tx1"/>
            </w14:solidFill>
          </w14:textFill>
        </w:rPr>
        <w:t>—</w:t>
      </w:r>
      <w:r>
        <w:rPr>
          <w:rFonts w:hint="default" w:ascii="Times New Roman" w:hAnsi="Times New Roman" w:cs="Times New Roman"/>
          <w:b/>
          <w:bCs/>
          <w:color w:val="000000" w:themeColor="text1"/>
          <w:szCs w:val="24"/>
          <w:highlight w:val="none"/>
          <w14:textFill>
            <w14:solidFill>
              <w14:schemeClr w14:val="tx1"/>
            </w14:solidFill>
          </w14:textFill>
        </w:rPr>
        <w:t>2025年）》</w:t>
      </w:r>
      <w:r>
        <w:rPr>
          <w:rFonts w:hint="eastAsia" w:cs="Times New Roman"/>
          <w:b/>
          <w:bCs/>
          <w:color w:val="000000" w:themeColor="text1"/>
          <w:szCs w:val="24"/>
          <w:highlight w:val="none"/>
          <w:lang w:val="en-US" w:eastAsia="zh-CN"/>
          <w14:textFill>
            <w14:solidFill>
              <w14:schemeClr w14:val="tx1"/>
            </w14:solidFill>
          </w14:textFill>
        </w:rPr>
        <w:t>及其环境影响报告书</w:t>
      </w:r>
      <w:r>
        <w:rPr>
          <w:rFonts w:hint="default" w:ascii="Times New Roman" w:hAnsi="Times New Roman" w:cs="Times New Roman"/>
          <w:b/>
          <w:bCs/>
          <w:color w:val="000000" w:themeColor="text1"/>
          <w:szCs w:val="24"/>
          <w:highlight w:val="none"/>
          <w14:textFill>
            <w14:solidFill>
              <w14:schemeClr w14:val="tx1"/>
            </w14:solidFill>
          </w14:textFill>
        </w:rPr>
        <w:t>的符合性分析</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 w:val="0"/>
          <w:bCs w:val="0"/>
          <w:color w:val="000000" w:themeColor="text1"/>
          <w:szCs w:val="24"/>
          <w:highlight w:val="none"/>
          <w:lang w:val="en-US" w:eastAsia="zh-CN"/>
          <w14:textFill>
            <w14:solidFill>
              <w14:schemeClr w14:val="tx1"/>
            </w14:solidFill>
          </w14:textFill>
        </w:rPr>
      </w:pPr>
      <w:r>
        <w:rPr>
          <w:rFonts w:hint="eastAsia" w:cs="Times New Roman"/>
          <w:b w:val="0"/>
          <w:bCs w:val="0"/>
          <w:color w:val="000000" w:themeColor="text1"/>
          <w:szCs w:val="24"/>
          <w:highlight w:val="none"/>
          <w:lang w:eastAsia="zh-CN"/>
          <w14:textFill>
            <w14:solidFill>
              <w14:schemeClr w14:val="tx1"/>
            </w14:solidFill>
          </w14:textFill>
        </w:rPr>
        <w:t>（</w:t>
      </w:r>
      <w:r>
        <w:rPr>
          <w:rFonts w:hint="eastAsia" w:cs="Times New Roman"/>
          <w:b w:val="0"/>
          <w:bCs w:val="0"/>
          <w:color w:val="000000" w:themeColor="text1"/>
          <w:szCs w:val="24"/>
          <w:highlight w:val="none"/>
          <w:lang w:val="en-US" w:eastAsia="zh-CN"/>
          <w14:textFill>
            <w14:solidFill>
              <w14:schemeClr w14:val="tx1"/>
            </w14:solidFill>
          </w14:textFill>
        </w:rPr>
        <w:t>1</w:t>
      </w:r>
      <w:r>
        <w:rPr>
          <w:rFonts w:hint="eastAsia" w:cs="Times New Roman"/>
          <w:b w:val="0"/>
          <w:bCs w:val="0"/>
          <w:color w:val="000000" w:themeColor="text1"/>
          <w:szCs w:val="24"/>
          <w:highlight w:val="none"/>
          <w:lang w:eastAsia="zh-CN"/>
          <w14:textFill>
            <w14:solidFill>
              <w14:schemeClr w14:val="tx1"/>
            </w14:solidFill>
          </w14:textFill>
        </w:rPr>
        <w:t>）</w:t>
      </w:r>
      <w:r>
        <w:rPr>
          <w:rFonts w:hint="default" w:ascii="Times New Roman" w:hAnsi="Times New Roman" w:cs="Times New Roman"/>
          <w:b w:val="0"/>
          <w:bCs w:val="0"/>
          <w:color w:val="000000" w:themeColor="text1"/>
          <w:szCs w:val="24"/>
          <w:highlight w:val="none"/>
          <w14:textFill>
            <w14:solidFill>
              <w14:schemeClr w14:val="tx1"/>
            </w14:solidFill>
          </w14:textFill>
        </w:rPr>
        <w:t>与《四川省矿产资源总体规划（2021</w:t>
      </w:r>
      <w:r>
        <w:rPr>
          <w:rFonts w:hint="default" w:ascii="Times New Roman" w:hAnsi="Times New Roman" w:cs="Times New Roman"/>
          <w:b w:val="0"/>
          <w:bCs w:val="0"/>
          <w:color w:val="000000" w:themeColor="text1"/>
          <w:szCs w:val="24"/>
          <w:highlight w:val="none"/>
          <w:lang w:eastAsia="zh-CN"/>
          <w14:textFill>
            <w14:solidFill>
              <w14:schemeClr w14:val="tx1"/>
            </w14:solidFill>
          </w14:textFill>
        </w:rPr>
        <w:t>—</w:t>
      </w:r>
      <w:r>
        <w:rPr>
          <w:rFonts w:hint="default" w:ascii="Times New Roman" w:hAnsi="Times New Roman" w:cs="Times New Roman"/>
          <w:b w:val="0"/>
          <w:bCs w:val="0"/>
          <w:color w:val="000000" w:themeColor="text1"/>
          <w:szCs w:val="24"/>
          <w:highlight w:val="none"/>
          <w14:textFill>
            <w14:solidFill>
              <w14:schemeClr w14:val="tx1"/>
            </w14:solidFill>
          </w14:textFill>
        </w:rPr>
        <w:t>2025年）》</w:t>
      </w:r>
      <w:r>
        <w:rPr>
          <w:rFonts w:hint="eastAsia" w:cs="Times New Roman"/>
          <w:b w:val="0"/>
          <w:bCs w:val="0"/>
          <w:color w:val="000000" w:themeColor="text1"/>
          <w:szCs w:val="24"/>
          <w:highlight w:val="none"/>
          <w:lang w:val="en-US" w:eastAsia="zh-CN"/>
          <w14:textFill>
            <w14:solidFill>
              <w14:schemeClr w14:val="tx1"/>
            </w14:solidFill>
          </w14:textFill>
        </w:rPr>
        <w:t>符合性分析</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《四川省矿产资源总体规划（2021</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2025年）》是在自然资源部工作要求和省委、省政府工作部署下，依据《矿产资源规划编制实施办法》《全国矿产资源规划（2021—2025年）》《四川省国民经济和社会发展第十四个五年规划和二〇三五年远景目标纲要》等，结合四川省实际，由省厅会同省发展改革委、经济和信息化厅、财政厅、生态环境厅、商务厅制定，本项目与之符合性分析见下表。</w:t>
      </w:r>
    </w:p>
    <w:p>
      <w:pPr>
        <w:widowControl/>
        <w:tabs>
          <w:tab w:val="left" w:pos="863"/>
        </w:tabs>
        <w:adjustRightInd/>
        <w:snapToGrid/>
        <w:spacing w:line="240" w:lineRule="auto"/>
        <w:ind w:firstLine="0" w:firstLineChars="0"/>
        <w:jc w:val="center"/>
        <w:rPr>
          <w:rFonts w:hint="default" w:ascii="Times New Roman" w:hAnsi="Times New Roman" w:eastAsia="黑体" w:cs="Times New Roman"/>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表2.7-</w:t>
      </w:r>
      <w:r>
        <w:rPr>
          <w:rFonts w:hint="eastAsia" w:eastAsia="黑体" w:cs="Times New Roman"/>
          <w:color w:val="000000" w:themeColor="text1"/>
          <w:kern w:val="0"/>
          <w:sz w:val="21"/>
          <w:szCs w:val="21"/>
          <w:highlight w:val="none"/>
          <w:lang w:val="en-US" w:eastAsia="zh-CN"/>
          <w14:textFill>
            <w14:solidFill>
              <w14:schemeClr w14:val="tx1"/>
            </w14:solidFill>
          </w14:textFill>
        </w:rPr>
        <w:t>5</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 xml:space="preserve">  与《四川省矿产资源总体规划（2021</w:t>
      </w:r>
      <w:r>
        <w:rPr>
          <w:rFonts w:hint="default" w:ascii="Times New Roman" w:hAnsi="Times New Roman" w:eastAsia="黑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2025年）》符合性分析表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240"/>
        <w:gridCol w:w="2124"/>
        <w:gridCol w:w="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文件内容</w:t>
            </w:r>
          </w:p>
        </w:tc>
        <w:tc>
          <w:tcPr>
            <w:tcW w:w="2124" w:type="dxa"/>
            <w:tcMar>
              <w:left w:w="57" w:type="dxa"/>
              <w:right w:w="57" w:type="dxa"/>
            </w:tcMar>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本项目情况</w:t>
            </w:r>
          </w:p>
        </w:tc>
        <w:tc>
          <w:tcPr>
            <w:tcW w:w="858" w:type="dxa"/>
            <w:tcMar>
              <w:left w:w="57" w:type="dxa"/>
              <w:right w:w="57" w:type="dxa"/>
            </w:tcMar>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第二章、第三节：一、2025年目标：</w:t>
            </w:r>
          </w:p>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重要矿产实现找矿新突破。加大财政投资矿产勘查力度，提高重要矿产资源综合勘查水平和保障程度，新发现战略性矿产资源大中型矿产地10至15处。国家天然气（页岩气）千亿立方米级产能基地、攀西战略资源创新开发试验区建设得到有力支撑</w:t>
            </w:r>
            <w:r>
              <w:rPr>
                <w:rFonts w:hint="eastAsia" w:cs="Times New Roman"/>
                <w:color w:val="000000" w:themeColor="text1"/>
                <w:sz w:val="21"/>
                <w:szCs w:val="21"/>
                <w:highlight w:val="none"/>
                <w:lang w:eastAsia="zh-CN"/>
                <w14:textFill>
                  <w14:solidFill>
                    <w14:schemeClr w14:val="tx1"/>
                  </w14:solidFill>
                </w14:textFill>
              </w:rPr>
              <w:t>。</w:t>
            </w:r>
          </w:p>
        </w:tc>
        <w:tc>
          <w:tcPr>
            <w:tcW w:w="2124" w:type="dxa"/>
            <w:tcMar>
              <w:left w:w="57" w:type="dxa"/>
              <w:right w:w="57" w:type="dxa"/>
            </w:tcMar>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本项目属于天然气勘探</w:t>
            </w:r>
            <w:r>
              <w:rPr>
                <w:rFonts w:hint="eastAsia" w:cs="Times New Roman"/>
                <w:color w:val="000000" w:themeColor="text1"/>
                <w:sz w:val="21"/>
                <w:szCs w:val="21"/>
                <w:highlight w:val="none"/>
                <w:lang w:val="en-US" w:eastAsia="zh-CN"/>
                <w14:textFill>
                  <w14:solidFill>
                    <w14:schemeClr w14:val="tx1"/>
                  </w14:solidFill>
                </w14:textFill>
              </w:rPr>
              <w:t>及试采</w:t>
            </w:r>
            <w:r>
              <w:rPr>
                <w:rFonts w:hint="default" w:ascii="Times New Roman" w:hAnsi="Times New Roman" w:cs="Times New Roman"/>
                <w:color w:val="000000" w:themeColor="text1"/>
                <w:sz w:val="21"/>
                <w:szCs w:val="21"/>
                <w:highlight w:val="none"/>
                <w14:textFill>
                  <w14:solidFill>
                    <w14:schemeClr w14:val="tx1"/>
                  </w14:solidFill>
                </w14:textFill>
              </w:rPr>
              <w:t>项目</w:t>
            </w:r>
            <w:r>
              <w:rPr>
                <w:rFonts w:hint="eastAsia" w:cs="Times New Roman"/>
                <w:color w:val="000000" w:themeColor="text1"/>
                <w:sz w:val="21"/>
                <w:szCs w:val="21"/>
                <w:highlight w:val="none"/>
                <w:lang w:eastAsia="zh-CN"/>
                <w14:textFill>
                  <w14:solidFill>
                    <w14:schemeClr w14:val="tx1"/>
                  </w14:solidFill>
                </w14:textFill>
              </w:rPr>
              <w:t>。</w:t>
            </w:r>
          </w:p>
        </w:tc>
        <w:tc>
          <w:tcPr>
            <w:tcW w:w="858" w:type="dxa"/>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第三章、第一节：···</w:t>
            </w:r>
            <w:r>
              <w:rPr>
                <w:rFonts w:hint="default" w:ascii="Times New Roman" w:hAnsi="Times New Roman" w:cs="Times New Roman"/>
                <w:b/>
                <w:bCs/>
                <w:color w:val="000000" w:themeColor="text1"/>
                <w:sz w:val="21"/>
                <w:szCs w:val="21"/>
                <w:highlight w:val="none"/>
                <w14:textFill>
                  <w14:solidFill>
                    <w14:schemeClr w14:val="tx1"/>
                  </w14:solidFill>
                </w14:textFill>
              </w:rPr>
              <w:t>川东北能源建材勘查开发区</w:t>
            </w:r>
            <w:r>
              <w:rPr>
                <w:rFonts w:hint="default" w:ascii="Times New Roman" w:hAnsi="Times New Roman" w:cs="Times New Roman"/>
                <w:color w:val="000000" w:themeColor="text1"/>
                <w:sz w:val="21"/>
                <w:szCs w:val="21"/>
                <w:highlight w:val="none"/>
                <w14:textFill>
                  <w14:solidFill>
                    <w14:schemeClr w14:val="tx1"/>
                  </w14:solidFill>
                </w14:textFill>
              </w:rPr>
              <w:t>。包括南充、</w:t>
            </w:r>
            <w:r>
              <w:rPr>
                <w:rFonts w:hint="default" w:ascii="Times New Roman" w:hAnsi="Times New Roman" w:cs="Times New Roman"/>
                <w:b/>
                <w:bCs/>
                <w:color w:val="000000" w:themeColor="text1"/>
                <w:sz w:val="21"/>
                <w:szCs w:val="21"/>
                <w:highlight w:val="none"/>
                <w14:textFill>
                  <w14:solidFill>
                    <w14:schemeClr w14:val="tx1"/>
                  </w14:solidFill>
                </w14:textFill>
              </w:rPr>
              <w:t>达州</w:t>
            </w:r>
            <w:r>
              <w:rPr>
                <w:rFonts w:hint="default" w:ascii="Times New Roman" w:hAnsi="Times New Roman" w:cs="Times New Roman"/>
                <w:color w:val="000000" w:themeColor="text1"/>
                <w:sz w:val="21"/>
                <w:szCs w:val="21"/>
                <w:highlight w:val="none"/>
                <w14:textFill>
                  <w14:solidFill>
                    <w14:schemeClr w14:val="tx1"/>
                  </w14:solidFill>
                </w14:textFill>
              </w:rPr>
              <w:t>、广安、巴中、广元5市，大力发展清洁能源化工、特色矿产品精深加工，推动川东北经济区振兴发展。</w:t>
            </w:r>
            <w:r>
              <w:rPr>
                <w:rFonts w:hint="default" w:ascii="Times New Roman" w:hAnsi="Times New Roman" w:cs="Times New Roman"/>
                <w:b/>
                <w:bCs/>
                <w:color w:val="000000" w:themeColor="text1"/>
                <w:sz w:val="21"/>
                <w:szCs w:val="21"/>
                <w:highlight w:val="none"/>
                <w14:textFill>
                  <w14:solidFill>
                    <w14:schemeClr w14:val="tx1"/>
                  </w14:solidFill>
                </w14:textFill>
              </w:rPr>
              <w:t>重点加强达州、广元、广安、巴中地区天然气、页岩油、致密气勘探开发</w:t>
            </w:r>
            <w:r>
              <w:rPr>
                <w:rFonts w:hint="eastAsia" w:cs="Times New Roman"/>
                <w:b/>
                <w:bCs/>
                <w:color w:val="000000" w:themeColor="text1"/>
                <w:sz w:val="21"/>
                <w:szCs w:val="21"/>
                <w:highlight w:val="none"/>
                <w:lang w:eastAsia="zh-CN"/>
                <w14:textFill>
                  <w14:solidFill>
                    <w14:schemeClr w14:val="tx1"/>
                  </w14:solidFill>
                </w14:textFill>
              </w:rPr>
              <w:t>。</w:t>
            </w:r>
          </w:p>
        </w:tc>
        <w:tc>
          <w:tcPr>
            <w:tcW w:w="2124" w:type="dxa"/>
            <w:tcMar>
              <w:left w:w="57" w:type="dxa"/>
              <w:right w:w="57" w:type="dxa"/>
            </w:tcMar>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本项目位于达州，属于天然气勘探</w:t>
            </w:r>
            <w:r>
              <w:rPr>
                <w:rFonts w:hint="eastAsia" w:cs="Times New Roman"/>
                <w:color w:val="000000" w:themeColor="text1"/>
                <w:sz w:val="21"/>
                <w:szCs w:val="21"/>
                <w:highlight w:val="none"/>
                <w:lang w:val="en-US" w:eastAsia="zh-CN"/>
                <w14:textFill>
                  <w14:solidFill>
                    <w14:schemeClr w14:val="tx1"/>
                  </w14:solidFill>
                </w14:textFill>
              </w:rPr>
              <w:t>及</w:t>
            </w:r>
            <w:r>
              <w:rPr>
                <w:rFonts w:hint="default" w:ascii="Times New Roman" w:hAnsi="Times New Roman" w:cs="Times New Roman"/>
                <w:color w:val="000000" w:themeColor="text1"/>
                <w:sz w:val="21"/>
                <w:szCs w:val="21"/>
                <w:highlight w:val="none"/>
                <w14:textFill>
                  <w14:solidFill>
                    <w14:schemeClr w14:val="tx1"/>
                  </w14:solidFill>
                </w14:textFill>
              </w:rPr>
              <w:t>试采项目</w:t>
            </w:r>
            <w:r>
              <w:rPr>
                <w:rFonts w:hint="eastAsia" w:cs="Times New Roman"/>
                <w:color w:val="000000" w:themeColor="text1"/>
                <w:sz w:val="21"/>
                <w:szCs w:val="21"/>
                <w:highlight w:val="none"/>
                <w:lang w:eastAsia="zh-CN"/>
                <w14:textFill>
                  <w14:solidFill>
                    <w14:schemeClr w14:val="tx1"/>
                  </w14:solidFill>
                </w14:textFill>
              </w:rPr>
              <w:t>。</w:t>
            </w:r>
          </w:p>
        </w:tc>
        <w:tc>
          <w:tcPr>
            <w:tcW w:w="858" w:type="dxa"/>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第五章、第一节：···大力支持天然气、页岩气开采，2025年底全省天然气（页岩气）产量达到630亿立方米/年，2035年建成国家天然气（页岩气）千亿立方米级产能基地</w:t>
            </w:r>
            <w:r>
              <w:rPr>
                <w:rFonts w:hint="eastAsia" w:cs="Times New Roman"/>
                <w:color w:val="000000" w:themeColor="text1"/>
                <w:sz w:val="21"/>
                <w:szCs w:val="21"/>
                <w:highlight w:val="none"/>
                <w:lang w:eastAsia="zh-CN"/>
                <w14:textFill>
                  <w14:solidFill>
                    <w14:schemeClr w14:val="tx1"/>
                  </w14:solidFill>
                </w14:textFill>
              </w:rPr>
              <w:t>。</w:t>
            </w:r>
          </w:p>
        </w:tc>
        <w:tc>
          <w:tcPr>
            <w:tcW w:w="2124" w:type="dxa"/>
            <w:tcMar>
              <w:left w:w="57" w:type="dxa"/>
              <w:right w:w="57" w:type="dxa"/>
            </w:tcMar>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本项目属于天然气勘探项目，运营期将对天然气进行试采，有利于提高全省天然气产量</w:t>
            </w:r>
            <w:r>
              <w:rPr>
                <w:rFonts w:hint="eastAsia" w:cs="Times New Roman"/>
                <w:color w:val="000000" w:themeColor="text1"/>
                <w:sz w:val="21"/>
                <w:szCs w:val="21"/>
                <w:highlight w:val="none"/>
                <w:lang w:eastAsia="zh-CN"/>
                <w14:textFill>
                  <w14:solidFill>
                    <w14:schemeClr w14:val="tx1"/>
                  </w14:solidFill>
                </w14:textFill>
              </w:rPr>
              <w:t>。</w:t>
            </w:r>
          </w:p>
        </w:tc>
        <w:tc>
          <w:tcPr>
            <w:tcW w:w="858" w:type="dxa"/>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本项目为天然气勘探</w:t>
      </w:r>
      <w:r>
        <w:rPr>
          <w:rFonts w:hint="eastAsia" w:cs="Times New Roman"/>
          <w:color w:val="000000" w:themeColor="text1"/>
          <w:szCs w:val="24"/>
          <w:highlight w:val="none"/>
          <w:lang w:val="en-US" w:eastAsia="zh-CN"/>
          <w14:textFill>
            <w14:solidFill>
              <w14:schemeClr w14:val="tx1"/>
            </w14:solidFill>
          </w14:textFill>
        </w:rPr>
        <w:t>及</w:t>
      </w:r>
      <w:r>
        <w:rPr>
          <w:rFonts w:hint="default" w:ascii="Times New Roman" w:hAnsi="Times New Roman" w:cs="Times New Roman"/>
          <w:color w:val="000000" w:themeColor="text1"/>
          <w:szCs w:val="24"/>
          <w:highlight w:val="none"/>
          <w14:textFill>
            <w14:solidFill>
              <w14:schemeClr w14:val="tx1"/>
            </w14:solidFill>
          </w14:textFill>
        </w:rPr>
        <w:t>试采工程，不属于限制开采的矿产资源，项目位于达州市宣汉县，所在区域属于川东北能源建材勘查开发区，不属于国家和省的规划矿区、储备和保护矿区、限制开采区和禁止开采区，同时也不涉及自然保护区、饮用水水源保护区、风景名胜区等环境敏感区及四川省生态保护红线。拟建项目属于天然气勘探试采，符合《四川省矿产资源总体规划（2021</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2025年）》要求。</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 w:val="0"/>
          <w:bCs w:val="0"/>
          <w:color w:val="000000" w:themeColor="text1"/>
          <w:szCs w:val="24"/>
          <w:highlight w:val="none"/>
          <w:lang w:val="en-US" w:eastAsia="zh-CN"/>
          <w14:textFill>
            <w14:solidFill>
              <w14:schemeClr w14:val="tx1"/>
            </w14:solidFill>
          </w14:textFill>
        </w:rPr>
      </w:pPr>
      <w:r>
        <w:rPr>
          <w:rFonts w:hint="eastAsia" w:cs="Times New Roman"/>
          <w:b w:val="0"/>
          <w:bCs w:val="0"/>
          <w:color w:val="000000" w:themeColor="text1"/>
          <w:szCs w:val="24"/>
          <w:highlight w:val="none"/>
          <w:lang w:eastAsia="zh-CN"/>
          <w14:textFill>
            <w14:solidFill>
              <w14:schemeClr w14:val="tx1"/>
            </w14:solidFill>
          </w14:textFill>
        </w:rPr>
        <w:t>（</w:t>
      </w:r>
      <w:r>
        <w:rPr>
          <w:rFonts w:hint="eastAsia" w:cs="Times New Roman"/>
          <w:b w:val="0"/>
          <w:bCs w:val="0"/>
          <w:color w:val="000000" w:themeColor="text1"/>
          <w:szCs w:val="24"/>
          <w:highlight w:val="none"/>
          <w:lang w:val="en-US" w:eastAsia="zh-CN"/>
          <w14:textFill>
            <w14:solidFill>
              <w14:schemeClr w14:val="tx1"/>
            </w14:solidFill>
          </w14:textFill>
        </w:rPr>
        <w:t>2</w:t>
      </w:r>
      <w:r>
        <w:rPr>
          <w:rFonts w:hint="eastAsia" w:cs="Times New Roman"/>
          <w:b w:val="0"/>
          <w:bCs w:val="0"/>
          <w:color w:val="000000" w:themeColor="text1"/>
          <w:szCs w:val="24"/>
          <w:highlight w:val="none"/>
          <w:lang w:eastAsia="zh-CN"/>
          <w14:textFill>
            <w14:solidFill>
              <w14:schemeClr w14:val="tx1"/>
            </w14:solidFill>
          </w14:textFill>
        </w:rPr>
        <w:t>）</w:t>
      </w:r>
      <w:r>
        <w:rPr>
          <w:rFonts w:hint="default" w:ascii="Times New Roman" w:hAnsi="Times New Roman" w:cs="Times New Roman"/>
          <w:b w:val="0"/>
          <w:bCs w:val="0"/>
          <w:color w:val="000000" w:themeColor="text1"/>
          <w:szCs w:val="24"/>
          <w:highlight w:val="none"/>
          <w14:textFill>
            <w14:solidFill>
              <w14:schemeClr w14:val="tx1"/>
            </w14:solidFill>
          </w14:textFill>
        </w:rPr>
        <w:t>与《四川省矿产资源总体规划（2021</w:t>
      </w:r>
      <w:r>
        <w:rPr>
          <w:rFonts w:hint="default" w:ascii="Times New Roman" w:hAnsi="Times New Roman" w:cs="Times New Roman"/>
          <w:b w:val="0"/>
          <w:bCs w:val="0"/>
          <w:color w:val="000000" w:themeColor="text1"/>
          <w:szCs w:val="24"/>
          <w:highlight w:val="none"/>
          <w:lang w:eastAsia="zh-CN"/>
          <w14:textFill>
            <w14:solidFill>
              <w14:schemeClr w14:val="tx1"/>
            </w14:solidFill>
          </w14:textFill>
        </w:rPr>
        <w:t>—</w:t>
      </w:r>
      <w:r>
        <w:rPr>
          <w:rFonts w:hint="default" w:ascii="Times New Roman" w:hAnsi="Times New Roman" w:cs="Times New Roman"/>
          <w:b w:val="0"/>
          <w:bCs w:val="0"/>
          <w:color w:val="000000" w:themeColor="text1"/>
          <w:szCs w:val="24"/>
          <w:highlight w:val="none"/>
          <w14:textFill>
            <w14:solidFill>
              <w14:schemeClr w14:val="tx1"/>
            </w14:solidFill>
          </w14:textFill>
        </w:rPr>
        <w:t>2025年）</w:t>
      </w:r>
      <w:r>
        <w:rPr>
          <w:rFonts w:hint="eastAsia" w:cs="Times New Roman"/>
          <w:b w:val="0"/>
          <w:bCs w:val="0"/>
          <w:color w:val="000000" w:themeColor="text1"/>
          <w:szCs w:val="24"/>
          <w:highlight w:val="none"/>
          <w:lang w:val="en-US" w:eastAsia="zh-CN"/>
          <w14:textFill>
            <w14:solidFill>
              <w14:schemeClr w14:val="tx1"/>
            </w14:solidFill>
          </w14:textFill>
        </w:rPr>
        <w:t>环境影响报告书</w:t>
      </w:r>
      <w:r>
        <w:rPr>
          <w:rFonts w:hint="default" w:ascii="Times New Roman" w:hAnsi="Times New Roman" w:cs="Times New Roman"/>
          <w:b w:val="0"/>
          <w:bCs w:val="0"/>
          <w:color w:val="000000" w:themeColor="text1"/>
          <w:szCs w:val="24"/>
          <w:highlight w:val="none"/>
          <w14:textFill>
            <w14:solidFill>
              <w14:schemeClr w14:val="tx1"/>
            </w14:solidFill>
          </w14:textFill>
        </w:rPr>
        <w:t>》</w:t>
      </w:r>
      <w:r>
        <w:rPr>
          <w:rFonts w:hint="eastAsia" w:cs="Times New Roman"/>
          <w:b w:val="0"/>
          <w:bCs w:val="0"/>
          <w:color w:val="000000" w:themeColor="text1"/>
          <w:szCs w:val="24"/>
          <w:highlight w:val="none"/>
          <w:lang w:val="en-US" w:eastAsia="zh-CN"/>
          <w14:textFill>
            <w14:solidFill>
              <w14:schemeClr w14:val="tx1"/>
            </w14:solidFill>
          </w14:textFill>
        </w:rPr>
        <w:t>符合性分析</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生态环境部出具了《关于〈四川省矿产资源总体规划（2021</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2025年）环境影响报告书〉的审查意见》（环审〔2022〕105号），该规划提出规划目标：到2025年，主要矿产资源量稳步增长，战略性矿产资源安全保障能力明显提高，勘查开发利用与保护空间布局进一步优化，资源节约集约和高效利用水平进一步提升，绿色矿业发展取得积极成效，全面落实构筑长江黄河上游生态安全屏障要求，基本形成矿产资源勘查开发与生态环境保护协调发展新格局。新增天然气资源量</w:t>
      </w:r>
      <w:r>
        <w:rPr>
          <w:rFonts w:hint="default" w:ascii="Times New Roman" w:hAnsi="Times New Roman" w:cs="Times New Roman"/>
          <w:color w:val="000000" w:themeColor="text1"/>
          <w:szCs w:val="20"/>
          <w:highlight w:val="none"/>
          <w:lang w:bidi="ar"/>
          <w14:textFill>
            <w14:solidFill>
              <w14:schemeClr w14:val="tx1"/>
            </w14:solidFill>
          </w14:textFill>
        </w:rPr>
        <w:t>≥10000亿立方米。</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0"/>
          <w:highlight w:val="none"/>
          <w:lang w:bidi="ar"/>
          <w14:textFill>
            <w14:solidFill>
              <w14:schemeClr w14:val="tx1"/>
            </w14:solidFill>
          </w14:textFill>
        </w:rPr>
      </w:pPr>
      <w:r>
        <w:rPr>
          <w:rFonts w:hint="default" w:ascii="Times New Roman" w:hAnsi="Times New Roman" w:cs="Times New Roman"/>
          <w:color w:val="000000" w:themeColor="text1"/>
          <w:szCs w:val="20"/>
          <w:highlight w:val="none"/>
          <w:lang w:bidi="ar"/>
          <w14:textFill>
            <w14:solidFill>
              <w14:schemeClr w14:val="tx1"/>
            </w14:solidFill>
          </w14:textFill>
        </w:rPr>
        <w:t>到2035年，</w:t>
      </w:r>
      <w:r>
        <w:rPr>
          <w:rFonts w:hint="default" w:ascii="Times New Roman" w:hAnsi="Times New Roman" w:cs="Times New Roman"/>
          <w:b w:val="0"/>
          <w:bCs w:val="0"/>
          <w:color w:val="000000" w:themeColor="text1"/>
          <w:szCs w:val="20"/>
          <w:highlight w:val="none"/>
          <w:u w:val="single"/>
          <w:lang w:bidi="ar"/>
          <w14:textFill>
            <w14:solidFill>
              <w14:schemeClr w14:val="tx1"/>
            </w14:solidFill>
          </w14:textFill>
        </w:rPr>
        <w:t>建设完成国家天然气（页岩气）千亿立方米级产能基地，</w:t>
      </w:r>
      <w:r>
        <w:rPr>
          <w:rFonts w:hint="default" w:ascii="Times New Roman" w:hAnsi="Times New Roman" w:cs="Times New Roman"/>
          <w:color w:val="000000" w:themeColor="text1"/>
          <w:szCs w:val="20"/>
          <w:highlight w:val="none"/>
          <w:lang w:bidi="ar"/>
          <w14:textFill>
            <w14:solidFill>
              <w14:schemeClr w14:val="tx1"/>
            </w14:solidFill>
          </w14:textFill>
        </w:rPr>
        <w:t>形成攀西钒钛磁铁矿、川南煤炭煤层气和川西锂矿资源产业集群。全省重要矿产资源量明显增加，矿业空间布局更加科学，矿山规模结构更趋合理，基本实现重要矿产资源稳定供应。矿产资源利用技术实现新突破，资源利用效率显著提升。矿政管理机制更加完善，基本实现矿产资源领域</w:t>
      </w:r>
      <w:r>
        <w:rPr>
          <w:rFonts w:hint="eastAsia" w:cs="Times New Roman"/>
          <w:color w:val="000000" w:themeColor="text1"/>
          <w:szCs w:val="20"/>
          <w:highlight w:val="none"/>
          <w:lang w:eastAsia="zh-CN" w:bidi="ar"/>
          <w14:textFill>
            <w14:solidFill>
              <w14:schemeClr w14:val="tx1"/>
            </w14:solidFill>
          </w14:textFill>
        </w:rPr>
        <w:t>治理体系和治理能力现代化</w:t>
      </w:r>
      <w:r>
        <w:rPr>
          <w:rFonts w:hint="default" w:ascii="Times New Roman" w:hAnsi="Times New Roman" w:cs="Times New Roman"/>
          <w:color w:val="000000" w:themeColor="text1"/>
          <w:szCs w:val="20"/>
          <w:highlight w:val="none"/>
          <w:lang w:bidi="ar"/>
          <w14:textFill>
            <w14:solidFill>
              <w14:schemeClr w14:val="tx1"/>
            </w14:solidFill>
          </w14:textFill>
        </w:rPr>
        <w:t>。生态保护、资源开发与民生改善协调发展，矿业走上内涵式、集约型、绿色化的高质量发展新路子，有力支撑“碳达峰、碳中和”战略目标的实施。</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本项目属于石油天然气行业的勘探试采项目，本项目的建设有利于评价下一步天然气清洁能源的开采供应，保障资源储量的稳定增长。因此，本项目建设符合《四川省矿产资源总体规划（2021</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2025年）环境影响报告书》的相关要求。</w:t>
      </w:r>
    </w:p>
    <w:p>
      <w:pPr>
        <w:keepNext w:val="0"/>
        <w:keepLines w:val="0"/>
        <w:pageBreakBefore w:val="0"/>
        <w:widowControl w:val="0"/>
        <w:tabs>
          <w:tab w:val="left" w:pos="0"/>
        </w:tabs>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lang w:val="en-US" w:eastAsia="zh-CN"/>
          <w14:textFill>
            <w14:solidFill>
              <w14:schemeClr w14:val="tx1"/>
            </w14:solidFill>
          </w14:textFill>
        </w:rPr>
        <w:t>3、</w:t>
      </w:r>
      <w:r>
        <w:rPr>
          <w:rFonts w:hint="default" w:ascii="Times New Roman" w:hAnsi="Times New Roman" w:cs="Times New Roman"/>
          <w:b/>
          <w:bCs/>
          <w:color w:val="000000" w:themeColor="text1"/>
          <w:szCs w:val="24"/>
          <w:highlight w:val="none"/>
          <w14:textFill>
            <w14:solidFill>
              <w14:schemeClr w14:val="tx1"/>
            </w14:solidFill>
          </w14:textFill>
        </w:rPr>
        <w:t>与《达州市矿产资源总体规划（2021</w:t>
      </w:r>
      <w:r>
        <w:rPr>
          <w:rFonts w:hint="default" w:ascii="Times New Roman" w:hAnsi="Times New Roman" w:cs="Times New Roman"/>
          <w:b/>
          <w:bCs/>
          <w:color w:val="000000" w:themeColor="text1"/>
          <w:szCs w:val="24"/>
          <w:highlight w:val="none"/>
          <w:lang w:eastAsia="zh-CN"/>
          <w14:textFill>
            <w14:solidFill>
              <w14:schemeClr w14:val="tx1"/>
            </w14:solidFill>
          </w14:textFill>
        </w:rPr>
        <w:t>—</w:t>
      </w:r>
      <w:r>
        <w:rPr>
          <w:rFonts w:hint="default" w:ascii="Times New Roman" w:hAnsi="Times New Roman" w:cs="Times New Roman"/>
          <w:b/>
          <w:bCs/>
          <w:color w:val="000000" w:themeColor="text1"/>
          <w:szCs w:val="24"/>
          <w:highlight w:val="none"/>
          <w14:textFill>
            <w14:solidFill>
              <w14:schemeClr w14:val="tx1"/>
            </w14:solidFill>
          </w14:textFill>
        </w:rPr>
        <w:t>2025年）》的符合性分析</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本项目与《达州市矿产资源总体规划（2021</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2025年）》符合性分析见下表。</w:t>
      </w:r>
    </w:p>
    <w:p>
      <w:pPr>
        <w:widowControl/>
        <w:tabs>
          <w:tab w:val="left" w:pos="863"/>
        </w:tabs>
        <w:adjustRightInd/>
        <w:snapToGrid/>
        <w:spacing w:line="240" w:lineRule="auto"/>
        <w:ind w:firstLine="0" w:firstLineChars="0"/>
        <w:jc w:val="center"/>
        <w:rPr>
          <w:rFonts w:hint="default" w:ascii="Times New Roman" w:hAnsi="Times New Roman" w:eastAsia="黑体" w:cs="Times New Roman"/>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表2.7</w:t>
      </w:r>
      <w:r>
        <w:rPr>
          <w:rFonts w:hint="eastAsia" w:eastAsia="黑体" w:cs="Times New Roman"/>
          <w:color w:val="000000" w:themeColor="text1"/>
          <w:kern w:val="0"/>
          <w:sz w:val="21"/>
          <w:szCs w:val="21"/>
          <w:highlight w:val="none"/>
          <w:lang w:val="en-US" w:eastAsia="zh-CN"/>
          <w14:textFill>
            <w14:solidFill>
              <w14:schemeClr w14:val="tx1"/>
            </w14:solidFill>
          </w14:textFill>
        </w:rPr>
        <w:t>-6</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 xml:space="preserve">  与《达州市矿产资源总体规划（2021</w:t>
      </w:r>
      <w:r>
        <w:rPr>
          <w:rFonts w:hint="default" w:ascii="Times New Roman" w:hAnsi="Times New Roman" w:eastAsia="黑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2025年）》符合性分析表</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239"/>
        <w:gridCol w:w="2124"/>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文件内容</w:t>
            </w:r>
          </w:p>
        </w:tc>
        <w:tc>
          <w:tcPr>
            <w:tcW w:w="1292"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本项目情况</w:t>
            </w:r>
          </w:p>
        </w:tc>
        <w:tc>
          <w:tcPr>
            <w:tcW w:w="521"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···到2025年，实现天然气、煤、石灰岩、地热等矿产资源储量稳步增长···</w:t>
            </w:r>
          </w:p>
        </w:tc>
        <w:tc>
          <w:tcPr>
            <w:tcW w:w="1292" w:type="pct"/>
            <w:vMerge w:val="restar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本项目属于天然气勘探试采项目，位于宣汉县</w:t>
            </w:r>
          </w:p>
        </w:tc>
        <w:tc>
          <w:tcPr>
            <w:tcW w:w="521"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到2035年，实现天然气（页岩气）找矿取得重大突破，加快建设万达开天然气锂钾综合利用集聚区，打造天然气、锂钾等千亿级特色产业集群，推进砂石资源基地建设</w:t>
            </w:r>
          </w:p>
        </w:tc>
        <w:tc>
          <w:tcPr>
            <w:tcW w:w="1292" w:type="pct"/>
            <w:vMerge w:val="continue"/>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21"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重点开采矿种：天然气、炼焦用煤、地热、石灰岩、砂岩及钾盐。在符合准入条件的前提下，优先出让采矿权，适度扩大开发规模，提高资源供应能力</w:t>
            </w:r>
          </w:p>
        </w:tc>
        <w:tc>
          <w:tcPr>
            <w:tcW w:w="1292" w:type="pct"/>
            <w:vMerge w:val="continue"/>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21"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中部能源化工勘查开发区。包括宣汉县、开江县。加强天然气、页岩气勘探开发，提升天然气资源综合利用水平</w:t>
            </w:r>
          </w:p>
        </w:tc>
        <w:tc>
          <w:tcPr>
            <w:tcW w:w="1292" w:type="pct"/>
            <w:vMerge w:val="continue"/>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21" w:type="pct"/>
            <w:tcMar>
              <w:left w:w="57" w:type="dxa"/>
              <w:right w:w="57" w:type="dxa"/>
            </w:tcMar>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综上所述，本项目符合《达州市矿产资源总体规划（2021</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2025年）》要求。</w:t>
      </w:r>
    </w:p>
    <w:p>
      <w:pPr>
        <w:keepNext w:val="0"/>
        <w:keepLines w:val="0"/>
        <w:pageBreakBefore w:val="0"/>
        <w:widowControl w:val="0"/>
        <w:tabs>
          <w:tab w:val="left" w:pos="0"/>
        </w:tabs>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lang w:val="en-US" w:eastAsia="zh-CN"/>
          <w14:textFill>
            <w14:solidFill>
              <w14:schemeClr w14:val="tx1"/>
            </w14:solidFill>
          </w14:textFill>
        </w:rPr>
        <w:t>4、</w:t>
      </w:r>
      <w:r>
        <w:rPr>
          <w:rFonts w:hint="default" w:ascii="Times New Roman" w:hAnsi="Times New Roman" w:cs="Times New Roman"/>
          <w:b/>
          <w:bCs/>
          <w:color w:val="000000" w:themeColor="text1"/>
          <w:szCs w:val="24"/>
          <w:highlight w:val="none"/>
          <w14:textFill>
            <w14:solidFill>
              <w14:schemeClr w14:val="tx1"/>
            </w14:solidFill>
          </w14:textFill>
        </w:rPr>
        <w:t>与《宣汉县矿产资源总体规划（2021</w:t>
      </w:r>
      <w:r>
        <w:rPr>
          <w:rFonts w:hint="default" w:ascii="Times New Roman" w:hAnsi="Times New Roman" w:cs="Times New Roman"/>
          <w:b/>
          <w:bCs/>
          <w:color w:val="000000" w:themeColor="text1"/>
          <w:szCs w:val="24"/>
          <w:highlight w:val="none"/>
          <w:lang w:eastAsia="zh-CN"/>
          <w14:textFill>
            <w14:solidFill>
              <w14:schemeClr w14:val="tx1"/>
            </w14:solidFill>
          </w14:textFill>
        </w:rPr>
        <w:t>—</w:t>
      </w:r>
      <w:r>
        <w:rPr>
          <w:rFonts w:hint="default" w:ascii="Times New Roman" w:hAnsi="Times New Roman" w:cs="Times New Roman"/>
          <w:b/>
          <w:bCs/>
          <w:color w:val="000000" w:themeColor="text1"/>
          <w:szCs w:val="24"/>
          <w:highlight w:val="none"/>
          <w14:textFill>
            <w14:solidFill>
              <w14:schemeClr w14:val="tx1"/>
            </w14:solidFill>
          </w14:textFill>
        </w:rPr>
        <w:t>2025年）》的符合性分析</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本项目与《宣汉县矿产资源总体规划（2021</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2025年）》符合性分析见下表。</w:t>
      </w:r>
    </w:p>
    <w:p>
      <w:pPr>
        <w:widowControl/>
        <w:tabs>
          <w:tab w:val="left" w:pos="863"/>
        </w:tabs>
        <w:adjustRightInd/>
        <w:snapToGrid/>
        <w:spacing w:line="240" w:lineRule="auto"/>
        <w:ind w:firstLine="0" w:firstLineChars="0"/>
        <w:jc w:val="center"/>
        <w:rPr>
          <w:rFonts w:hint="default" w:ascii="Times New Roman" w:hAnsi="Times New Roman" w:eastAsia="黑体" w:cs="Times New Roman"/>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表</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fldChar w:fldCharType="begin"/>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instrText xml:space="preserve"> STYLEREF 2 \s </w:instrTex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2.7</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fldChar w:fldCharType="end"/>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noBreakHyphen/>
      </w:r>
      <w:r>
        <w:rPr>
          <w:rFonts w:hint="eastAsia" w:eastAsia="黑体" w:cs="Times New Roman"/>
          <w:color w:val="000000" w:themeColor="text1"/>
          <w:kern w:val="0"/>
          <w:sz w:val="21"/>
          <w:szCs w:val="21"/>
          <w:highlight w:val="none"/>
          <w:lang w:val="en-US" w:eastAsia="zh-CN"/>
          <w14:textFill>
            <w14:solidFill>
              <w14:schemeClr w14:val="tx1"/>
            </w14:solidFill>
          </w14:textFill>
        </w:rPr>
        <w:t>7</w:t>
      </w:r>
      <w:r>
        <w:rPr>
          <w:rFonts w:hint="eastAsia" w:ascii="Times New Roman" w:hAnsi="Times New Roman" w:eastAsia="黑体" w:cs="Times New Roman"/>
          <w:color w:val="000000" w:themeColor="text1"/>
          <w:kern w:val="0"/>
          <w:sz w:val="21"/>
          <w:szCs w:val="21"/>
          <w:highlight w:val="none"/>
          <w:lang w:val="en-US" w:eastAsia="zh-CN"/>
          <w14:textFill>
            <w14:solidFill>
              <w14:schemeClr w14:val="tx1"/>
            </w14:solidFill>
          </w14:textFill>
        </w:rPr>
        <w:t xml:space="preserve">   </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 xml:space="preserve"> 与《宣汉县矿产资源总体规划（2021</w:t>
      </w:r>
      <w:r>
        <w:rPr>
          <w:rFonts w:hint="default" w:ascii="Times New Roman" w:hAnsi="Times New Roman" w:eastAsia="黑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2025年）》符合性分析表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367"/>
        <w:gridCol w:w="2176"/>
        <w:gridCol w:w="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b/>
                <w:bCs/>
                <w:color w:val="000000" w:themeColor="text1"/>
                <w:sz w:val="21"/>
                <w:szCs w:val="20"/>
                <w:highlight w:val="none"/>
                <w14:textFill>
                  <w14:solidFill>
                    <w14:schemeClr w14:val="tx1"/>
                  </w14:solidFill>
                </w14:textFill>
              </w:rPr>
            </w:pPr>
            <w:r>
              <w:rPr>
                <w:rFonts w:hint="default" w:ascii="Times New Roman" w:hAnsi="Times New Roman" w:cs="Times New Roman"/>
                <w:b/>
                <w:bCs/>
                <w:color w:val="000000" w:themeColor="text1"/>
                <w:sz w:val="21"/>
                <w:szCs w:val="20"/>
                <w:highlight w:val="none"/>
                <w14:textFill>
                  <w14:solidFill>
                    <w14:schemeClr w14:val="tx1"/>
                  </w14:solidFill>
                </w14:textFill>
              </w:rPr>
              <w:t>文件内容</w:t>
            </w:r>
          </w:p>
        </w:tc>
        <w:tc>
          <w:tcPr>
            <w:tcW w:w="1292"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b/>
                <w:bCs/>
                <w:color w:val="000000" w:themeColor="text1"/>
                <w:sz w:val="21"/>
                <w:szCs w:val="20"/>
                <w:highlight w:val="none"/>
                <w14:textFill>
                  <w14:solidFill>
                    <w14:schemeClr w14:val="tx1"/>
                  </w14:solidFill>
                </w14:textFill>
              </w:rPr>
            </w:pPr>
            <w:r>
              <w:rPr>
                <w:rFonts w:hint="default" w:ascii="Times New Roman" w:hAnsi="Times New Roman" w:cs="Times New Roman"/>
                <w:b/>
                <w:bCs/>
                <w:color w:val="000000" w:themeColor="text1"/>
                <w:sz w:val="21"/>
                <w:szCs w:val="20"/>
                <w:highlight w:val="none"/>
                <w14:textFill>
                  <w14:solidFill>
                    <w14:schemeClr w14:val="tx1"/>
                  </w14:solidFill>
                </w14:textFill>
              </w:rPr>
              <w:t>本项目情况</w:t>
            </w:r>
          </w:p>
        </w:tc>
        <w:tc>
          <w:tcPr>
            <w:tcW w:w="521"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b/>
                <w:bCs/>
                <w:color w:val="000000" w:themeColor="text1"/>
                <w:sz w:val="21"/>
                <w:szCs w:val="20"/>
                <w:highlight w:val="none"/>
                <w14:textFill>
                  <w14:solidFill>
                    <w14:schemeClr w14:val="tx1"/>
                  </w14:solidFill>
                </w14:textFill>
              </w:rPr>
            </w:pPr>
            <w:r>
              <w:rPr>
                <w:rFonts w:hint="default" w:ascii="Times New Roman" w:hAnsi="Times New Roman" w:cs="Times New Roman"/>
                <w:b/>
                <w:bCs/>
                <w:color w:val="000000" w:themeColor="text1"/>
                <w:sz w:val="21"/>
                <w:szCs w:val="20"/>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2035年，实现页岩气找矿重大突破，建成全国首个深部卤水锂钾综合开发示范产业园，打造天然气、锂钾等千亿级特色产业集群。</w:t>
            </w:r>
          </w:p>
        </w:tc>
        <w:tc>
          <w:tcPr>
            <w:tcW w:w="1292" w:type="pct"/>
            <w:vMerge w:val="restart"/>
            <w:tcMar>
              <w:left w:w="57" w:type="dxa"/>
              <w:right w:w="57" w:type="dxa"/>
            </w:tcMar>
            <w:vAlign w:val="center"/>
          </w:tcPr>
          <w:p>
            <w:pPr>
              <w:widowControl/>
              <w:spacing w:line="240" w:lineRule="auto"/>
              <w:ind w:firstLine="0" w:firstLineChars="0"/>
              <w:jc w:val="center"/>
              <w:rPr>
                <w:rFonts w:hint="eastAsia" w:ascii="Times New Roman" w:hAnsi="Times New Roman" w:eastAsia="宋体" w:cs="Times New Roman"/>
                <w:color w:val="000000" w:themeColor="text1"/>
                <w:sz w:val="21"/>
                <w:szCs w:val="20"/>
                <w:highlight w:val="none"/>
                <w:lang w:eastAsia="zh-CN"/>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本项目属于天然气勘探试采项目，位于宣汉县，属于有助于宣汉县境内提升天然气资源综合利用水平的项目</w:t>
            </w:r>
            <w:r>
              <w:rPr>
                <w:rFonts w:hint="eastAsia" w:cs="Times New Roman"/>
                <w:color w:val="000000" w:themeColor="text1"/>
                <w:sz w:val="21"/>
                <w:szCs w:val="20"/>
                <w:highlight w:val="none"/>
                <w:lang w:eastAsia="zh-CN"/>
                <w14:textFill>
                  <w14:solidFill>
                    <w14:schemeClr w14:val="tx1"/>
                  </w14:solidFill>
                </w14:textFill>
              </w:rPr>
              <w:t>。</w:t>
            </w:r>
          </w:p>
        </w:tc>
        <w:tc>
          <w:tcPr>
            <w:tcW w:w="521"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重点勘查矿种：天然气、钾盐和地热。争取财政投资勘查的同时，引导社会资金投入，争取实现找矿突破。</w:t>
            </w:r>
          </w:p>
        </w:tc>
        <w:tc>
          <w:tcPr>
            <w:tcW w:w="1292" w:type="pct"/>
            <w:vMerge w:val="continue"/>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充分发挥服务和监督管理职能，积极落实省、市安排宣汉县的矿产地质调查和资源潜力评价工作，主攻矿种为天然气、杂卤石型钾盐和地热，圈定找矿靶区和新发现矿产地。</w:t>
            </w:r>
          </w:p>
        </w:tc>
        <w:tc>
          <w:tcPr>
            <w:tcW w:w="1292" w:type="pct"/>
            <w:vMerge w:val="continue"/>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重点开采矿种：天然气、地热及钾盐。在符合准入条件下，优先出让采矿权，适度扩大开发规模，提高资源供应能力。天然气采矿权出让及开采应符合国家相关管控要求。</w:t>
            </w:r>
          </w:p>
        </w:tc>
        <w:tc>
          <w:tcPr>
            <w:tcW w:w="1292" w:type="pct"/>
            <w:vMerge w:val="continue"/>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hint="default" w:ascii="Times New Roman" w:hAnsi="Times New Roman" w:cs="Times New Roman"/>
                <w:color w:val="000000" w:themeColor="text1"/>
                <w:sz w:val="21"/>
                <w:szCs w:val="20"/>
                <w:highlight w:val="none"/>
                <w14:textFill>
                  <w14:solidFill>
                    <w14:schemeClr w14:val="tx1"/>
                  </w14:solidFill>
                </w14:textFill>
              </w:rPr>
            </w:pPr>
            <w:bookmarkStart w:id="67" w:name="_Hlk90924525"/>
            <w:r>
              <w:rPr>
                <w:rFonts w:hint="default" w:ascii="Times New Roman" w:hAnsi="Times New Roman" w:cs="Times New Roman"/>
                <w:color w:val="000000" w:themeColor="text1"/>
                <w:sz w:val="21"/>
                <w:szCs w:val="20"/>
                <w:highlight w:val="none"/>
                <w14:textFill>
                  <w14:solidFill>
                    <w14:schemeClr w14:val="tx1"/>
                  </w14:solidFill>
                </w14:textFill>
              </w:rPr>
              <w:t>规划期内，落实四川省安排宣汉县的重点矿种矿产资源调查工程：川南、川东北煤层气调查评价</w:t>
            </w:r>
            <w:bookmarkEnd w:id="67"/>
          </w:p>
        </w:tc>
        <w:tc>
          <w:tcPr>
            <w:tcW w:w="1292" w:type="pct"/>
            <w:vMerge w:val="continue"/>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稳定推进天然气、钾盐矿产资源勘查，加强矿区外围及深部找矿工作，加强富锂卤水综合利用攻关，提升共伴生矿产综合利用水平。</w:t>
            </w:r>
          </w:p>
        </w:tc>
        <w:tc>
          <w:tcPr>
            <w:tcW w:w="1292" w:type="pct"/>
            <w:vMerge w:val="continue"/>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实施上级落实宣汉县油气资源调查评价，对区域内天然气成因、物性、分布、规模、质量、演化规律、开发利用条件、经济价值及其在国民经济、社会公益事业中的地位和作用等方面进行的全方位分析、评估和预测。</w:t>
            </w:r>
          </w:p>
        </w:tc>
        <w:tc>
          <w:tcPr>
            <w:tcW w:w="1292" w:type="pct"/>
            <w:vMerge w:val="continue"/>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中部能源化工勘查开发区。包括宣汉县、开江县。加强天然气、页岩气勘探开发，提升天然气资源综合利用水平</w:t>
            </w:r>
          </w:p>
        </w:tc>
        <w:tc>
          <w:tcPr>
            <w:tcW w:w="1292" w:type="pct"/>
            <w:vMerge w:val="continue"/>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hint="default" w:ascii="Times New Roman" w:hAnsi="Times New Roman" w:cs="Times New Roman"/>
                <w:color w:val="000000" w:themeColor="text1"/>
                <w:sz w:val="21"/>
                <w:szCs w:val="20"/>
                <w:highlight w:val="none"/>
                <w14:textFill>
                  <w14:solidFill>
                    <w14:schemeClr w14:val="tx1"/>
                  </w14:solidFill>
                </w14:textFill>
              </w:rPr>
            </w:pPr>
            <w:r>
              <w:rPr>
                <w:rFonts w:hint="default" w:ascii="Times New Roman" w:hAnsi="Times New Roman" w:cs="Times New Roman"/>
                <w:color w:val="000000" w:themeColor="text1"/>
                <w:sz w:val="21"/>
                <w:szCs w:val="20"/>
                <w:highlight w:val="none"/>
                <w14:textFill>
                  <w14:solidFill>
                    <w14:schemeClr w14:val="tx1"/>
                  </w14:solidFill>
                </w14:textFill>
              </w:rPr>
              <w:t>符合</w:t>
            </w:r>
          </w:p>
        </w:tc>
      </w:tr>
    </w:tbl>
    <w:p>
      <w:pPr>
        <w:ind w:firstLine="482"/>
        <w:rPr>
          <w:rFonts w:hint="default" w:ascii="Times New Roman" w:hAnsi="Times New Roman" w:cs="Times New Roman"/>
          <w:b/>
          <w:bCs/>
          <w:color w:val="000000" w:themeColor="text1"/>
          <w:highlight w:val="none"/>
          <w14:textFill>
            <w14:solidFill>
              <w14:schemeClr w14:val="tx1"/>
            </w14:solidFill>
          </w14:textFill>
        </w:rPr>
      </w:pPr>
    </w:p>
    <w:p>
      <w:pPr>
        <w:pStyle w:val="5"/>
        <w:pageBreakBefore w:val="0"/>
        <w:numPr>
          <w:ilvl w:val="3"/>
          <w:numId w:val="0"/>
        </w:numPr>
        <w:kinsoku/>
        <w:wordWrap/>
        <w:overflowPunct/>
        <w:topLinePunct w:val="0"/>
        <w:autoSpaceDE/>
        <w:autoSpaceDN/>
        <w:bidi w:val="0"/>
        <w:adjustRightInd w:val="0"/>
        <w:snapToGrid w:val="0"/>
        <w:spacing w:before="0" w:beforeLines="0"/>
        <w:ind w:leftChars="200"/>
        <w:textAlignment w:val="auto"/>
        <w:rPr>
          <w:rFonts w:hint="default" w:ascii="Times New Roman" w:hAnsi="Times New Roman" w:cs="Times New Roman"/>
          <w:color w:val="000000" w:themeColor="text1"/>
          <w:highlight w:val="none"/>
          <w:lang w:val="en-US"/>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2.7.6</w:t>
      </w:r>
      <w:r>
        <w:rPr>
          <w:rFonts w:hint="default" w:ascii="Times New Roman" w:hAnsi="Times New Roman" w:cs="Times New Roman"/>
          <w:color w:val="000000" w:themeColor="text1"/>
          <w:highlight w:val="none"/>
          <w14:textFill>
            <w14:solidFill>
              <w14:schemeClr w14:val="tx1"/>
            </w14:solidFill>
          </w14:textFill>
        </w:rPr>
        <w:t>与</w:t>
      </w:r>
      <w:r>
        <w:rPr>
          <w:rFonts w:hint="eastAsia" w:cs="Times New Roman"/>
          <w:color w:val="000000" w:themeColor="text1"/>
          <w:highlight w:val="none"/>
          <w:lang w:val="en-US" w:eastAsia="zh-CN"/>
          <w14:textFill>
            <w14:solidFill>
              <w14:schemeClr w14:val="tx1"/>
            </w14:solidFill>
          </w14:textFill>
        </w:rPr>
        <w:t>项目有关的区块及站场的符合性分析</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1、普光气田主体部分环保手续情况</w:t>
      </w:r>
    </w:p>
    <w:p>
      <w:pPr>
        <w:pStyle w:val="250"/>
        <w:pageBreakBefore w:val="0"/>
        <w:widowControl w:val="0"/>
        <w:kinsoku/>
        <w:wordWrap/>
        <w:overflowPunct/>
        <w:topLinePunct w:val="0"/>
        <w:autoSpaceDE/>
        <w:autoSpaceDN/>
        <w:bidi w:val="0"/>
        <w:adjustRightInd w:val="0"/>
        <w:snapToGrid w:val="0"/>
        <w:ind w:firstLine="480"/>
        <w:textAlignment w:val="auto"/>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1</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环评、补充环评及验收</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2007年中国石油化工股份有限公司中原油田分公司委托北京师范大学环境科学研究所编制完成了《中国石化普光气田开发及川气东送管道工程环境影响报告书》，2007年12月14日取得原国家环境保护总局《关于中国石化普光气田开发及川气东送管道工程环境影响报告书的批复》（环审〔2007〕76号）</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2012年《中国石化普光气田开发及川气东送管道工程环境影响补充报告书》经原环保部审批（环审〔20</w:t>
      </w:r>
      <w:r>
        <w:rPr>
          <w:rFonts w:hint="eastAsia" w:cs="Times New Roman"/>
          <w:color w:val="000000" w:themeColor="text1"/>
          <w:highlight w:val="none"/>
          <w:lang w:val="en-US" w:eastAsia="zh-CN"/>
          <w14:textFill>
            <w14:solidFill>
              <w14:schemeClr w14:val="tx1"/>
            </w14:solidFill>
          </w14:textFill>
        </w:rPr>
        <w:t>12</w:t>
      </w:r>
      <w:r>
        <w:rPr>
          <w:rFonts w:hint="default" w:ascii="Times New Roman" w:hAnsi="Times New Roman" w:cs="Times New Roman"/>
          <w:color w:val="000000" w:themeColor="text1"/>
          <w:highlight w:val="none"/>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208</w:t>
      </w:r>
      <w:r>
        <w:rPr>
          <w:rFonts w:hint="default" w:ascii="Times New Roman" w:hAnsi="Times New Roman" w:cs="Times New Roman"/>
          <w:color w:val="000000" w:themeColor="text1"/>
          <w:highlight w:val="none"/>
          <w14:textFill>
            <w14:solidFill>
              <w14:schemeClr w14:val="tx1"/>
            </w14:solidFill>
          </w14:textFill>
        </w:rPr>
        <w:t>号）</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2013年以</w:t>
      </w:r>
      <w:r>
        <w:rPr>
          <w:rFonts w:hint="default" w:ascii="Times New Roman" w:hAnsi="Times New Roman" w:cs="Times New Roman"/>
          <w:color w:val="000000" w:themeColor="text1"/>
          <w:highlight w:val="none"/>
          <w14:textFill>
            <w14:solidFill>
              <w14:schemeClr w14:val="tx1"/>
            </w14:solidFill>
          </w14:textFill>
        </w:rPr>
        <w:t>环</w:t>
      </w:r>
      <w:r>
        <w:rPr>
          <w:rFonts w:hint="eastAsia" w:cs="Times New Roman"/>
          <w:color w:val="000000" w:themeColor="text1"/>
          <w:highlight w:val="none"/>
          <w:lang w:val="en-US" w:eastAsia="zh-CN"/>
          <w14:textFill>
            <w14:solidFill>
              <w14:schemeClr w14:val="tx1"/>
            </w14:solidFill>
          </w14:textFill>
        </w:rPr>
        <w:t>验</w:t>
      </w:r>
      <w:r>
        <w:rPr>
          <w:rFonts w:hint="default" w:ascii="Times New Roman" w:hAnsi="Times New Roman" w:cs="Times New Roman"/>
          <w:color w:val="000000" w:themeColor="text1"/>
          <w:highlight w:val="none"/>
          <w14:textFill>
            <w14:solidFill>
              <w14:schemeClr w14:val="tx1"/>
            </w14:solidFill>
          </w14:textFill>
        </w:rPr>
        <w:t>〔20</w:t>
      </w:r>
      <w:r>
        <w:rPr>
          <w:rFonts w:hint="eastAsia" w:cs="Times New Roman"/>
          <w:color w:val="000000" w:themeColor="text1"/>
          <w:highlight w:val="none"/>
          <w:lang w:val="en-US" w:eastAsia="zh-CN"/>
          <w14:textFill>
            <w14:solidFill>
              <w14:schemeClr w14:val="tx1"/>
            </w14:solidFill>
          </w14:textFill>
        </w:rPr>
        <w:t>13</w:t>
      </w:r>
      <w:r>
        <w:rPr>
          <w:rFonts w:hint="default" w:ascii="Times New Roman" w:hAnsi="Times New Roman" w:cs="Times New Roman"/>
          <w:color w:val="000000" w:themeColor="text1"/>
          <w:highlight w:val="none"/>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92</w:t>
      </w:r>
      <w:r>
        <w:rPr>
          <w:rFonts w:hint="default" w:ascii="Times New Roman" w:hAnsi="Times New Roman" w:cs="Times New Roman"/>
          <w:color w:val="000000" w:themeColor="text1"/>
          <w:highlight w:val="none"/>
          <w14:textFill>
            <w14:solidFill>
              <w14:schemeClr w14:val="tx1"/>
            </w14:solidFill>
          </w14:textFill>
        </w:rPr>
        <w:t>号</w:t>
      </w:r>
      <w:r>
        <w:rPr>
          <w:rFonts w:hint="eastAsia" w:cs="Times New Roman"/>
          <w:color w:val="000000" w:themeColor="text1"/>
          <w:highlight w:val="none"/>
          <w:lang w:val="en-US" w:eastAsia="zh-CN"/>
          <w14:textFill>
            <w14:solidFill>
              <w14:schemeClr w14:val="tx1"/>
            </w14:solidFill>
          </w14:textFill>
        </w:rPr>
        <w:t>取得了原环保部的验收意见。</w:t>
      </w:r>
    </w:p>
    <w:p>
      <w:pPr>
        <w:pStyle w:val="250"/>
        <w:pageBreakBefore w:val="0"/>
        <w:widowControl w:val="0"/>
        <w:kinsoku/>
        <w:wordWrap/>
        <w:overflowPunct/>
        <w:topLinePunct w:val="0"/>
        <w:autoSpaceDE/>
        <w:autoSpaceDN/>
        <w:bidi w:val="0"/>
        <w:adjustRightInd w:val="0"/>
        <w:snapToGrid w:val="0"/>
        <w:ind w:firstLine="480"/>
        <w:textAlignment w:val="auto"/>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2</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后评价</w:t>
      </w:r>
    </w:p>
    <w:p>
      <w:pPr>
        <w:pStyle w:val="250"/>
        <w:pageBreakBefore w:val="0"/>
        <w:widowControl w:val="0"/>
        <w:kinsoku/>
        <w:wordWrap/>
        <w:overflowPunct/>
        <w:topLinePunct w:val="0"/>
        <w:autoSpaceDE/>
        <w:autoSpaceDN/>
        <w:bidi w:val="0"/>
        <w:adjustRightInd w:val="0"/>
        <w:snapToGrid w:val="0"/>
        <w:ind w:firstLine="480"/>
        <w:textAlignment w:val="auto"/>
        <w:rPr>
          <w:rFonts w:hint="default" w:cs="Times New Roman"/>
          <w:color w:val="000000" w:themeColor="text1"/>
          <w:highlight w:val="none"/>
          <w:lang w:val="en-US" w:eastAsia="zh-CN"/>
          <w14:textFill>
            <w14:solidFill>
              <w14:schemeClr w14:val="tx1"/>
            </w14:solidFill>
          </w14:textFill>
        </w:rPr>
      </w:pPr>
      <w:r>
        <w:rPr>
          <w:rFonts w:hint="default" w:cs="Times New Roman"/>
          <w:color w:val="000000" w:themeColor="text1"/>
          <w:highlight w:val="none"/>
          <w:lang w:val="en-US" w:eastAsia="zh-CN"/>
          <w14:textFill>
            <w14:solidFill>
              <w14:schemeClr w14:val="tx1"/>
            </w14:solidFill>
          </w14:textFill>
        </w:rPr>
        <w:t>2018年6月，中原油田普光分公司组织开展了普光气田开发工程环境影响后评价，明确了普光气田主体区块的建设内容和建设进度，后评价报告在生态环境部进行</w:t>
      </w:r>
      <w:r>
        <w:rPr>
          <w:rFonts w:hint="eastAsia" w:cs="Times New Roman"/>
          <w:color w:val="000000" w:themeColor="text1"/>
          <w:highlight w:val="none"/>
          <w:lang w:val="en-US" w:eastAsia="zh-CN"/>
          <w14:textFill>
            <w14:solidFill>
              <w14:schemeClr w14:val="tx1"/>
            </w14:solidFill>
          </w14:textFill>
        </w:rPr>
        <w:t>了</w:t>
      </w:r>
      <w:r>
        <w:rPr>
          <w:rFonts w:hint="default" w:cs="Times New Roman"/>
          <w:color w:val="000000" w:themeColor="text1"/>
          <w:highlight w:val="none"/>
          <w:lang w:val="en-US" w:eastAsia="zh-CN"/>
          <w14:textFill>
            <w14:solidFill>
              <w14:schemeClr w14:val="tx1"/>
            </w14:solidFill>
          </w14:textFill>
        </w:rPr>
        <w:t>备案</w:t>
      </w:r>
      <w:r>
        <w:rPr>
          <w:rFonts w:hint="eastAsia" w:cs="Times New Roman"/>
          <w:color w:val="000000" w:themeColor="text1"/>
          <w:highlight w:val="none"/>
          <w:lang w:val="en-US" w:eastAsia="zh-CN"/>
          <w14:textFill>
            <w14:solidFill>
              <w14:schemeClr w14:val="tx1"/>
            </w14:solidFill>
          </w14:textFill>
        </w:rPr>
        <w:t>。</w:t>
      </w:r>
    </w:p>
    <w:p>
      <w:pPr>
        <w:pStyle w:val="250"/>
        <w:pageBreakBefore w:val="0"/>
        <w:widowControl w:val="0"/>
        <w:kinsoku/>
        <w:wordWrap/>
        <w:overflowPunct/>
        <w:topLinePunct w:val="0"/>
        <w:autoSpaceDE/>
        <w:autoSpaceDN/>
        <w:bidi w:val="0"/>
        <w:adjustRightInd w:val="0"/>
        <w:snapToGrid w:val="0"/>
        <w:ind w:firstLine="480"/>
        <w:textAlignment w:val="auto"/>
        <w:rPr>
          <w:rFonts w:hint="eastAsia"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2、依托的P106集气井环保手续情况</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施工建设及天然气外输依托的P106集气站为原国家环境保护总局出具的《关于中国石化普光气田开发及川气东送管道工程环境影响报告书的批复》（环审〔2007〕76号）中批复的建设内容，并在2015年环境保护部以环验〔2015〕124号文《关于中国石化普光气田开发工程竣工环境保护验收合格的函》通过竣工环保验收。</w:t>
      </w:r>
    </w:p>
    <w:p>
      <w:pPr>
        <w:pStyle w:val="250"/>
        <w:pageBreakBefore w:val="0"/>
        <w:widowControl w:val="0"/>
        <w:kinsoku/>
        <w:wordWrap/>
        <w:overflowPunct/>
        <w:topLinePunct w:val="0"/>
        <w:autoSpaceDE/>
        <w:autoSpaceDN/>
        <w:bidi w:val="0"/>
        <w:adjustRightInd w:val="0"/>
        <w:snapToGrid w:val="0"/>
        <w:ind w:firstLine="480"/>
        <w:textAlignment w:val="auto"/>
        <w:rPr>
          <w:rFonts w:hint="default"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3、符合性分析</w:t>
      </w:r>
    </w:p>
    <w:p>
      <w:pPr>
        <w:pStyle w:val="250"/>
        <w:pageBreakBefore w:val="0"/>
        <w:widowControl w:val="0"/>
        <w:kinsoku/>
        <w:wordWrap/>
        <w:overflowPunct/>
        <w:topLinePunct w:val="0"/>
        <w:autoSpaceDE/>
        <w:autoSpaceDN/>
        <w:bidi w:val="0"/>
        <w:adjustRightInd w:val="0"/>
        <w:snapToGrid w:val="0"/>
        <w:ind w:firstLine="480"/>
        <w:textAlignment w:val="auto"/>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（1）本项目与普光气田主体的关系及与其区块环评的符合性</w:t>
      </w:r>
    </w:p>
    <w:p>
      <w:pPr>
        <w:pageBreakBefore w:val="0"/>
        <w:widowControl w:val="0"/>
        <w:kinsoku/>
        <w:wordWrap/>
        <w:overflowPunct/>
        <w:topLinePunct w:val="0"/>
        <w:autoSpaceDE w:val="0"/>
        <w:autoSpaceDN w:val="0"/>
        <w:bidi w:val="0"/>
        <w:adjustRightInd w:val="0"/>
        <w:snapToGrid w:val="0"/>
        <w:spacing w:line="360" w:lineRule="auto"/>
        <w:ind w:left="0" w:firstLine="480"/>
        <w:textAlignment w:val="auto"/>
        <w:rPr>
          <w:rFonts w:hint="eastAsia"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t>本次拟侧钻的老井P106-2井位于P106集气站内，属于普光主体区域内的普光3区块，查阅了《中国石化普光气田开发及川气东送管道工程环境影响报告书》（以下称“报告书”），本项目所涉及的老井场老井P106-2井（含P106集气站）属于《报告书》评价内容。</w:t>
      </w:r>
      <w:r>
        <w:rPr>
          <w:rFonts w:hint="eastAsia" w:cs="Times New Roman"/>
          <w:color w:val="000000" w:themeColor="text1"/>
          <w:highlight w:val="none"/>
          <w:lang w:val="en-US" w:eastAsia="zh-CN"/>
          <w14:textFill>
            <w14:solidFill>
              <w14:schemeClr w14:val="tx1"/>
            </w14:solidFill>
          </w14:textFill>
        </w:rPr>
        <w:t>由于项目所在区域属于高含硫气田，其地质结构较为复杂，且目前对项目所在区域产能储量仍未探明，故中国石油化工股份有限公司中原油田普光分公司拟在该区域部署实验性探井1口进行试采（即本项目），探明后为普光主体区块进一步整体开发做准备。该探井未在普光气田主体环评（即</w:t>
      </w:r>
      <w:r>
        <w:rPr>
          <w:rFonts w:hint="default" w:ascii="Times New Roman" w:hAnsi="Times New Roman" w:cs="Times New Roman"/>
          <w:color w:val="000000" w:themeColor="text1"/>
          <w:highlight w:val="none"/>
          <w14:textFill>
            <w14:solidFill>
              <w14:schemeClr w14:val="tx1"/>
            </w14:solidFill>
          </w14:textFill>
        </w:rPr>
        <w:t>《中国石化普光气田开发及川气东送管道工程环境影响报告书》</w:t>
      </w:r>
      <w:r>
        <w:rPr>
          <w:rFonts w:hint="eastAsia" w:cs="Times New Roman"/>
          <w:color w:val="000000" w:themeColor="text1"/>
          <w:highlight w:val="none"/>
          <w:lang w:val="en-US" w:eastAsia="zh-CN"/>
          <w14:textFill>
            <w14:solidFill>
              <w14:schemeClr w14:val="tx1"/>
            </w14:solidFill>
          </w14:textFill>
        </w:rPr>
        <w:t>）中未进行评价，根据该《报告书》的要求：“气田后续开发过程中，如新增加建设项目，应当按照国家有关规定开展相应的环境影响评价工作”，本次评价即为对本项目进行评价。</w:t>
      </w:r>
    </w:p>
    <w:p>
      <w:pPr>
        <w:pStyle w:val="250"/>
        <w:pageBreakBefore w:val="0"/>
        <w:widowControl w:val="0"/>
        <w:kinsoku/>
        <w:wordWrap/>
        <w:overflowPunct/>
        <w:topLinePunct w:val="0"/>
        <w:autoSpaceDE/>
        <w:autoSpaceDN/>
        <w:bidi w:val="0"/>
        <w:adjustRightInd w:val="0"/>
        <w:snapToGrid w:val="0"/>
        <w:ind w:firstLine="480"/>
        <w:textAlignment w:val="auto"/>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（2）回注符合性分析</w:t>
      </w:r>
    </w:p>
    <w:p>
      <w:pPr>
        <w:pStyle w:val="250"/>
        <w:pageBreakBefore w:val="0"/>
        <w:widowControl w:val="0"/>
        <w:kinsoku/>
        <w:wordWrap/>
        <w:overflowPunct/>
        <w:topLinePunct w:val="0"/>
        <w:autoSpaceDE/>
        <w:autoSpaceDN/>
        <w:bidi w:val="0"/>
        <w:adjustRightInd w:val="0"/>
        <w:snapToGrid w:val="0"/>
        <w:spacing w:line="360" w:lineRule="auto"/>
        <w:ind w:leftChars="0" w:firstLine="480"/>
        <w:textAlignment w:val="auto"/>
        <w:rPr>
          <w:rFonts w:hint="default"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根据</w:t>
      </w:r>
      <w:r>
        <w:rPr>
          <w:rFonts w:hint="default" w:ascii="Times New Roman" w:hAnsi="Times New Roman" w:cs="Times New Roman"/>
          <w:color w:val="000000" w:themeColor="text1"/>
          <w:highlight w:val="none"/>
          <w14:textFill>
            <w14:solidFill>
              <w14:schemeClr w14:val="tx1"/>
            </w14:solidFill>
          </w14:textFill>
        </w:rPr>
        <w:t>《中国石化普光气田开发及川气东送管道工程环境影响补充报告书》</w:t>
      </w:r>
      <w:r>
        <w:rPr>
          <w:rFonts w:hint="eastAsia" w:cs="Times New Roman"/>
          <w:color w:val="000000" w:themeColor="text1"/>
          <w:highlight w:val="none"/>
          <w:lang w:val="en-US" w:eastAsia="zh-CN"/>
          <w14:textFill>
            <w14:solidFill>
              <w14:schemeClr w14:val="tx1"/>
            </w14:solidFill>
          </w14:textFill>
        </w:rPr>
        <w:t>批复意见，由于须家河组一、三、五段含煤层是当地重要煤炭资源，须家河组不再作为污水回注层，普光气田可用回注井为大湾3井和普光11井。本项目废水经处理达标后送至普光11井进行回注，符合相关要求。</w:t>
      </w:r>
    </w:p>
    <w:p>
      <w:pPr>
        <w:pStyle w:val="5"/>
        <w:keepNext/>
        <w:keepLines/>
        <w:pageBreakBefore w:val="0"/>
        <w:widowControl w:val="0"/>
        <w:numPr>
          <w:ilvl w:val="3"/>
          <w:numId w:val="0"/>
        </w:numPr>
        <w:kinsoku/>
        <w:wordWrap/>
        <w:overflowPunct/>
        <w:topLinePunct w:val="0"/>
        <w:autoSpaceDE/>
        <w:autoSpaceDN/>
        <w:bidi w:val="0"/>
        <w:adjustRightInd w:val="0"/>
        <w:snapToGrid w:val="0"/>
        <w:spacing w:before="0" w:beforeLines="0" w:line="360" w:lineRule="auto"/>
        <w:ind w:leftChars="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2.7.6</w:t>
      </w:r>
      <w:r>
        <w:rPr>
          <w:rFonts w:hint="default" w:ascii="Times New Roman" w:hAnsi="Times New Roman" w:cs="Times New Roman"/>
          <w:color w:val="000000" w:themeColor="text1"/>
          <w:highlight w:val="none"/>
          <w14:textFill>
            <w14:solidFill>
              <w14:schemeClr w14:val="tx1"/>
            </w14:solidFill>
          </w14:textFill>
        </w:rPr>
        <w:t>与环保政策及规定的符合性分析</w:t>
      </w:r>
    </w:p>
    <w:p>
      <w:pPr>
        <w:pStyle w:val="201"/>
        <w:keepNext/>
        <w:keepLines w:val="0"/>
        <w:pageBreakBefore w:val="0"/>
        <w:widowControl/>
        <w:kinsoku/>
        <w:wordWrap/>
        <w:overflowPunct/>
        <w:topLinePunct w:val="0"/>
        <w:autoSpaceDE/>
        <w:autoSpaceDN/>
        <w:bidi w:val="0"/>
        <w:adjustRightInd w:val="0"/>
        <w:snapToGrid w:val="0"/>
        <w:spacing w:before="0" w:beforeLines="0" w:line="360" w:lineRule="auto"/>
        <w:ind w:leftChars="0" w:firstLine="482" w:firstLineChars="200"/>
        <w:jc w:val="left"/>
        <w:textAlignment w:val="baseline"/>
        <w:rPr>
          <w:rFonts w:hint="eastAsia" w:ascii="Times New Roman" w:hAnsi="Times New Roman" w:eastAsia="宋体" w:cs="Times New Roman"/>
          <w:b/>
          <w:bCs/>
          <w:color w:val="000000" w:themeColor="text1"/>
          <w:kern w:val="0"/>
          <w:sz w:val="24"/>
          <w:szCs w:val="20"/>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0"/>
          <w:highlight w:val="none"/>
          <w:lang w:val="en-US" w:eastAsia="zh-CN" w:bidi="ar-SA"/>
          <w14:textFill>
            <w14:solidFill>
              <w14:schemeClr w14:val="tx1"/>
            </w14:solidFill>
          </w14:textFill>
        </w:rPr>
        <w:t>1、与大气、水、土壤、噪声等相关的环保政策及文件符合性分析</w:t>
      </w:r>
    </w:p>
    <w:p>
      <w:pPr>
        <w:pStyle w:val="202"/>
        <w:pageBreakBefore w:val="0"/>
        <w:kinsoku/>
        <w:wordWrap/>
        <w:overflowPunct/>
        <w:topLinePunct w:val="0"/>
        <w:bidi w:val="0"/>
        <w:adjustRightInd w:val="0"/>
        <w:snapToGrid w:val="0"/>
        <w:spacing w:before="0" w:after="0" w:line="360" w:lineRule="auto"/>
        <w:ind w:leftChars="0"/>
        <w:jc w:val="left"/>
        <w:rPr>
          <w:rFonts w:hint="eastAsia" w:cs="Times New Roman"/>
          <w:color w:val="000000" w:themeColor="text1"/>
          <w:kern w:val="0"/>
          <w:sz w:val="24"/>
          <w:szCs w:val="20"/>
          <w:highlight w:val="none"/>
          <w:lang w:val="en-US" w:eastAsia="zh-CN" w:bidi="ar-SA"/>
          <w14:textFill>
            <w14:solidFill>
              <w14:schemeClr w14:val="tx1"/>
            </w14:solidFill>
          </w14:textFill>
        </w:rPr>
      </w:pPr>
      <w:r>
        <w:rPr>
          <w:rFonts w:hint="eastAsia" w:cs="Times New Roman"/>
          <w:color w:val="000000" w:themeColor="text1"/>
          <w:kern w:val="0"/>
          <w:sz w:val="24"/>
          <w:szCs w:val="20"/>
          <w:highlight w:val="none"/>
          <w:lang w:val="en-US" w:eastAsia="zh-CN" w:bidi="ar-SA"/>
          <w14:textFill>
            <w14:solidFill>
              <w14:schemeClr w14:val="tx1"/>
            </w14:solidFill>
          </w14:textFill>
        </w:rPr>
        <w:t>（1）与大气污染防治相关政策及文件符合性分析</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cs="Times New Roman"/>
          <w:color w:val="000000" w:themeColor="text1"/>
          <w:highlight w:val="none"/>
          <w:lang w:val="en-US" w:eastAsia="zh-CN"/>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t xml:space="preserve">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本项目与相关大气污染物防治规范符合性分析表</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592"/>
        <w:gridCol w:w="4113"/>
        <w:gridCol w:w="1760"/>
        <w:gridCol w:w="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法规、规范</w:t>
            </w:r>
          </w:p>
        </w:tc>
        <w:tc>
          <w:tcPr>
            <w:tcW w:w="4113" w:type="dxa"/>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相关要求</w:t>
            </w:r>
          </w:p>
        </w:tc>
        <w:tc>
          <w:tcPr>
            <w:tcW w:w="1760" w:type="dxa"/>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对照分析</w:t>
            </w:r>
          </w:p>
        </w:tc>
        <w:tc>
          <w:tcPr>
            <w:tcW w:w="755" w:type="dxa"/>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《中华人民共和国大气污染防治法》</w:t>
            </w:r>
          </w:p>
        </w:tc>
        <w:tc>
          <w:tcPr>
            <w:tcW w:w="4113" w:type="dxa"/>
            <w:vAlign w:val="center"/>
          </w:tcPr>
          <w:p>
            <w:pPr>
              <w:spacing w:line="240" w:lineRule="auto"/>
              <w:ind w:firstLine="0" w:firstLineChars="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①</w:t>
            </w:r>
            <w:r>
              <w:rPr>
                <w:rFonts w:hint="default" w:ascii="Times New Roman" w:hAnsi="Times New Roman" w:cs="Times New Roman"/>
                <w:color w:val="000000" w:themeColor="text1"/>
                <w:sz w:val="21"/>
                <w:szCs w:val="21"/>
                <w:highlight w:val="none"/>
                <w14:textFill>
                  <w14:solidFill>
                    <w14:schemeClr w14:val="tx1"/>
                  </w14:solidFill>
                </w14:textFill>
              </w:rPr>
              <w:t>施工单位应当在施工工地设置硬质围挡，并采取覆盖、分段作业、择时施工、洒水抑尘、冲洗地面和车辆等有效防尘降尘措施。建筑土方、工程渣土、建筑垃圾应当及时清运；在场地内堆存的，应当采用密闭式防尘网遮盖。工程渣土、建筑垃圾应当进行资源化处理。</w:t>
            </w:r>
          </w:p>
          <w:p>
            <w:pPr>
              <w:spacing w:line="240" w:lineRule="auto"/>
              <w:ind w:firstLine="0" w:firstLineChars="0"/>
              <w:jc w:val="left"/>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②</w:t>
            </w:r>
            <w:r>
              <w:rPr>
                <w:rFonts w:hint="default" w:ascii="Times New Roman" w:hAnsi="Times New Roman" w:cs="Times New Roman"/>
                <w:color w:val="000000" w:themeColor="text1"/>
                <w:sz w:val="21"/>
                <w:szCs w:val="21"/>
                <w:highlight w:val="none"/>
                <w14:textFill>
                  <w14:solidFill>
                    <w14:schemeClr w14:val="tx1"/>
                  </w14:solidFill>
                </w14:textFill>
              </w:rPr>
              <w:t>钢铁、建材、有色金属、石油、化工、制药、矿产开采等企业，应当加强精细化管理，采取集中收集处理等措施，严格控制粉尘和气态污染物的排放</w:t>
            </w:r>
            <w:r>
              <w:rPr>
                <w:rFonts w:hint="eastAsia" w:cs="Times New Roman"/>
                <w:color w:val="000000" w:themeColor="text1"/>
                <w:sz w:val="21"/>
                <w:szCs w:val="21"/>
                <w:highlight w:val="none"/>
                <w:lang w:eastAsia="zh-CN"/>
                <w14:textFill>
                  <w14:solidFill>
                    <w14:schemeClr w14:val="tx1"/>
                  </w14:solidFill>
                </w14:textFill>
              </w:rPr>
              <w:t>。</w:t>
            </w:r>
          </w:p>
        </w:tc>
        <w:tc>
          <w:tcPr>
            <w:tcW w:w="1760" w:type="dxa"/>
            <w:vAlign w:val="center"/>
          </w:tcPr>
          <w:p>
            <w:pPr>
              <w:spacing w:line="240" w:lineRule="auto"/>
              <w:ind w:firstLine="0" w:firstLineChars="0"/>
              <w:jc w:val="left"/>
              <w:rPr>
                <w:rFonts w:hint="eastAsia"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本项目钻前作业采取洒水降尘等措施，备用柴油发电机采用清洁柴油，废气能达标排放</w:t>
            </w:r>
            <w:r>
              <w:rPr>
                <w:rFonts w:hint="eastAsia" w:cs="Times New Roman"/>
                <w:color w:val="000000" w:themeColor="text1"/>
                <w:sz w:val="21"/>
                <w:szCs w:val="21"/>
                <w:highlight w:val="none"/>
                <w:lang w:eastAsia="zh-CN"/>
                <w14:textFill>
                  <w14:solidFill>
                    <w14:schemeClr w14:val="tx1"/>
                  </w14:solidFill>
                </w14:textFill>
              </w:rPr>
              <w:t>。</w:t>
            </w:r>
          </w:p>
          <w:p>
            <w:pPr>
              <w:spacing w:line="240" w:lineRule="auto"/>
              <w:ind w:firstLine="0" w:firstLineChars="0"/>
              <w:jc w:val="left"/>
              <w:rPr>
                <w:rFonts w:hint="eastAsia" w:cs="Times New Roman"/>
                <w:color w:val="000000" w:themeColor="text1"/>
                <w:sz w:val="21"/>
                <w:szCs w:val="21"/>
                <w:highlight w:val="none"/>
                <w:lang w:eastAsia="zh-CN"/>
                <w14:textFill>
                  <w14:solidFill>
                    <w14:schemeClr w14:val="tx1"/>
                  </w14:solidFill>
                </w14:textFill>
              </w:rPr>
            </w:pPr>
          </w:p>
          <w:p>
            <w:pPr>
              <w:spacing w:line="240" w:lineRule="auto"/>
              <w:ind w:firstLine="0" w:firstLineChars="0"/>
              <w:jc w:val="left"/>
              <w:rPr>
                <w:rFonts w:hint="eastAsia" w:cs="Times New Roman"/>
                <w:color w:val="000000" w:themeColor="text1"/>
                <w:sz w:val="21"/>
                <w:szCs w:val="21"/>
                <w:highlight w:val="none"/>
                <w:lang w:val="en-US" w:eastAsia="zh-CN"/>
                <w14:textFill>
                  <w14:solidFill>
                    <w14:schemeClr w14:val="tx1"/>
                  </w14:solidFill>
                </w14:textFill>
              </w:rPr>
            </w:pPr>
          </w:p>
        </w:tc>
        <w:tc>
          <w:tcPr>
            <w:tcW w:w="755"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《大气污染防治行动计划》（国发〔2013〕37）号）</w:t>
            </w: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4113" w:type="dxa"/>
            <w:vAlign w:val="center"/>
          </w:tcPr>
          <w:p>
            <w:pPr>
              <w:spacing w:line="240" w:lineRule="auto"/>
              <w:ind w:firstLine="0" w:firstLineChars="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①加强施工扬尘监管，积极推进绿色施工，建设工程施工现场应全封闭设置围挡墙，严禁敞开式作业，施工现场道路应进行地面硬化。渣土运输车辆应采取密闭措施，并逐步安装卫星定位系统。推行道路机械化清扫等低尘作业方式。</w:t>
            </w:r>
          </w:p>
          <w:p>
            <w:pPr>
              <w:spacing w:line="240" w:lineRule="auto"/>
              <w:ind w:firstLine="0" w:firstLineChars="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②加快</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清洁能源替代利用。加大天然气、煤制天然气、煤层气供应。</w:t>
            </w:r>
          </w:p>
        </w:tc>
        <w:tc>
          <w:tcPr>
            <w:tcW w:w="1760" w:type="dxa"/>
            <w:vAlign w:val="center"/>
          </w:tcPr>
          <w:p>
            <w:pPr>
              <w:spacing w:line="240" w:lineRule="auto"/>
              <w:ind w:firstLine="0" w:firstLineChars="0"/>
              <w:jc w:val="left"/>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本项目钻前作业采取洒水降尘等措施</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本项目实施有利于加大天然气供应。</w:t>
            </w:r>
          </w:p>
        </w:tc>
        <w:tc>
          <w:tcPr>
            <w:tcW w:w="755"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bl>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p>
    <w:p>
      <w:pPr>
        <w:pStyle w:val="202"/>
        <w:pageBreakBefore w:val="0"/>
        <w:kinsoku/>
        <w:wordWrap/>
        <w:overflowPunct/>
        <w:topLinePunct w:val="0"/>
        <w:bidi w:val="0"/>
        <w:adjustRightInd w:val="0"/>
        <w:snapToGrid w:val="0"/>
        <w:spacing w:before="0" w:after="0" w:line="360" w:lineRule="auto"/>
        <w:ind w:leftChars="0"/>
        <w:jc w:val="left"/>
        <w:rPr>
          <w:rFonts w:hint="eastAsia" w:cs="Times New Roman"/>
          <w:color w:val="000000" w:themeColor="text1"/>
          <w:kern w:val="0"/>
          <w:sz w:val="24"/>
          <w:szCs w:val="20"/>
          <w:highlight w:val="none"/>
          <w:lang w:val="en-US" w:eastAsia="zh-CN" w:bidi="ar-SA"/>
          <w14:textFill>
            <w14:solidFill>
              <w14:schemeClr w14:val="tx1"/>
            </w14:solidFill>
          </w14:textFill>
        </w:rPr>
      </w:pPr>
    </w:p>
    <w:p>
      <w:pPr>
        <w:pStyle w:val="202"/>
        <w:pageBreakBefore w:val="0"/>
        <w:kinsoku/>
        <w:wordWrap/>
        <w:overflowPunct/>
        <w:topLinePunct w:val="0"/>
        <w:bidi w:val="0"/>
        <w:adjustRightInd w:val="0"/>
        <w:snapToGrid w:val="0"/>
        <w:spacing w:before="0" w:after="0" w:line="360" w:lineRule="auto"/>
        <w:ind w:leftChars="0"/>
        <w:jc w:val="left"/>
        <w:rPr>
          <w:rFonts w:hint="eastAsia" w:cs="Times New Roman"/>
          <w:color w:val="000000" w:themeColor="text1"/>
          <w:kern w:val="0"/>
          <w:sz w:val="24"/>
          <w:szCs w:val="20"/>
          <w:highlight w:val="none"/>
          <w:lang w:val="en-US" w:eastAsia="zh-CN" w:bidi="ar-SA"/>
          <w14:textFill>
            <w14:solidFill>
              <w14:schemeClr w14:val="tx1"/>
            </w14:solidFill>
          </w14:textFill>
        </w:rPr>
      </w:pPr>
      <w:r>
        <w:rPr>
          <w:rFonts w:hint="eastAsia" w:cs="Times New Roman"/>
          <w:color w:val="000000" w:themeColor="text1"/>
          <w:kern w:val="0"/>
          <w:sz w:val="24"/>
          <w:szCs w:val="20"/>
          <w:highlight w:val="none"/>
          <w:lang w:val="en-US" w:eastAsia="zh-CN" w:bidi="ar-SA"/>
          <w14:textFill>
            <w14:solidFill>
              <w14:schemeClr w14:val="tx1"/>
            </w14:solidFill>
          </w14:textFill>
        </w:rPr>
        <w:t>（2）与水污染防治相关政策及文件符合性分析</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eastAsia" w:ascii="Times New Roman" w:hAnsi="Times New Roman" w:cs="Times New Roman"/>
          <w:color w:val="000000" w:themeColor="text1"/>
          <w:highlight w:val="none"/>
          <w:lang w:val="en-US" w:eastAsia="zh-CN"/>
          <w14:textFill>
            <w14:solidFill>
              <w14:schemeClr w14:val="tx1"/>
            </w14:solidFill>
          </w14:textFill>
        </w:rPr>
        <w:t>2.7-</w:t>
      </w:r>
      <w:r>
        <w:rPr>
          <w:rFonts w:hint="eastAsia" w:cs="Times New Roman"/>
          <w:color w:val="000000" w:themeColor="text1"/>
          <w:highlight w:val="none"/>
          <w:lang w:val="en-US" w:eastAsia="zh-CN"/>
          <w14:textFill>
            <w14:solidFill>
              <w14:schemeClr w14:val="tx1"/>
            </w14:solidFill>
          </w14:textFill>
        </w:rPr>
        <w:t>9</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本项目与水污染物防治</w:t>
      </w:r>
      <w:r>
        <w:rPr>
          <w:rFonts w:hint="eastAsia" w:cs="Times New Roman"/>
          <w:color w:val="000000" w:themeColor="text1"/>
          <w:highlight w:val="none"/>
          <w:lang w:val="en-US" w:eastAsia="zh-CN"/>
          <w14:textFill>
            <w14:solidFill>
              <w14:schemeClr w14:val="tx1"/>
            </w14:solidFill>
          </w14:textFill>
        </w:rPr>
        <w:t>相关</w:t>
      </w:r>
      <w:r>
        <w:rPr>
          <w:rFonts w:hint="default" w:ascii="Times New Roman" w:hAnsi="Times New Roman" w:cs="Times New Roman"/>
          <w:color w:val="000000" w:themeColor="text1"/>
          <w:highlight w:val="none"/>
          <w14:textFill>
            <w14:solidFill>
              <w14:schemeClr w14:val="tx1"/>
            </w14:solidFill>
          </w14:textFill>
        </w:rPr>
        <w:t>规范符合性分析表</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592"/>
        <w:gridCol w:w="4114"/>
        <w:gridCol w:w="1760"/>
        <w:gridCol w:w="7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法规、规范</w:t>
            </w:r>
          </w:p>
        </w:tc>
        <w:tc>
          <w:tcPr>
            <w:tcW w:w="4114" w:type="dxa"/>
            <w:vAlign w:val="center"/>
          </w:tcPr>
          <w:p>
            <w:pPr>
              <w:spacing w:line="240" w:lineRule="auto"/>
              <w:ind w:firstLine="0" w:firstLineChars="0"/>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相关要求</w:t>
            </w:r>
          </w:p>
        </w:tc>
        <w:tc>
          <w:tcPr>
            <w:tcW w:w="1760" w:type="dxa"/>
            <w:vAlign w:val="center"/>
          </w:tcPr>
          <w:p>
            <w:pPr>
              <w:spacing w:line="240" w:lineRule="auto"/>
              <w:ind w:firstLine="0" w:firstLineChars="0"/>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对照分析</w:t>
            </w:r>
          </w:p>
        </w:tc>
        <w:tc>
          <w:tcPr>
            <w:tcW w:w="754" w:type="dxa"/>
            <w:vAlign w:val="center"/>
          </w:tcPr>
          <w:p>
            <w:pPr>
              <w:spacing w:line="240" w:lineRule="auto"/>
              <w:ind w:firstLine="0" w:firstLineChars="0"/>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水污染防治行动计划</w:t>
            </w:r>
            <w:r>
              <w:rPr>
                <w:rFonts w:hint="eastAsia" w:cs="Times New Roman"/>
                <w:color w:val="000000" w:themeColor="text1"/>
                <w:sz w:val="21"/>
                <w:szCs w:val="21"/>
                <w:highlight w:val="none"/>
                <w:lang w:eastAsia="zh-CN"/>
                <w14:textFill>
                  <w14:solidFill>
                    <w14:schemeClr w14:val="tx1"/>
                  </w14:solidFill>
                </w14:textFill>
              </w:rPr>
              <w:t>》</w:t>
            </w:r>
          </w:p>
        </w:tc>
        <w:tc>
          <w:tcPr>
            <w:tcW w:w="4114" w:type="dxa"/>
            <w:vAlign w:val="center"/>
          </w:tcPr>
          <w:p>
            <w:pPr>
              <w:spacing w:line="240" w:lineRule="auto"/>
              <w:ind w:firstLine="0" w:firstLineChars="0"/>
              <w:jc w:val="left"/>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防治地下水污染。石化生产存贮销售企业和工业园区、矿山开采区、垃圾填埋场等区域应进行必要的防渗处理。报废矿井、钻井、取水井应实施封井回填</w:t>
            </w:r>
            <w:r>
              <w:rPr>
                <w:rFonts w:hint="eastAsia" w:cs="Times New Roman"/>
                <w:color w:val="000000" w:themeColor="text1"/>
                <w:sz w:val="21"/>
                <w:szCs w:val="21"/>
                <w:highlight w:val="none"/>
                <w:lang w:eastAsia="zh-CN"/>
                <w14:textFill>
                  <w14:solidFill>
                    <w14:schemeClr w14:val="tx1"/>
                  </w14:solidFill>
                </w14:textFill>
              </w:rPr>
              <w:t>。</w:t>
            </w:r>
          </w:p>
        </w:tc>
        <w:tc>
          <w:tcPr>
            <w:tcW w:w="1760" w:type="dxa"/>
            <w:vAlign w:val="center"/>
          </w:tcPr>
          <w:p>
            <w:pPr>
              <w:spacing w:line="240" w:lineRule="auto"/>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本项目提出了钻井及采气井场的防渗要求。</w:t>
            </w:r>
          </w:p>
        </w:tc>
        <w:tc>
          <w:tcPr>
            <w:tcW w:w="754" w:type="dxa"/>
            <w:vAlign w:val="center"/>
          </w:tcPr>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水污染防治行动计划四川省工作方案</w:t>
            </w:r>
            <w:r>
              <w:rPr>
                <w:rFonts w:hint="eastAsia" w:cs="Times New Roman"/>
                <w:color w:val="000000" w:themeColor="text1"/>
                <w:sz w:val="21"/>
                <w:szCs w:val="21"/>
                <w:highlight w:val="none"/>
                <w:lang w:eastAsia="zh-CN"/>
                <w14:textFill>
                  <w14:solidFill>
                    <w14:schemeClr w14:val="tx1"/>
                  </w14:solidFill>
                </w14:textFill>
              </w:rPr>
              <w:t>》</w:t>
            </w:r>
          </w:p>
        </w:tc>
        <w:tc>
          <w:tcPr>
            <w:tcW w:w="4114" w:type="dxa"/>
            <w:vAlign w:val="center"/>
          </w:tcPr>
          <w:p>
            <w:pPr>
              <w:spacing w:line="240" w:lineRule="auto"/>
              <w:ind w:firstLine="0" w:firstLineChars="0"/>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保护、经济和信息化部门联合制定造纸、焦化、氮肥、有色金属、印染、农副食品加工、原料药制造、制革、农药、电镀和磷化工等行业专项治理方案并组织实施；新建、改建、扩建上述行业的建设项目执行氨氮、化学需氧量等量或减量置换。</w:t>
            </w:r>
          </w:p>
        </w:tc>
        <w:tc>
          <w:tcPr>
            <w:tcW w:w="1760" w:type="dxa"/>
            <w:vAlign w:val="center"/>
          </w:tcPr>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本项目为天然气勘探试采项目，不属于上述</w:t>
            </w:r>
            <w:r>
              <w:rPr>
                <w:rFonts w:hint="eastAsia" w:cs="Times New Roman"/>
                <w:color w:val="000000" w:themeColor="text1"/>
                <w:sz w:val="21"/>
                <w:szCs w:val="21"/>
                <w:highlight w:val="none"/>
                <w:lang w:val="en-US" w:eastAsia="zh-CN"/>
                <w14:textFill>
                  <w14:solidFill>
                    <w14:schemeClr w14:val="tx1"/>
                  </w14:solidFill>
                </w14:textFill>
              </w:rPr>
              <w:t>行业</w:t>
            </w:r>
            <w:r>
              <w:rPr>
                <w:rFonts w:hint="default" w:ascii="Times New Roman" w:hAnsi="Times New Roman" w:cs="Times New Roman"/>
                <w:color w:val="000000" w:themeColor="text1"/>
                <w:sz w:val="21"/>
                <w:szCs w:val="21"/>
                <w:highlight w:val="none"/>
                <w14:textFill>
                  <w14:solidFill>
                    <w14:schemeClr w14:val="tx1"/>
                  </w14:solidFill>
                </w14:textFill>
              </w:rPr>
              <w:t>，本项目废水</w:t>
            </w:r>
            <w:r>
              <w:rPr>
                <w:rFonts w:hint="default" w:ascii="Times New Roman" w:hAnsi="Times New Roman" w:cs="Times New Roman"/>
                <w:color w:val="000000" w:themeColor="text1"/>
                <w:sz w:val="21"/>
                <w:szCs w:val="21"/>
                <w:highlight w:val="none"/>
                <w:lang w:eastAsia="zh-CN"/>
                <w14:textFill>
                  <w14:solidFill>
                    <w14:schemeClr w14:val="tx1"/>
                  </w14:solidFill>
                </w14:textFill>
              </w:rPr>
              <w:t>处理后</w:t>
            </w:r>
            <w:r>
              <w:rPr>
                <w:rFonts w:hint="default" w:ascii="Times New Roman" w:hAnsi="Times New Roman" w:cs="Times New Roman"/>
                <w:color w:val="000000" w:themeColor="text1"/>
                <w:sz w:val="21"/>
                <w:szCs w:val="21"/>
                <w:highlight w:val="none"/>
                <w14:textFill>
                  <w14:solidFill>
                    <w14:schemeClr w14:val="tx1"/>
                  </w14:solidFill>
                </w14:textFill>
              </w:rPr>
              <w:t>大部分回用，</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剩余</w:t>
            </w:r>
            <w:r>
              <w:rPr>
                <w:rFonts w:hint="default" w:ascii="Times New Roman" w:hAnsi="Times New Roman" w:cs="Times New Roman"/>
                <w:color w:val="000000" w:themeColor="text1"/>
                <w:sz w:val="21"/>
                <w:szCs w:val="21"/>
                <w:highlight w:val="none"/>
                <w14:textFill>
                  <w14:solidFill>
                    <w14:schemeClr w14:val="tx1"/>
                  </w14:solidFill>
                </w14:textFill>
              </w:rPr>
              <w:t>部分回注处理</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不外排。</w:t>
            </w:r>
          </w:p>
        </w:tc>
        <w:tc>
          <w:tcPr>
            <w:tcW w:w="754" w:type="dxa"/>
            <w:vAlign w:val="center"/>
          </w:tcPr>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《四川省嘉陵江流域生态环境保护条例》</w:t>
            </w:r>
          </w:p>
        </w:tc>
        <w:tc>
          <w:tcPr>
            <w:tcW w:w="4114" w:type="dxa"/>
            <w:vAlign w:val="center"/>
          </w:tcPr>
          <w:p>
            <w:pPr>
              <w:spacing w:line="240" w:lineRule="auto"/>
              <w:ind w:firstLine="0" w:firstLineChars="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违反本条例规定，在嘉陵江流域未依法取得许可从事采砂活动，或者在禁止采砂区和禁止采砂期从事采砂活动的，由县级以上地方人民政府水行政主管部门责令停止违法行为，没收违法所得以及用于违法活动的船舶、设备、工具，并处货值金额二倍以上二十倍以下罚款；货值金额不足十万元的，并处二十万元以上二百万元以下罚款；已经取得河道采砂许可证的，吊销河道采砂许可证。</w:t>
            </w:r>
          </w:p>
        </w:tc>
        <w:tc>
          <w:tcPr>
            <w:tcW w:w="1760"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本项目为天然气勘探试采项目，不属于上述</w:t>
            </w:r>
            <w:r>
              <w:rPr>
                <w:rFonts w:hint="eastAsia" w:cs="Times New Roman"/>
                <w:color w:val="000000" w:themeColor="text1"/>
                <w:sz w:val="21"/>
                <w:szCs w:val="21"/>
                <w:highlight w:val="none"/>
                <w:lang w:val="en-US" w:eastAsia="zh-CN"/>
                <w14:textFill>
                  <w14:solidFill>
                    <w14:schemeClr w14:val="tx1"/>
                  </w14:solidFill>
                </w14:textFill>
              </w:rPr>
              <w:t>行业</w:t>
            </w:r>
            <w:r>
              <w:rPr>
                <w:rFonts w:hint="default" w:ascii="Times New Roman" w:hAnsi="Times New Roman" w:cs="Times New Roman"/>
                <w:color w:val="000000" w:themeColor="text1"/>
                <w:sz w:val="21"/>
                <w:szCs w:val="21"/>
                <w:highlight w:val="none"/>
                <w14:textFill>
                  <w14:solidFill>
                    <w14:schemeClr w14:val="tx1"/>
                  </w14:solidFill>
                </w14:textFill>
              </w:rPr>
              <w:t>，不涉及采砂。</w:t>
            </w:r>
          </w:p>
        </w:tc>
        <w:tc>
          <w:tcPr>
            <w:tcW w:w="754" w:type="dxa"/>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Merge w:val="restart"/>
            <w:vAlign w:val="center"/>
          </w:tcPr>
          <w:p>
            <w:pPr>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地下水管理条例</w:t>
            </w:r>
            <w:r>
              <w:rPr>
                <w:rFonts w:hint="eastAsia" w:cs="Times New Roman"/>
                <w:color w:val="000000" w:themeColor="text1"/>
                <w:sz w:val="21"/>
                <w:szCs w:val="21"/>
                <w:highlight w:val="none"/>
                <w:lang w:eastAsia="zh-CN"/>
                <w14:textFill>
                  <w14:solidFill>
                    <w14:schemeClr w14:val="tx1"/>
                  </w14:solidFill>
                </w14:textFill>
              </w:rPr>
              <w:t>》</w:t>
            </w:r>
          </w:p>
        </w:tc>
        <w:tc>
          <w:tcPr>
            <w:tcW w:w="4114" w:type="dxa"/>
            <w:vAlign w:val="center"/>
          </w:tcPr>
          <w:p>
            <w:pPr>
              <w:pStyle w:val="295"/>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单位和个人应当采取措施防止地下工程建设对地下水补给、径流、排泄等造成重大不利影响。对开挖达到一定深度或者达到一定排水规模的地下工程，建设单位和个人应当于工程开工前，将工程建设方案和防止对地下水产生不利影响的措施方案报有管理权限的水行政主管部门备案。开挖深度和排水规模由省、自治区、直辖市人民政府制定、公布。</w:t>
            </w:r>
          </w:p>
        </w:tc>
        <w:tc>
          <w:tcPr>
            <w:tcW w:w="1760" w:type="dxa"/>
            <w:vAlign w:val="center"/>
          </w:tcPr>
          <w:p>
            <w:pPr>
              <w:pStyle w:val="295"/>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本项目采取了严格措施（不涉及浅层钻、分区防渗等）防止地下工程建设对地下水补给、径流、排泄等造成重大不利影响</w:t>
            </w:r>
          </w:p>
        </w:tc>
        <w:tc>
          <w:tcPr>
            <w:tcW w:w="754" w:type="dxa"/>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4114" w:type="dxa"/>
            <w:vAlign w:val="center"/>
          </w:tcPr>
          <w:p>
            <w:pPr>
              <w:pStyle w:val="295"/>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禁止下列污染或者可能污染地下水的行为：</w:t>
            </w:r>
          </w:p>
          <w:p>
            <w:pPr>
              <w:pStyle w:val="295"/>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①利用渗井、渗坑、裂隙、溶洞以及私设暗管等逃避监管的方式排放水污染物；</w:t>
            </w:r>
          </w:p>
          <w:p>
            <w:pPr>
              <w:pStyle w:val="295"/>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②利用岩层孔隙、裂隙、溶洞、废弃矿坑等贮存石化原料及产品、农药、危险废物、城镇污水处理设施产生的污泥和处理后的污泥或者其他有毒有害物质；</w:t>
            </w:r>
          </w:p>
          <w:p>
            <w:pPr>
              <w:pStyle w:val="295"/>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③利用无防渗漏措施的沟渠、坑塘等输送或者贮存含有毒污染物的废水、含病原体的污水和其他废弃物；</w:t>
            </w:r>
          </w:p>
          <w:p>
            <w:pPr>
              <w:pStyle w:val="295"/>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（四）法律、法规禁止的其他污染或者可能污染地下水的行为</w:t>
            </w:r>
          </w:p>
        </w:tc>
        <w:tc>
          <w:tcPr>
            <w:tcW w:w="1760" w:type="dxa"/>
            <w:vAlign w:val="center"/>
          </w:tcPr>
          <w:p>
            <w:pPr>
              <w:pStyle w:val="295"/>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本项目制定了严格措施防止项目建设运营对地下水造成污染</w:t>
            </w:r>
            <w:r>
              <w:rPr>
                <w:rFonts w:hint="eastAsia" w:cs="Times New Roman"/>
                <w:color w:val="000000" w:themeColor="text1"/>
                <w:highlight w:val="none"/>
                <w:lang w:eastAsia="zh-CN"/>
                <w14:textFill>
                  <w14:solidFill>
                    <w14:schemeClr w14:val="tx1"/>
                  </w14:solidFill>
                </w14:textFill>
              </w:rPr>
              <w:t>。</w:t>
            </w:r>
          </w:p>
        </w:tc>
        <w:tc>
          <w:tcPr>
            <w:tcW w:w="754" w:type="dxa"/>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4114" w:type="dxa"/>
            <w:vAlign w:val="center"/>
          </w:tcPr>
          <w:p>
            <w:pPr>
              <w:pStyle w:val="295"/>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企业事业单位和其他生产经营者应当采取下列措施，防止地下水污染：</w:t>
            </w:r>
          </w:p>
          <w:p>
            <w:pPr>
              <w:pStyle w:val="295"/>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①兴建地下工程设施或者进行地下勘探、采矿等活动，依法编制的环境影响评价文件中，应当包括地下水污染防治的内容，并采取防护性措施；</w:t>
            </w:r>
          </w:p>
          <w:p>
            <w:pPr>
              <w:pStyle w:val="295"/>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②化学品生产企业以及工业集聚区、矿山开采区、尾矿库、危险废物处置场、垃圾填埋场等的运营、管理单位，应当采取防渗漏等措施，并建设地下水水质监测井进行监测；</w:t>
            </w:r>
          </w:p>
          <w:p>
            <w:pPr>
              <w:pStyle w:val="295"/>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③加油站等的地下油罐应当使用双层罐或者采取建造防渗池等其他有效措施，并进行防渗漏监测；</w:t>
            </w:r>
          </w:p>
          <w:p>
            <w:pPr>
              <w:pStyle w:val="295"/>
              <w:jc w:val="left"/>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④存放可溶性剧毒废渣的场所，应当采取防水、防渗漏、防流失的措施；</w:t>
            </w:r>
          </w:p>
          <w:p>
            <w:pPr>
              <w:pStyle w:val="295"/>
              <w:jc w:val="left"/>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⑤法律、法规规定应当采取的其他防止地下水污染的措施</w:t>
            </w:r>
            <w:r>
              <w:rPr>
                <w:rFonts w:hint="default" w:ascii="Times New Roman" w:hAnsi="Times New Roman" w:eastAsia="宋体" w:cs="Times New Roman"/>
                <w:color w:val="000000" w:themeColor="text1"/>
                <w:highlight w:val="none"/>
                <w:lang w:eastAsia="zh-CN"/>
                <w14:textFill>
                  <w14:solidFill>
                    <w14:schemeClr w14:val="tx1"/>
                  </w14:solidFill>
                </w14:textFill>
              </w:rPr>
              <w:t>。</w:t>
            </w:r>
          </w:p>
        </w:tc>
        <w:tc>
          <w:tcPr>
            <w:tcW w:w="1760"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①</w:t>
            </w:r>
            <w:r>
              <w:rPr>
                <w:rFonts w:hint="default" w:ascii="Times New Roman" w:hAnsi="Times New Roman" w:cs="Times New Roman"/>
                <w:color w:val="000000" w:themeColor="text1"/>
                <w:highlight w:val="none"/>
                <w14:textFill>
                  <w14:solidFill>
                    <w14:schemeClr w14:val="tx1"/>
                  </w14:solidFill>
                </w14:textFill>
              </w:rPr>
              <w:t>本</w:t>
            </w:r>
            <w:r>
              <w:rPr>
                <w:rFonts w:hint="eastAsia" w:cs="Times New Roman"/>
                <w:color w:val="000000" w:themeColor="text1"/>
                <w:highlight w:val="none"/>
                <w:lang w:val="en-US" w:eastAsia="zh-CN"/>
                <w14:textFill>
                  <w14:solidFill>
                    <w14:schemeClr w14:val="tx1"/>
                  </w14:solidFill>
                </w14:textFill>
              </w:rPr>
              <w:t>评价中分析了</w:t>
            </w:r>
            <w:r>
              <w:rPr>
                <w:rFonts w:hint="default" w:ascii="Times New Roman" w:hAnsi="Times New Roman" w:cs="Times New Roman"/>
                <w:color w:val="000000" w:themeColor="text1"/>
                <w:highlight w:val="none"/>
                <w14:textFill>
                  <w14:solidFill>
                    <w14:schemeClr w14:val="tx1"/>
                  </w14:solidFill>
                </w14:textFill>
              </w:rPr>
              <w:t>地下水污染</w:t>
            </w:r>
            <w:r>
              <w:rPr>
                <w:rFonts w:hint="eastAsia" w:cs="Times New Roman"/>
                <w:color w:val="000000" w:themeColor="text1"/>
                <w:highlight w:val="none"/>
                <w:lang w:val="en-US" w:eastAsia="zh-CN"/>
                <w14:textFill>
                  <w14:solidFill>
                    <w14:schemeClr w14:val="tx1"/>
                  </w14:solidFill>
                </w14:textFill>
              </w:rPr>
              <w:t>的途径</w:t>
            </w:r>
            <w:r>
              <w:rPr>
                <w:rFonts w:hint="default" w:ascii="Times New Roman" w:hAnsi="Times New Roman" w:cs="Times New Roman"/>
                <w:color w:val="000000" w:themeColor="text1"/>
                <w:highlight w:val="none"/>
                <w14:textFill>
                  <w14:solidFill>
                    <w14:schemeClr w14:val="tx1"/>
                  </w14:solidFill>
                </w14:textFill>
              </w:rPr>
              <w:t>，并</w:t>
            </w:r>
            <w:r>
              <w:rPr>
                <w:rFonts w:hint="eastAsia" w:cs="Times New Roman"/>
                <w:color w:val="000000" w:themeColor="text1"/>
                <w:highlight w:val="none"/>
                <w:lang w:val="en-US" w:eastAsia="zh-CN"/>
                <w14:textFill>
                  <w14:solidFill>
                    <w14:schemeClr w14:val="tx1"/>
                  </w14:solidFill>
                </w14:textFill>
              </w:rPr>
              <w:t>提出了相应的防治措施</w:t>
            </w:r>
            <w:r>
              <w:rPr>
                <w:rFonts w:hint="default" w:ascii="Times New Roman" w:hAnsi="Times New Roman" w:cs="Times New Roman"/>
                <w:color w:val="000000" w:themeColor="text1"/>
                <w:highlight w:val="none"/>
                <w14:textFill>
                  <w14:solidFill>
                    <w14:schemeClr w14:val="tx1"/>
                  </w14:solidFill>
                </w14:textFill>
              </w:rPr>
              <w:t>；</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②</w:t>
            </w:r>
            <w:r>
              <w:rPr>
                <w:rFonts w:hint="default" w:ascii="Times New Roman" w:hAnsi="Times New Roman" w:cs="Times New Roman"/>
                <w:color w:val="000000" w:themeColor="text1"/>
                <w:highlight w:val="none"/>
                <w14:textFill>
                  <w14:solidFill>
                    <w14:schemeClr w14:val="tx1"/>
                  </w14:solidFill>
                </w14:textFill>
              </w:rPr>
              <w:t>本项目不属于化学品生产企业以及工业集聚区、矿山开采区、尾矿库、危险废物处置场、垃圾填埋场等的运营、管理单位；</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③</w:t>
            </w:r>
            <w:r>
              <w:rPr>
                <w:rFonts w:hint="default" w:ascii="Times New Roman" w:hAnsi="Times New Roman" w:cs="Times New Roman"/>
                <w:color w:val="000000" w:themeColor="text1"/>
                <w:highlight w:val="none"/>
                <w14:textFill>
                  <w14:solidFill>
                    <w14:schemeClr w14:val="tx1"/>
                  </w14:solidFill>
                </w14:textFill>
              </w:rPr>
              <w:t>本项目没有地下油罐，同时项目采取了分区防渗措施；</w:t>
            </w:r>
          </w:p>
          <w:p>
            <w:pPr>
              <w:pStyle w:val="295"/>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④</w:t>
            </w:r>
            <w:r>
              <w:rPr>
                <w:rFonts w:hint="default" w:ascii="Times New Roman" w:hAnsi="Times New Roman" w:cs="Times New Roman"/>
                <w:color w:val="000000" w:themeColor="text1"/>
                <w:highlight w:val="none"/>
                <w14:textFill>
                  <w14:solidFill>
                    <w14:schemeClr w14:val="tx1"/>
                  </w14:solidFill>
                </w14:textFill>
              </w:rPr>
              <w:t>本项目设置的危险废物暂存区采取了重点防渗措施，满足防水、防渗漏、防流失的要求</w:t>
            </w:r>
            <w:r>
              <w:rPr>
                <w:rFonts w:hint="eastAsia" w:cs="Times New Roman"/>
                <w:color w:val="000000" w:themeColor="text1"/>
                <w:highlight w:val="none"/>
                <w:lang w:eastAsia="zh-CN"/>
                <w14:textFill>
                  <w14:solidFill>
                    <w14:schemeClr w14:val="tx1"/>
                  </w14:solidFill>
                </w14:textFill>
              </w:rPr>
              <w:t>。</w:t>
            </w:r>
          </w:p>
        </w:tc>
        <w:tc>
          <w:tcPr>
            <w:tcW w:w="754" w:type="dxa"/>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4114" w:type="dxa"/>
            <w:vAlign w:val="center"/>
          </w:tcPr>
          <w:p>
            <w:pPr>
              <w:pStyle w:val="295"/>
              <w:jc w:val="left"/>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在泉域保护范围以及岩溶强发育、存在较多落水洞和岩溶漏斗的区域内，不得新建、改建、扩建可能造成地下水污染的建设项目</w:t>
            </w:r>
            <w:r>
              <w:rPr>
                <w:rFonts w:hint="eastAsia" w:cs="Times New Roman"/>
                <w:color w:val="000000" w:themeColor="text1"/>
                <w:highlight w:val="none"/>
                <w:lang w:eastAsia="zh-CN"/>
                <w14:textFill>
                  <w14:solidFill>
                    <w14:schemeClr w14:val="tx1"/>
                  </w14:solidFill>
                </w14:textFill>
              </w:rPr>
              <w:t>。</w:t>
            </w:r>
          </w:p>
        </w:tc>
        <w:tc>
          <w:tcPr>
            <w:tcW w:w="1760" w:type="dxa"/>
            <w:vAlign w:val="center"/>
          </w:tcPr>
          <w:p>
            <w:pPr>
              <w:pStyle w:val="295"/>
              <w:jc w:val="left"/>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本项目不在泉域保护范围以及岩溶强发育、存在较多落水洞和岩溶漏斗的区域</w:t>
            </w:r>
            <w:r>
              <w:rPr>
                <w:rFonts w:hint="eastAsia" w:cs="Times New Roman"/>
                <w:color w:val="000000" w:themeColor="text1"/>
                <w:highlight w:val="none"/>
                <w:lang w:eastAsia="zh-CN"/>
                <w14:textFill>
                  <w14:solidFill>
                    <w14:schemeClr w14:val="tx1"/>
                  </w14:solidFill>
                </w14:textFill>
              </w:rPr>
              <w:t>。</w:t>
            </w:r>
          </w:p>
        </w:tc>
        <w:tc>
          <w:tcPr>
            <w:tcW w:w="754" w:type="dxa"/>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bl>
    <w:p>
      <w:pPr>
        <w:pageBreakBefore w:val="0"/>
        <w:widowControl w:val="0"/>
        <w:tabs>
          <w:tab w:val="left" w:pos="0"/>
        </w:tabs>
        <w:kinsoku/>
        <w:wordWrap/>
        <w:overflowPunct/>
        <w:topLinePunct w:val="0"/>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p>
    <w:p>
      <w:pPr>
        <w:pStyle w:val="202"/>
        <w:pageBreakBefore w:val="0"/>
        <w:kinsoku/>
        <w:wordWrap/>
        <w:overflowPunct/>
        <w:topLinePunct w:val="0"/>
        <w:bidi w:val="0"/>
        <w:adjustRightInd w:val="0"/>
        <w:snapToGrid w:val="0"/>
        <w:spacing w:before="0" w:after="0" w:line="360" w:lineRule="auto"/>
        <w:ind w:leftChars="0"/>
        <w:jc w:val="left"/>
        <w:rPr>
          <w:rFonts w:hint="eastAsia" w:cs="Times New Roman"/>
          <w:color w:val="000000" w:themeColor="text1"/>
          <w:kern w:val="0"/>
          <w:sz w:val="24"/>
          <w:szCs w:val="20"/>
          <w:highlight w:val="none"/>
          <w:lang w:val="en-US" w:eastAsia="zh-CN" w:bidi="ar-SA"/>
          <w14:textFill>
            <w14:solidFill>
              <w14:schemeClr w14:val="tx1"/>
            </w14:solidFill>
          </w14:textFill>
        </w:rPr>
      </w:pPr>
      <w:r>
        <w:rPr>
          <w:rFonts w:hint="eastAsia" w:cs="Times New Roman"/>
          <w:color w:val="000000" w:themeColor="text1"/>
          <w:kern w:val="0"/>
          <w:sz w:val="24"/>
          <w:szCs w:val="20"/>
          <w:highlight w:val="none"/>
          <w:lang w:val="en-US" w:eastAsia="zh-CN" w:bidi="ar-SA"/>
          <w14:textFill>
            <w14:solidFill>
              <w14:schemeClr w14:val="tx1"/>
            </w14:solidFill>
          </w14:textFill>
        </w:rPr>
        <w:t>（3）与土壤污染防治相关政策及文件符合性分析</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10</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 xml:space="preserve"> 本项目与</w:t>
      </w:r>
      <w:r>
        <w:rPr>
          <w:rFonts w:hint="eastAsia" w:cs="Times New Roman"/>
          <w:color w:val="000000" w:themeColor="text1"/>
          <w:highlight w:val="none"/>
          <w:lang w:val="en-US" w:eastAsia="zh-CN"/>
          <w14:textFill>
            <w14:solidFill>
              <w14:schemeClr w14:val="tx1"/>
            </w14:solidFill>
          </w14:textFill>
        </w:rPr>
        <w:t>土壤</w:t>
      </w:r>
      <w:r>
        <w:rPr>
          <w:rFonts w:hint="default" w:ascii="Times New Roman" w:hAnsi="Times New Roman" w:cs="Times New Roman"/>
          <w:color w:val="000000" w:themeColor="text1"/>
          <w:highlight w:val="none"/>
          <w14:textFill>
            <w14:solidFill>
              <w14:schemeClr w14:val="tx1"/>
            </w14:solidFill>
          </w14:textFill>
        </w:rPr>
        <w:t>污染防治</w:t>
      </w:r>
      <w:r>
        <w:rPr>
          <w:rFonts w:hint="eastAsia" w:cs="Times New Roman"/>
          <w:color w:val="000000" w:themeColor="text1"/>
          <w:highlight w:val="none"/>
          <w:lang w:val="en-US" w:eastAsia="zh-CN"/>
          <w14:textFill>
            <w14:solidFill>
              <w14:schemeClr w14:val="tx1"/>
            </w14:solidFill>
          </w14:textFill>
        </w:rPr>
        <w:t>相关</w:t>
      </w:r>
      <w:r>
        <w:rPr>
          <w:rFonts w:hint="default" w:ascii="Times New Roman" w:hAnsi="Times New Roman" w:cs="Times New Roman"/>
          <w:color w:val="000000" w:themeColor="text1"/>
          <w:highlight w:val="none"/>
          <w14:textFill>
            <w14:solidFill>
              <w14:schemeClr w14:val="tx1"/>
            </w14:solidFill>
          </w14:textFill>
        </w:rPr>
        <w:t>规范符合性分析表</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435"/>
        <w:gridCol w:w="4298"/>
        <w:gridCol w:w="1957"/>
        <w:gridCol w:w="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3" w:hRule="atLeast"/>
          <w:tblHeader/>
          <w:jc w:val="center"/>
        </w:trPr>
        <w:tc>
          <w:tcPr>
            <w:tcW w:w="1435" w:type="dxa"/>
            <w:vAlign w:val="center"/>
          </w:tcPr>
          <w:p>
            <w:pPr>
              <w:spacing w:line="240" w:lineRule="auto"/>
              <w:ind w:firstLine="0" w:firstLineChars="0"/>
              <w:jc w:val="center"/>
              <w:rPr>
                <w:rFonts w:hint="default" w:ascii="Times New Roman" w:hAnsi="Times New Roman" w:cs="Times New Roman"/>
                <w:b/>
                <w:color w:val="000000" w:themeColor="text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土壤污染防治行动计划</w:t>
            </w:r>
          </w:p>
        </w:tc>
        <w:tc>
          <w:tcPr>
            <w:tcW w:w="4298" w:type="dxa"/>
            <w:vAlign w:val="center"/>
          </w:tcPr>
          <w:p>
            <w:pPr>
              <w:spacing w:line="240" w:lineRule="auto"/>
              <w:ind w:firstLine="0" w:firstLineChars="0"/>
              <w:jc w:val="center"/>
              <w:rPr>
                <w:rFonts w:hint="default" w:ascii="Times New Roman" w:hAnsi="Times New Roman" w:cs="Times New Roman"/>
                <w:b/>
                <w:color w:val="000000" w:themeColor="text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相关要求</w:t>
            </w:r>
          </w:p>
        </w:tc>
        <w:tc>
          <w:tcPr>
            <w:tcW w:w="1957" w:type="dxa"/>
            <w:vAlign w:val="center"/>
          </w:tcPr>
          <w:p>
            <w:pPr>
              <w:spacing w:line="240" w:lineRule="auto"/>
              <w:ind w:firstLine="0" w:firstLineChars="0"/>
              <w:jc w:val="center"/>
              <w:rPr>
                <w:rFonts w:hint="default" w:ascii="Times New Roman" w:hAnsi="Times New Roman" w:cs="Times New Roman"/>
                <w:b/>
                <w:color w:val="000000" w:themeColor="text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本项目情况</w:t>
            </w:r>
          </w:p>
        </w:tc>
        <w:tc>
          <w:tcPr>
            <w:tcW w:w="530" w:type="dxa"/>
            <w:vAlign w:val="center"/>
          </w:tcPr>
          <w:p>
            <w:pPr>
              <w:spacing w:line="240" w:lineRule="auto"/>
              <w:ind w:firstLine="0" w:firstLineChars="0"/>
              <w:jc w:val="center"/>
              <w:rPr>
                <w:rFonts w:hint="default" w:ascii="Times New Roman" w:hAnsi="Times New Roman" w:cs="Times New Roman"/>
                <w:b/>
                <w:color w:val="000000" w:themeColor="text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435" w:type="dxa"/>
            <w:vMerge w:val="restar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《土壤污染防治行动计划》（国发〔2016〕31号）</w:t>
            </w:r>
          </w:p>
        </w:tc>
        <w:tc>
          <w:tcPr>
            <w:tcW w:w="4298" w:type="dxa"/>
            <w:vAlign w:val="center"/>
          </w:tcPr>
          <w:p>
            <w:pPr>
              <w:spacing w:line="240" w:lineRule="auto"/>
              <w:ind w:firstLine="0" w:firstLineChars="0"/>
              <w:jc w:val="left"/>
              <w:rPr>
                <w:rFonts w:hint="eastAsia"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排放重点污染物的建设项目，在开展环境影响评价时，要增加对土壤环境影响的评价内容，并提出防范土壤污染的具体措施；需要建设的土壤污染防治设施，要与主体工程同时设计、同时施工、同时投产使用</w:t>
            </w:r>
            <w:r>
              <w:rPr>
                <w:rFonts w:hint="eastAsia" w:cs="Times New Roman"/>
                <w:color w:val="000000" w:themeColor="text1"/>
                <w:sz w:val="21"/>
                <w:szCs w:val="21"/>
                <w:highlight w:val="none"/>
                <w:lang w:eastAsia="zh-CN"/>
                <w14:textFill>
                  <w14:solidFill>
                    <w14:schemeClr w14:val="tx1"/>
                  </w14:solidFill>
                </w14:textFill>
              </w:rPr>
              <w:t>。</w:t>
            </w:r>
          </w:p>
        </w:tc>
        <w:tc>
          <w:tcPr>
            <w:tcW w:w="1957" w:type="dxa"/>
            <w:vAlign w:val="center"/>
          </w:tcPr>
          <w:p>
            <w:pPr>
              <w:spacing w:line="240" w:lineRule="auto"/>
              <w:ind w:firstLine="0" w:firstLineChars="0"/>
              <w:jc w:val="cente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项目</w:t>
            </w:r>
            <w:r>
              <w:rPr>
                <w:rFonts w:hint="default" w:ascii="Times New Roman" w:hAnsi="Times New Roman" w:cs="Times New Roman"/>
                <w:color w:val="000000" w:themeColor="text1"/>
                <w:sz w:val="21"/>
                <w:szCs w:val="21"/>
                <w:highlight w:val="none"/>
                <w14:textFill>
                  <w14:solidFill>
                    <w14:schemeClr w14:val="tx1"/>
                  </w14:solidFill>
                </w14:textFill>
              </w:rPr>
              <w:t>不涉及重点污染物的排放</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且环评要求土壤污染防治设施（如分区防渗等）与主体工程同步实施。</w:t>
            </w:r>
          </w:p>
        </w:tc>
        <w:tc>
          <w:tcPr>
            <w:tcW w:w="530" w:type="dxa"/>
            <w:vAlign w:val="center"/>
          </w:tcPr>
          <w:p>
            <w:pPr>
              <w:spacing w:line="240" w:lineRule="auto"/>
              <w:ind w:firstLine="0" w:firstLineChars="0"/>
              <w:jc w:val="center"/>
              <w:rPr>
                <w:rFonts w:hint="default" w:ascii="Times New Roman" w:hAnsi="Times New Roman" w:eastAsia="宋体" w:cs="Times New Roman"/>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 w:hRule="atLeast"/>
          <w:jc w:val="center"/>
        </w:trPr>
        <w:tc>
          <w:tcPr>
            <w:tcW w:w="1435" w:type="dxa"/>
            <w:vMerge w:val="continue"/>
            <w:vAlign w:val="center"/>
          </w:tcPr>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298" w:type="dxa"/>
            <w:vAlign w:val="center"/>
          </w:tcPr>
          <w:p>
            <w:pPr>
              <w:spacing w:line="240" w:lineRule="auto"/>
              <w:ind w:firstLine="0" w:firstLineChars="0"/>
              <w:jc w:val="left"/>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继续淘汰涉重金属重点行业落后产能，完善重金属相关行业准入条件，禁止新建落后产能或产能严重过剩行业的建设项目</w:t>
            </w:r>
            <w:r>
              <w:rPr>
                <w:rFonts w:hint="eastAsia" w:cs="Times New Roman"/>
                <w:color w:val="000000" w:themeColor="text1"/>
                <w:sz w:val="21"/>
                <w:szCs w:val="21"/>
                <w:highlight w:val="none"/>
                <w:lang w:eastAsia="zh-CN"/>
                <w14:textFill>
                  <w14:solidFill>
                    <w14:schemeClr w14:val="tx1"/>
                  </w14:solidFill>
                </w14:textFill>
              </w:rPr>
              <w:t>。</w:t>
            </w:r>
          </w:p>
        </w:tc>
        <w:tc>
          <w:tcPr>
            <w:tcW w:w="1957" w:type="dxa"/>
            <w:vAlign w:val="center"/>
          </w:tcPr>
          <w:p>
            <w:pPr>
              <w:spacing w:line="240" w:lineRule="auto"/>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项目</w:t>
            </w:r>
            <w:r>
              <w:rPr>
                <w:rFonts w:hint="default" w:ascii="Times New Roman" w:hAnsi="Times New Roman" w:cs="Times New Roman"/>
                <w:color w:val="000000" w:themeColor="text1"/>
                <w:sz w:val="21"/>
                <w:szCs w:val="21"/>
                <w:highlight w:val="none"/>
                <w14:textFill>
                  <w14:solidFill>
                    <w14:schemeClr w14:val="tx1"/>
                  </w14:solidFill>
                </w14:textFill>
              </w:rPr>
              <w:t>不属于涉重企业</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不属于产能严重过剩行业。</w:t>
            </w:r>
          </w:p>
        </w:tc>
        <w:tc>
          <w:tcPr>
            <w:tcW w:w="530" w:type="dxa"/>
            <w:vAlign w:val="center"/>
          </w:tcPr>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 w:hRule="atLeast"/>
          <w:jc w:val="center"/>
        </w:trPr>
        <w:tc>
          <w:tcPr>
            <w:tcW w:w="1435" w:type="dxa"/>
            <w:vMerge w:val="continue"/>
            <w:vAlign w:val="center"/>
          </w:tcPr>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298" w:type="dxa"/>
            <w:vAlign w:val="center"/>
          </w:tcPr>
          <w:p>
            <w:pPr>
              <w:spacing w:line="240" w:lineRule="auto"/>
              <w:ind w:firstLine="0" w:firstLineChars="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w:t>
            </w:r>
          </w:p>
        </w:tc>
        <w:tc>
          <w:tcPr>
            <w:tcW w:w="1957" w:type="dxa"/>
            <w:vAlign w:val="center"/>
          </w:tcPr>
          <w:p>
            <w:pPr>
              <w:pStyle w:val="295"/>
              <w:jc w:val="left"/>
              <w:rPr>
                <w:rFonts w:hint="eastAsia"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本项目为侧钻井，采用常规钻井工艺进行钻井，为保护气层，优先采用含封堵性聚合物的水基钻井液体系（若遇特殊地层情况，可能会转为油基钻井），若</w:t>
            </w:r>
            <w:r>
              <w:rPr>
                <w:rFonts w:hint="default" w:ascii="Times New Roman" w:hAnsi="Times New Roman" w:cs="Times New Roman"/>
                <w:color w:val="000000" w:themeColor="text1"/>
                <w:szCs w:val="21"/>
                <w:highlight w:val="none"/>
                <w14:textFill>
                  <w14:solidFill>
                    <w14:schemeClr w14:val="tx1"/>
                  </w14:solidFill>
                </w14:textFill>
              </w:rPr>
              <w:t>产生的油基钻井废泥浆及岩屑由危废暂存场所（采取必要的防风、防晒、防雨、防漏、防渗、防腐以及其他环境污染防治措施，不得露天堆放危险废物）暂存，定期交由资质单位处置。</w:t>
            </w:r>
          </w:p>
        </w:tc>
        <w:tc>
          <w:tcPr>
            <w:tcW w:w="530" w:type="dxa"/>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 w:hRule="atLeast"/>
          <w:jc w:val="center"/>
        </w:trPr>
        <w:tc>
          <w:tcPr>
            <w:tcW w:w="1435" w:type="dxa"/>
            <w:vAlign w:val="center"/>
          </w:tcPr>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土壤污染防治行动计划四川省工作方案</w:t>
            </w:r>
          </w:p>
        </w:tc>
        <w:tc>
          <w:tcPr>
            <w:tcW w:w="4298" w:type="dxa"/>
            <w:vAlign w:val="center"/>
          </w:tcPr>
          <w:p>
            <w:pPr>
              <w:spacing w:line="240" w:lineRule="auto"/>
              <w:ind w:firstLine="0" w:firstLineChars="0"/>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严格控制在优先保护类耕地集中区域新建有色金属矿采选、有色金属冶炼、石油加工、化工、焦化、电镀、制革、天然（页岩）气开采、铅蓄电池、汽车制造、农药、危废处置、电子拆解、涉重等行业企业。</w:t>
            </w:r>
          </w:p>
        </w:tc>
        <w:tc>
          <w:tcPr>
            <w:tcW w:w="1957" w:type="dxa"/>
            <w:vAlign w:val="center"/>
          </w:tcPr>
          <w:p>
            <w:pPr>
              <w:spacing w:line="240" w:lineRule="auto"/>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本项目利用普光老井P106-2进行侧钻，且未处于优先保护类耕地集中区域。</w:t>
            </w:r>
          </w:p>
        </w:tc>
        <w:tc>
          <w:tcPr>
            <w:tcW w:w="530" w:type="dxa"/>
            <w:vAlign w:val="center"/>
          </w:tcPr>
          <w:p>
            <w:pPr>
              <w:spacing w:line="240" w:lineRule="auto"/>
              <w:ind w:firstLine="0" w:firstLineChars="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bl>
    <w:p>
      <w:pPr>
        <w:pageBreakBefore w:val="0"/>
        <w:widowControl w:val="0"/>
        <w:numPr>
          <w:ilvl w:val="0"/>
          <w:numId w:val="0"/>
        </w:numPr>
        <w:kinsoku/>
        <w:wordWrap/>
        <w:overflowPunct/>
        <w:topLinePunct w:val="0"/>
        <w:autoSpaceDE/>
        <w:autoSpaceDN/>
        <w:bidi w:val="0"/>
        <w:adjustRightInd w:val="0"/>
        <w:snapToGrid w:val="0"/>
        <w:spacing w:before="0" w:beforeLines="0"/>
        <w:ind w:left="480"/>
        <w:textAlignment w:val="auto"/>
        <w:outlineLvl w:val="9"/>
        <w:rPr>
          <w:rFonts w:hint="default" w:ascii="Times New Roman" w:hAnsi="Times New Roman" w:cs="Times New Roman"/>
          <w:color w:val="000000" w:themeColor="text1"/>
          <w:highlight w:val="none"/>
          <w14:textFill>
            <w14:solidFill>
              <w14:schemeClr w14:val="tx1"/>
            </w14:solidFill>
          </w14:textFill>
        </w:rPr>
      </w:pPr>
    </w:p>
    <w:p>
      <w:pPr>
        <w:pStyle w:val="202"/>
        <w:pageBreakBefore w:val="0"/>
        <w:widowControl w:val="0"/>
        <w:kinsoku/>
        <w:wordWrap/>
        <w:overflowPunct/>
        <w:topLinePunct w:val="0"/>
        <w:bidi w:val="0"/>
        <w:adjustRightInd w:val="0"/>
        <w:snapToGrid w:val="0"/>
        <w:spacing w:before="0" w:after="0" w:line="360" w:lineRule="auto"/>
        <w:ind w:leftChars="0"/>
        <w:jc w:val="left"/>
        <w:outlineLvl w:val="9"/>
        <w:rPr>
          <w:rFonts w:hint="eastAsia" w:cs="Times New Roman"/>
          <w:color w:val="000000" w:themeColor="text1"/>
          <w:kern w:val="0"/>
          <w:sz w:val="24"/>
          <w:szCs w:val="20"/>
          <w:highlight w:val="none"/>
          <w:lang w:val="en-US" w:eastAsia="zh-CN" w:bidi="ar-SA"/>
          <w14:textFill>
            <w14:solidFill>
              <w14:schemeClr w14:val="tx1"/>
            </w14:solidFill>
          </w14:textFill>
        </w:rPr>
      </w:pPr>
      <w:r>
        <w:rPr>
          <w:rFonts w:hint="eastAsia" w:cs="Times New Roman"/>
          <w:color w:val="000000" w:themeColor="text1"/>
          <w:kern w:val="0"/>
          <w:sz w:val="24"/>
          <w:szCs w:val="20"/>
          <w:highlight w:val="none"/>
          <w:lang w:val="en-US" w:eastAsia="zh-CN" w:bidi="ar-SA"/>
          <w14:textFill>
            <w14:solidFill>
              <w14:schemeClr w14:val="tx1"/>
            </w14:solidFill>
          </w14:textFill>
        </w:rPr>
        <w:t>（4）与噪声污染防治相关政策及文件符合性分析</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ascii="Times New Roman" w:hAnsi="Times New Roman" w:cs="Times New Roman"/>
          <w:color w:val="000000" w:themeColor="text1"/>
          <w:highlight w:val="none"/>
          <w:lang w:val="en-US" w:eastAsia="zh-CN"/>
          <w14:textFill>
            <w14:solidFill>
              <w14:schemeClr w14:val="tx1"/>
            </w14:solidFill>
          </w14:textFill>
        </w:rPr>
        <w:t>1</w:t>
      </w:r>
      <w:r>
        <w:rPr>
          <w:rFonts w:hint="eastAsia" w:cs="Times New Roman"/>
          <w:color w:val="000000" w:themeColor="text1"/>
          <w:highlight w:val="none"/>
          <w:lang w:val="en-US" w:eastAsia="zh-CN"/>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本项目与</w:t>
      </w:r>
      <w:r>
        <w:rPr>
          <w:rFonts w:hint="eastAsia" w:cs="Times New Roman"/>
          <w:color w:val="000000" w:themeColor="text1"/>
          <w:highlight w:val="none"/>
          <w:lang w:val="en-US" w:eastAsia="zh-CN"/>
          <w14:textFill>
            <w14:solidFill>
              <w14:schemeClr w14:val="tx1"/>
            </w14:solidFill>
          </w14:textFill>
        </w:rPr>
        <w:t>噪声</w:t>
      </w:r>
      <w:r>
        <w:rPr>
          <w:rFonts w:hint="default" w:ascii="Times New Roman" w:hAnsi="Times New Roman" w:cs="Times New Roman"/>
          <w:color w:val="000000" w:themeColor="text1"/>
          <w:highlight w:val="none"/>
          <w14:textFill>
            <w14:solidFill>
              <w14:schemeClr w14:val="tx1"/>
            </w14:solidFill>
          </w14:textFill>
        </w:rPr>
        <w:t>污染防治</w:t>
      </w:r>
      <w:r>
        <w:rPr>
          <w:rFonts w:hint="eastAsia" w:cs="Times New Roman"/>
          <w:color w:val="000000" w:themeColor="text1"/>
          <w:highlight w:val="none"/>
          <w:lang w:val="en-US" w:eastAsia="zh-CN"/>
          <w14:textFill>
            <w14:solidFill>
              <w14:schemeClr w14:val="tx1"/>
            </w14:solidFill>
          </w14:textFill>
        </w:rPr>
        <w:t>相关</w:t>
      </w:r>
      <w:r>
        <w:rPr>
          <w:rFonts w:hint="default" w:ascii="Times New Roman" w:hAnsi="Times New Roman" w:cs="Times New Roman"/>
          <w:color w:val="000000" w:themeColor="text1"/>
          <w:highlight w:val="none"/>
          <w14:textFill>
            <w14:solidFill>
              <w14:schemeClr w14:val="tx1"/>
            </w14:solidFill>
          </w14:textFill>
        </w:rPr>
        <w:t>规范符合性分析表</w:t>
      </w:r>
    </w:p>
    <w:tbl>
      <w:tblPr>
        <w:tblStyle w:val="5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339"/>
        <w:gridCol w:w="4566"/>
        <w:gridCol w:w="1820"/>
        <w:gridCol w:w="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法规、规范</w:t>
            </w:r>
          </w:p>
        </w:tc>
        <w:tc>
          <w:tcPr>
            <w:tcW w:w="4566"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相关要求</w:t>
            </w:r>
          </w:p>
        </w:tc>
        <w:tc>
          <w:tcPr>
            <w:tcW w:w="1820"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对照分析</w:t>
            </w:r>
          </w:p>
        </w:tc>
        <w:tc>
          <w:tcPr>
            <w:tcW w:w="77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噪声污染防治行动计划</w:t>
            </w:r>
            <w:r>
              <w:rPr>
                <w:rFonts w:hint="eastAsia" w:cs="Times New Roman"/>
                <w:color w:val="000000" w:themeColor="text1"/>
                <w:sz w:val="21"/>
                <w:szCs w:val="21"/>
                <w:highlight w:val="none"/>
                <w:lang w:eastAsia="zh-CN"/>
                <w14:textFill>
                  <w14:solidFill>
                    <w14:schemeClr w14:val="tx1"/>
                  </w14:solidFill>
                </w14:textFill>
              </w:rPr>
              <w:t>》</w:t>
            </w:r>
          </w:p>
        </w:tc>
        <w:tc>
          <w:tcPr>
            <w:tcW w:w="4566" w:type="dxa"/>
            <w:vAlign w:val="center"/>
          </w:tcPr>
          <w:p>
            <w:pPr>
              <w:spacing w:line="240" w:lineRule="auto"/>
              <w:ind w:firstLine="0" w:firstLineChars="0"/>
              <w:jc w:val="left"/>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①排放噪声的工业企业应切实采取减振降噪措施，加强厂区内固定设备、运输工具、货物装卸等噪声源管理，同时避免突发噪声扰民。鼓励企业采用先进治理技术，打造行业噪声污染治理示范典型。</w:t>
            </w:r>
          </w:p>
          <w:p>
            <w:pPr>
              <w:spacing w:line="240" w:lineRule="auto"/>
              <w:ind w:firstLine="0" w:firstLineChars="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②推广低噪声施工设备。</w:t>
            </w:r>
          </w:p>
        </w:tc>
        <w:tc>
          <w:tcPr>
            <w:tcW w:w="1820" w:type="dxa"/>
            <w:vMerge w:val="restart"/>
            <w:vAlign w:val="center"/>
          </w:tcPr>
          <w:p>
            <w:pPr>
              <w:spacing w:line="240" w:lineRule="auto"/>
              <w:ind w:firstLine="0" w:firstLineChars="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①本次评价中</w:t>
            </w:r>
            <w:r>
              <w:rPr>
                <w:rFonts w:hint="default" w:ascii="Times New Roman" w:hAnsi="Times New Roman" w:eastAsia="宋体" w:cs="Times New Roman"/>
                <w:color w:val="000000" w:themeColor="text1"/>
                <w:sz w:val="21"/>
                <w:szCs w:val="21"/>
                <w:highlight w:val="none"/>
                <w14:textFill>
                  <w14:solidFill>
                    <w14:schemeClr w14:val="tx1"/>
                  </w14:solidFill>
                </w14:textFill>
              </w:rPr>
              <w:t>对可能产生的噪声进行了影响预测与评估，并提出了相应的防治措施。</w:t>
            </w:r>
          </w:p>
          <w:p>
            <w:pPr>
              <w:spacing w:line="240" w:lineRule="auto"/>
              <w:ind w:firstLine="0" w:firstLineChars="0"/>
              <w:jc w:val="left"/>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②本项目所使用的设备及施工工艺均不属于限制或禁用的落后施工工艺和设备</w:t>
            </w:r>
            <w:r>
              <w:rPr>
                <w:rFonts w:hint="eastAsia" w:cs="Times New Roman"/>
                <w:color w:val="000000" w:themeColor="text1"/>
                <w:sz w:val="21"/>
                <w:szCs w:val="21"/>
                <w:highlight w:val="none"/>
                <w:lang w:eastAsia="zh-CN"/>
                <w14:textFill>
                  <w14:solidFill>
                    <w14:schemeClr w14:val="tx1"/>
                  </w14:solidFill>
                </w14:textFill>
              </w:rPr>
              <w:t>。</w:t>
            </w:r>
          </w:p>
          <w:p>
            <w:pPr>
              <w:spacing w:line="240" w:lineRule="auto"/>
              <w:ind w:firstLine="0" w:firstLineChars="0"/>
              <w:jc w:val="left"/>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③评价要求施工单位编制并落实噪声污染防治工作方案，采取有效隔声降噪设备、设施或施工工艺，确保项目施工不扰民</w:t>
            </w:r>
            <w:r>
              <w:rPr>
                <w:rFonts w:hint="eastAsia" w:cs="Times New Roman"/>
                <w:color w:val="000000" w:themeColor="text1"/>
                <w:sz w:val="21"/>
                <w:szCs w:val="21"/>
                <w:highlight w:val="none"/>
                <w:lang w:eastAsia="zh-CN"/>
                <w14:textFill>
                  <w14:solidFill>
                    <w14:schemeClr w14:val="tx1"/>
                  </w14:solidFill>
                </w14:textFill>
              </w:rPr>
              <w:t>。</w:t>
            </w:r>
          </w:p>
        </w:tc>
        <w:tc>
          <w:tcPr>
            <w:tcW w:w="77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《“十四五”噪声污染防治行动计划》</w:t>
            </w:r>
          </w:p>
        </w:tc>
        <w:tc>
          <w:tcPr>
            <w:tcW w:w="4566" w:type="dxa"/>
            <w:vAlign w:val="center"/>
          </w:tcPr>
          <w:p>
            <w:pPr>
              <w:spacing w:line="240" w:lineRule="auto"/>
              <w:ind w:firstLine="0" w:firstLineChars="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①严格落实噪声污染防治要求。应依法开展环评，对可能产生噪声与振动的影响进行分析、预测和评估，积极采取噪声污染防治对策措施。建设项目的噪声污染防治设施应当与主体工程同时设计、同时施工、同时投产使用。督促建设单位依法开展竣工环境保护验收，加大事中事后监管力度，确保各项措施落地见效。</w:t>
            </w:r>
          </w:p>
          <w:p>
            <w:pPr>
              <w:spacing w:line="240" w:lineRule="auto"/>
              <w:ind w:firstLine="0" w:firstLineChars="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②推广低噪声施工设备。</w:t>
            </w:r>
          </w:p>
          <w:p>
            <w:pPr>
              <w:spacing w:line="240" w:lineRule="auto"/>
              <w:ind w:firstLine="0" w:firstLineChars="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③落实管控责任。施工单位编制并落实噪声污染防治工作方案，采取有效隔声降噪设备、设施或施工工艺。</w:t>
            </w:r>
          </w:p>
        </w:tc>
        <w:tc>
          <w:tcPr>
            <w:tcW w:w="1820" w:type="dxa"/>
            <w:vMerge w:val="continue"/>
            <w:vAlign w:val="center"/>
          </w:tcPr>
          <w:p>
            <w:pPr>
              <w:spacing w:line="240" w:lineRule="auto"/>
              <w:ind w:firstLine="0" w:firstLineChars="0"/>
              <w:jc w:val="left"/>
              <w:rPr>
                <w:rFonts w:hint="default" w:ascii="Times New Roman" w:hAnsi="Times New Roman" w:cs="Times New Roman"/>
                <w:color w:val="000000" w:themeColor="text1"/>
                <w:sz w:val="21"/>
                <w:szCs w:val="21"/>
                <w:highlight w:val="none"/>
                <w14:textFill>
                  <w14:solidFill>
                    <w14:schemeClr w14:val="tx1"/>
                  </w14:solidFill>
                </w14:textFill>
              </w:rPr>
            </w:pPr>
          </w:p>
        </w:tc>
        <w:tc>
          <w:tcPr>
            <w:tcW w:w="77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符合</w:t>
            </w:r>
          </w:p>
        </w:tc>
      </w:tr>
    </w:tbl>
    <w:p>
      <w:pPr>
        <w:pageBreakBefore w:val="0"/>
        <w:widowControl w:val="0"/>
        <w:tabs>
          <w:tab w:val="left" w:pos="0"/>
        </w:tabs>
        <w:kinsoku/>
        <w:wordWrap/>
        <w:overflowPunct/>
        <w:topLinePunct w:val="0"/>
        <w:autoSpaceDE/>
        <w:autoSpaceDN/>
        <w:bidi w:val="0"/>
        <w:adjustRightInd w:val="0"/>
        <w:snapToGrid w:val="0"/>
        <w:ind w:firstLine="480"/>
        <w:textAlignment w:val="auto"/>
        <w:rPr>
          <w:rFonts w:hint="eastAsia" w:cs="Times New Roman"/>
          <w:bCs/>
          <w:color w:val="000000" w:themeColor="text1"/>
          <w:szCs w:val="24"/>
          <w:highlight w:val="none"/>
          <w:lang w:val="en-US" w:eastAsia="zh-CN"/>
          <w14:textFill>
            <w14:solidFill>
              <w14:schemeClr w14:val="tx1"/>
            </w14:solidFill>
          </w14:textFill>
        </w:rPr>
      </w:pP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pPr>
      <w:r>
        <w:rPr>
          <w:rFonts w:hint="eastAsia" w:cs="Times New Roman"/>
          <w:bCs/>
          <w:color w:val="000000" w:themeColor="text1"/>
          <w:szCs w:val="24"/>
          <w:highlight w:val="none"/>
          <w:lang w:val="en-US" w:eastAsia="zh-CN"/>
          <w14:textFill>
            <w14:solidFill>
              <w14:schemeClr w14:val="tx1"/>
            </w14:solidFill>
          </w14:textFill>
        </w:rPr>
        <w:t>综上，本项目与大气、水、土壤、噪声等污染防治相关的政策及文件要求均符合。</w:t>
      </w:r>
    </w:p>
    <w:p>
      <w:pPr>
        <w:pStyle w:val="201"/>
        <w:keepNext/>
        <w:keepLines w:val="0"/>
        <w:pageBreakBefore w:val="0"/>
        <w:widowControl/>
        <w:kinsoku/>
        <w:wordWrap/>
        <w:overflowPunct/>
        <w:topLinePunct w:val="0"/>
        <w:autoSpaceDE/>
        <w:autoSpaceDN/>
        <w:bidi w:val="0"/>
        <w:adjustRightInd w:val="0"/>
        <w:snapToGrid w:val="0"/>
        <w:spacing w:before="0" w:beforeLines="0" w:line="360" w:lineRule="auto"/>
        <w:ind w:leftChars="0" w:firstLine="482" w:firstLineChars="200"/>
        <w:jc w:val="left"/>
        <w:textAlignment w:val="baseline"/>
        <w:rPr>
          <w:rFonts w:hint="eastAsia" w:ascii="Times New Roman" w:hAnsi="Times New Roman" w:eastAsia="宋体" w:cs="Times New Roman"/>
          <w:b/>
          <w:bCs/>
          <w:color w:val="000000" w:themeColor="text1"/>
          <w:kern w:val="0"/>
          <w:sz w:val="24"/>
          <w:szCs w:val="20"/>
          <w:highlight w:val="none"/>
          <w:lang w:val="en-US" w:eastAsia="zh-CN" w:bidi="ar-SA"/>
          <w14:textFill>
            <w14:solidFill>
              <w14:schemeClr w14:val="tx1"/>
            </w14:solidFill>
          </w14:textFill>
        </w:rPr>
      </w:pPr>
      <w:bookmarkStart w:id="68" w:name="_Toc120173079"/>
      <w:r>
        <w:rPr>
          <w:rFonts w:hint="eastAsia" w:eastAsia="宋体" w:cs="Times New Roman"/>
          <w:b/>
          <w:bCs/>
          <w:color w:val="000000" w:themeColor="text1"/>
          <w:kern w:val="0"/>
          <w:sz w:val="24"/>
          <w:szCs w:val="20"/>
          <w:highlight w:val="none"/>
          <w:lang w:val="en-US" w:eastAsia="zh-CN" w:bidi="ar-SA"/>
          <w14:textFill>
            <w14:solidFill>
              <w14:schemeClr w14:val="tx1"/>
            </w14:solidFill>
          </w14:textFill>
        </w:rPr>
        <w:t>2</w:t>
      </w:r>
      <w:r>
        <w:rPr>
          <w:rFonts w:hint="eastAsia" w:ascii="Times New Roman" w:hAnsi="Times New Roman" w:eastAsia="宋体" w:cs="Times New Roman"/>
          <w:b/>
          <w:bCs/>
          <w:color w:val="000000" w:themeColor="text1"/>
          <w:kern w:val="0"/>
          <w:sz w:val="24"/>
          <w:szCs w:val="20"/>
          <w:highlight w:val="none"/>
          <w:lang w:val="en-US" w:eastAsia="zh-CN" w:bidi="ar-SA"/>
          <w14:textFill>
            <w14:solidFill>
              <w14:schemeClr w14:val="tx1"/>
            </w14:solidFill>
          </w14:textFill>
        </w:rPr>
        <w:t>、与《达州市“十四五”生态环境保护规划》的符合性分析</w:t>
      </w:r>
    </w:p>
    <w:p>
      <w:pPr>
        <w:autoSpaceDE w:val="0"/>
        <w:autoSpaceDN w:val="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本项目与《达州市“十四五”生态环境保护规划》的符合性分析见下表：</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cs="Times New Roman"/>
          <w:color w:val="000000" w:themeColor="text1"/>
          <w:highlight w:val="none"/>
          <w:lang w:val="en-US" w:eastAsia="zh-CN"/>
          <w14:textFill>
            <w14:solidFill>
              <w14:schemeClr w14:val="tx1"/>
            </w14:solidFill>
          </w14:textFill>
        </w:rPr>
        <w:t>12</w:t>
      </w:r>
      <w:r>
        <w:rPr>
          <w:rFonts w:hint="default" w:ascii="Times New Roman" w:hAnsi="Times New Roman" w:cs="Times New Roman"/>
          <w:color w:val="000000" w:themeColor="text1"/>
          <w:highlight w:val="none"/>
          <w14:textFill>
            <w14:solidFill>
              <w14:schemeClr w14:val="tx1"/>
            </w14:solidFill>
          </w14:textFill>
        </w:rPr>
        <w:t xml:space="preserve"> </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与《达州市“十四五”生态环境保护规划》的符合性分析一览表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95"/>
        <w:gridCol w:w="4235"/>
        <w:gridCol w:w="2652"/>
        <w:gridCol w:w="8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356"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253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规划要求</w:t>
            </w:r>
          </w:p>
        </w:tc>
        <w:tc>
          <w:tcPr>
            <w:tcW w:w="1586"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项目内容</w:t>
            </w:r>
          </w:p>
        </w:tc>
        <w:tc>
          <w:tcPr>
            <w:tcW w:w="526"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253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落实国土空间开发保护格局。以达川区、通川区、大竹县为重点开发区域，加快推进中心城市发展，优化城市空间布局，重点发展清洁能源、天然气化工、农产品加工业，加强生态环境保护和流域综合整治···</w:t>
            </w:r>
          </w:p>
        </w:tc>
        <w:tc>
          <w:tcPr>
            <w:tcW w:w="158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本项目属于天然气试采项目。</w:t>
            </w:r>
          </w:p>
        </w:tc>
        <w:tc>
          <w:tcPr>
            <w:tcW w:w="52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253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···加强清洁能源示范建设，实施中国“气大庆”建设行动，推进国家天然气综合开发利用示范区建设，提高天然气就地转化效率，进一步提高非化石能源供给及其在能源消费结构中的比例···</w:t>
            </w:r>
          </w:p>
        </w:tc>
        <w:tc>
          <w:tcPr>
            <w:tcW w:w="158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本项目属于天然气试采项目。</w:t>
            </w:r>
          </w:p>
        </w:tc>
        <w:tc>
          <w:tcPr>
            <w:tcW w:w="52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253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···加强矿产资源综合利用，合理开发利用煤炭、天然气、页岩气、卤水等矿产资源···</w:t>
            </w:r>
          </w:p>
        </w:tc>
        <w:tc>
          <w:tcPr>
            <w:tcW w:w="158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本项目属于天然气试采项目。</w:t>
            </w:r>
          </w:p>
        </w:tc>
        <w:tc>
          <w:tcPr>
            <w:tcW w:w="52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253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···加强矿山开采、天然气勘探开发全过程环境管理···</w:t>
            </w:r>
          </w:p>
        </w:tc>
        <w:tc>
          <w:tcPr>
            <w:tcW w:w="158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本项目在施工及运营期均严格落实各项环境保护措施，全过程加强对环境的管理。</w:t>
            </w:r>
          </w:p>
        </w:tc>
        <w:tc>
          <w:tcPr>
            <w:tcW w:w="52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2532"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···重点支持普光经济开发区开展天然气钻井岩屑资源化利用···</w:t>
            </w:r>
          </w:p>
        </w:tc>
        <w:tc>
          <w:tcPr>
            <w:tcW w:w="1586" w:type="pct"/>
            <w:vAlign w:val="center"/>
          </w:tcPr>
          <w:p>
            <w:pPr>
              <w:pStyle w:val="295"/>
              <w:jc w:val="left"/>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本项目所产生的钻井岩屑均得到妥善</w:t>
            </w:r>
            <w:r>
              <w:rPr>
                <w:rFonts w:hint="eastAsia" w:cs="Times New Roman"/>
                <w:color w:val="000000" w:themeColor="text1"/>
                <w:highlight w:val="none"/>
                <w:lang w:val="en-US" w:eastAsia="zh-CN"/>
                <w14:textFill>
                  <w14:solidFill>
                    <w14:schemeClr w14:val="tx1"/>
                  </w14:solidFill>
                </w14:textFill>
              </w:rPr>
              <w:t>的</w:t>
            </w:r>
            <w:r>
              <w:rPr>
                <w:rFonts w:hint="default" w:ascii="Times New Roman" w:hAnsi="Times New Roman" w:cs="Times New Roman"/>
                <w:color w:val="000000" w:themeColor="text1"/>
                <w:highlight w:val="none"/>
                <w14:textFill>
                  <w14:solidFill>
                    <w14:schemeClr w14:val="tx1"/>
                  </w14:solidFill>
                </w14:textFill>
              </w:rPr>
              <w:t>资源化利用</w:t>
            </w:r>
            <w:r>
              <w:rPr>
                <w:rFonts w:hint="eastAsia" w:cs="Times New Roman"/>
                <w:color w:val="000000" w:themeColor="text1"/>
                <w:highlight w:val="none"/>
                <w:lang w:eastAsia="zh-CN"/>
                <w14:textFill>
                  <w14:solidFill>
                    <w14:schemeClr w14:val="tx1"/>
                  </w14:solidFill>
                </w14:textFill>
              </w:rPr>
              <w:t>。</w:t>
            </w:r>
          </w:p>
        </w:tc>
        <w:tc>
          <w:tcPr>
            <w:tcW w:w="52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bl>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综上所述，本项目与</w:t>
      </w:r>
      <w:r>
        <w:rPr>
          <w:rFonts w:hint="default" w:ascii="Times New Roman" w:hAnsi="Times New Roman" w:cs="Times New Roman"/>
          <w:bCs/>
          <w:color w:val="000000" w:themeColor="text1"/>
          <w:szCs w:val="24"/>
          <w:highlight w:val="none"/>
          <w14:textFill>
            <w14:solidFill>
              <w14:schemeClr w14:val="tx1"/>
            </w14:solidFill>
          </w14:textFill>
        </w:rPr>
        <w:t>《达州市“十四五”生态环境保护规划》</w:t>
      </w:r>
      <w:r>
        <w:rPr>
          <w:rFonts w:hint="default" w:ascii="Times New Roman" w:hAnsi="Times New Roman" w:cs="Times New Roman"/>
          <w:color w:val="000000" w:themeColor="text1"/>
          <w:highlight w:val="none"/>
          <w14:textFill>
            <w14:solidFill>
              <w14:schemeClr w14:val="tx1"/>
            </w14:solidFill>
          </w14:textFill>
        </w:rPr>
        <w:t>相符。</w:t>
      </w:r>
    </w:p>
    <w:bookmarkEnd w:id="68"/>
    <w:p>
      <w:pPr>
        <w:pStyle w:val="5"/>
        <w:numPr>
          <w:ilvl w:val="0"/>
          <w:numId w:val="0"/>
        </w:numPr>
        <w:spacing w:before="163"/>
        <w:ind w:left="480"/>
        <w:rPr>
          <w:rFonts w:hint="default" w:ascii="Times New Roman" w:hAnsi="Times New Roman" w:eastAsia="宋体" w:cs="Times New Roman"/>
          <w:b/>
          <w:bCs/>
          <w:color w:val="000000" w:themeColor="text1"/>
          <w:kern w:val="0"/>
          <w:sz w:val="24"/>
          <w:szCs w:val="20"/>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0"/>
          <w:highlight w:val="none"/>
          <w:lang w:val="en-US" w:eastAsia="zh-CN" w:bidi="ar-SA"/>
          <w14:textFill>
            <w14:solidFill>
              <w14:schemeClr w14:val="tx1"/>
            </w14:solidFill>
          </w14:textFill>
        </w:rPr>
        <w:t>3、与长江经济带生态保护要求的相关规划符合性</w:t>
      </w:r>
    </w:p>
    <w:p>
      <w:pPr>
        <w:tabs>
          <w:tab w:val="left" w:pos="0"/>
        </w:tabs>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（1）与《中华人民共和国长江保护法》（中华人民共和国主席令 第六十五号）的符合性分析</w:t>
      </w:r>
    </w:p>
    <w:p>
      <w:pPr>
        <w:tabs>
          <w:tab w:val="left" w:pos="0"/>
        </w:tabs>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根据《中华人民共和国长江保护法》，</w:t>
      </w:r>
      <w:r>
        <w:rPr>
          <w:rFonts w:hint="default" w:ascii="Times New Roman" w:hAnsi="Times New Roman" w:cs="Times New Roman"/>
          <w:bCs/>
          <w:i/>
          <w:iCs/>
          <w:color w:val="000000" w:themeColor="text1"/>
          <w:szCs w:val="24"/>
          <w:highlight w:val="none"/>
          <w14:textFill>
            <w14:solidFill>
              <w14:schemeClr w14:val="tx1"/>
            </w14:solidFill>
          </w14:textFill>
        </w:rPr>
        <w:t>“禁止在长江干支流岸线一公里范围内新建、扩建化工园区和化工项目。禁止在长江干流岸线三公里范围内和重要支流岸线一公里范围内新建、改建、扩建尾矿库；但是以提升安全、生态环境保护水平为目的的改建除外。”</w:t>
      </w:r>
      <w:r>
        <w:rPr>
          <w:rFonts w:hint="default" w:ascii="Times New Roman" w:hAnsi="Times New Roman" w:cs="Times New Roman"/>
          <w:bCs/>
          <w:color w:val="000000" w:themeColor="text1"/>
          <w:szCs w:val="24"/>
          <w:highlight w:val="none"/>
          <w14:textFill>
            <w14:solidFill>
              <w14:schemeClr w14:val="tx1"/>
            </w14:solidFill>
          </w14:textFill>
        </w:rPr>
        <w:t>本项目位于宣汉县，距离最近的河流中河不属于长江干流、重要支流，且项目为天然气试采项目，不设置尾矿库，不属于化工项目、尾矿库项目，故项目建设不违背《中华人民共和国长江保护法》的要求。</w:t>
      </w:r>
    </w:p>
    <w:p>
      <w:pPr>
        <w:tabs>
          <w:tab w:val="left" w:pos="0"/>
        </w:tabs>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（2）与《长江经济带生态环境保护规划》（环规财〔2017〕88号）符合性</w:t>
      </w:r>
    </w:p>
    <w:p>
      <w:pPr>
        <w:tabs>
          <w:tab w:val="left" w:pos="0"/>
        </w:tabs>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lang w:val="en-US" w:eastAsia="zh-CN"/>
          <w14:textFill>
            <w14:solidFill>
              <w14:schemeClr w14:val="tx1"/>
            </w14:solidFill>
          </w14:textFill>
        </w:rPr>
        <w:t>根据</w:t>
      </w:r>
      <w:r>
        <w:rPr>
          <w:rFonts w:hint="default" w:ascii="Times New Roman" w:hAnsi="Times New Roman" w:cs="Times New Roman"/>
          <w:bCs/>
          <w:color w:val="000000" w:themeColor="text1"/>
          <w:szCs w:val="24"/>
          <w:highlight w:val="none"/>
          <w14:textFill>
            <w14:solidFill>
              <w14:schemeClr w14:val="tx1"/>
            </w14:solidFill>
          </w14:textFill>
        </w:rPr>
        <w:t>《长江经济带生态环境保护规划》中第六条：</w:t>
      </w:r>
      <w:r>
        <w:rPr>
          <w:rFonts w:hint="default" w:ascii="Times New Roman" w:hAnsi="Times New Roman" w:cs="Times New Roman"/>
          <w:bCs/>
          <w:i/>
          <w:iCs/>
          <w:color w:val="000000" w:themeColor="text1"/>
          <w:szCs w:val="24"/>
          <w:highlight w:val="none"/>
          <w14:textFill>
            <w14:solidFill>
              <w14:schemeClr w14:val="tx1"/>
            </w14:solidFill>
          </w14:textFill>
        </w:rPr>
        <w:t>“全面推进环境污染治理，建设宜居城乡环境专栏”，该条要求中提出改善城市环境质量，推进成渝城市大气污染防治。</w:t>
      </w:r>
      <w:r>
        <w:rPr>
          <w:rFonts w:hint="default" w:ascii="Times New Roman" w:hAnsi="Times New Roman" w:cs="Times New Roman"/>
          <w:bCs/>
          <w:i/>
          <w:iCs/>
          <w:color w:val="000000" w:themeColor="text1"/>
          <w:szCs w:val="24"/>
          <w:highlight w:val="none"/>
          <w:u w:val="single"/>
          <w14:textFill>
            <w14:solidFill>
              <w14:schemeClr w14:val="tx1"/>
            </w14:solidFill>
          </w14:textFill>
        </w:rPr>
        <w:t>增加天然气的开发程度，提供天然气供应量，有利于加速产业升级和能源结构的调整，</w:t>
      </w:r>
      <w:r>
        <w:rPr>
          <w:rFonts w:hint="default" w:ascii="Times New Roman" w:hAnsi="Times New Roman" w:cs="Times New Roman"/>
          <w:bCs/>
          <w:color w:val="000000" w:themeColor="text1"/>
          <w:szCs w:val="24"/>
          <w:highlight w:val="none"/>
          <w14:textFill>
            <w14:solidFill>
              <w14:schemeClr w14:val="tx1"/>
            </w14:solidFill>
          </w14:textFill>
        </w:rPr>
        <w:t>本项目属于天然气勘探开发项目，项目的建设能够改善川渝地区区域大气环境质量，符合《长江经济带生态环境保护规划》要求。</w:t>
      </w:r>
    </w:p>
    <w:p>
      <w:pPr>
        <w:tabs>
          <w:tab w:val="left" w:pos="0"/>
        </w:tabs>
        <w:ind w:firstLine="480"/>
        <w:rPr>
          <w:rFonts w:hint="eastAsia"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（3）与《长江经济带发展负面清单指南（试行，2022年版）》</w:t>
      </w:r>
      <w:r>
        <w:rPr>
          <w:rFonts w:hint="eastAsia" w:cs="Times New Roman"/>
          <w:bCs/>
          <w:color w:val="000000" w:themeColor="text1"/>
          <w:szCs w:val="24"/>
          <w:highlight w:val="none"/>
          <w:lang w:val="en-US" w:eastAsia="zh-CN"/>
          <w14:textFill>
            <w14:solidFill>
              <w14:schemeClr w14:val="tx1"/>
            </w14:solidFill>
          </w14:textFill>
        </w:rPr>
        <w:t>的 符合性分析</w:t>
      </w:r>
    </w:p>
    <w:p>
      <w:pPr>
        <w:tabs>
          <w:tab w:val="left" w:pos="0"/>
        </w:tabs>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i/>
          <w:iCs/>
          <w:color w:val="000000" w:themeColor="text1"/>
          <w:szCs w:val="24"/>
          <w:highlight w:val="none"/>
          <w14:textFill>
            <w14:solidFill>
              <w14:schemeClr w14:val="tx1"/>
            </w14:solidFill>
          </w14:textFill>
        </w:rPr>
        <w:t>根据《长江经济带发展负面清单指南（试行，2022年版）》，“8.禁止在长江干流、重要湖泊岸线一公里范围内新建、扩建化工园区和化工项目。禁止在长江干流岸线一公里范围内新建、改建、扩建尾矿库、冶炼渣库和磷石膏库，以提升安全、生态环境保护水平为目的的改建除外。9.禁止在合规园区外新建、扩建钢铁、石化、化工、</w:t>
      </w:r>
      <w:r>
        <w:rPr>
          <w:rFonts w:hint="default" w:ascii="Times New Roman" w:hAnsi="Times New Roman" w:cs="Times New Roman"/>
          <w:bCs/>
          <w:i/>
          <w:iCs/>
          <w:color w:val="000000" w:themeColor="text1"/>
          <w:szCs w:val="24"/>
          <w:highlight w:val="none"/>
          <w:lang w:eastAsia="zh-CN"/>
          <w14:textFill>
            <w14:solidFill>
              <w14:schemeClr w14:val="tx1"/>
            </w14:solidFill>
          </w14:textFill>
        </w:rPr>
        <w:t>焦化</w:t>
      </w:r>
      <w:r>
        <w:rPr>
          <w:rFonts w:hint="default" w:ascii="Times New Roman" w:hAnsi="Times New Roman" w:cs="Times New Roman"/>
          <w:bCs/>
          <w:i/>
          <w:iCs/>
          <w:color w:val="000000" w:themeColor="text1"/>
          <w:szCs w:val="24"/>
          <w:highlight w:val="none"/>
          <w14:textFill>
            <w14:solidFill>
              <w14:schemeClr w14:val="tx1"/>
            </w14:solidFill>
          </w14:textFill>
        </w:rPr>
        <w:t>、建材、有色、制浆造纸等高污染项目。11.禁止新建、扩建法律法规和相关政策明令禁止的落后产能项目。禁止新建、扩建不符合国家产能置换要求的严重过剩产能行业的项目。禁止新建、扩建不符合要求的高耗能高排放项目。</w:t>
      </w:r>
      <w:r>
        <w:rPr>
          <w:rFonts w:hint="default" w:ascii="Times New Roman" w:hAnsi="Times New Roman" w:cs="Times New Roman"/>
          <w:bCs/>
          <w:color w:val="000000" w:themeColor="text1"/>
          <w:szCs w:val="24"/>
          <w:highlight w:val="none"/>
          <w14:textFill>
            <w14:solidFill>
              <w14:schemeClr w14:val="tx1"/>
            </w14:solidFill>
          </w14:textFill>
        </w:rPr>
        <w:t>”本项目位于宣汉县，距离最近河流中河不属于长江干流、重要支流，且项目为天然气试采项目，不设置尾矿库，不属于化工项目、尾矿库项目，项目不在长江干流、重要湖泊岸线一公里范围内，也不属于上述禁止建设的项目，符合《长江经济带发展负面清单指南（试行，2022年版）》管控要求。</w:t>
      </w:r>
    </w:p>
    <w:p>
      <w:pPr>
        <w:tabs>
          <w:tab w:val="left" w:pos="0"/>
        </w:tabs>
        <w:ind w:firstLine="480"/>
        <w:rPr>
          <w:rFonts w:hint="eastAsia" w:ascii="Times New Roman" w:hAnsi="Times New Roman" w:eastAsia="宋体" w:cs="Times New Roman"/>
          <w:bCs/>
          <w:color w:val="000000" w:themeColor="text1"/>
          <w:szCs w:val="24"/>
          <w:highlight w:val="none"/>
          <w:lang w:val="en-US" w:eastAsia="zh-CN"/>
          <w14:textFill>
            <w14:solidFill>
              <w14:schemeClr w14:val="tx1"/>
            </w14:solidFill>
          </w14:textFill>
        </w:rPr>
      </w:pP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lang w:val="en-US" w:eastAsia="zh-CN"/>
          <w14:textFill>
            <w14:solidFill>
              <w14:schemeClr w14:val="tx1"/>
            </w14:solidFill>
          </w14:textFill>
        </w:rPr>
        <w:t>4</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lang w:val="en-US" w:eastAsia="zh-CN"/>
          <w14:textFill>
            <w14:solidFill>
              <w14:schemeClr w14:val="tx1"/>
            </w14:solidFill>
          </w14:textFill>
        </w:rPr>
        <w:t>与</w:t>
      </w:r>
      <w:r>
        <w:rPr>
          <w:rFonts w:hint="default" w:ascii="Times New Roman" w:hAnsi="Times New Roman" w:cs="Times New Roman"/>
          <w:bCs/>
          <w:color w:val="000000" w:themeColor="text1"/>
          <w:szCs w:val="24"/>
          <w:highlight w:val="none"/>
          <w14:textFill>
            <w14:solidFill>
              <w14:schemeClr w14:val="tx1"/>
            </w14:solidFill>
          </w14:textFill>
        </w:rPr>
        <w:t>《四川省、重庆市长江经济带发展负面清单实施细则（试行，2022年版）》的符合性</w:t>
      </w:r>
      <w:r>
        <w:rPr>
          <w:rFonts w:hint="eastAsia" w:cs="Times New Roman"/>
          <w:bCs/>
          <w:color w:val="000000" w:themeColor="text1"/>
          <w:szCs w:val="24"/>
          <w:highlight w:val="none"/>
          <w:lang w:val="en-US" w:eastAsia="zh-CN"/>
          <w14:textFill>
            <w14:solidFill>
              <w14:schemeClr w14:val="tx1"/>
            </w14:solidFill>
          </w14:textFill>
        </w:rPr>
        <w:t>分析</w:t>
      </w:r>
    </w:p>
    <w:p>
      <w:pPr>
        <w:pStyle w:val="201"/>
        <w:keepLines w:val="0"/>
        <w:pageBreakBefore w:val="0"/>
        <w:kinsoku/>
        <w:wordWrap/>
        <w:overflowPunct/>
        <w:topLinePunct w:val="0"/>
        <w:autoSpaceDE/>
        <w:autoSpaceDN/>
        <w:bidi w:val="0"/>
        <w:adjustRightInd w:val="0"/>
        <w:snapToGrid w:val="0"/>
        <w:spacing w:before="0" w:beforeLines="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cs="Times New Roman"/>
          <w:color w:val="000000" w:themeColor="text1"/>
          <w:highlight w:val="none"/>
          <w:lang w:val="en-US" w:eastAsia="zh-CN"/>
          <w14:textFill>
            <w14:solidFill>
              <w14:schemeClr w14:val="tx1"/>
            </w14:solidFill>
          </w14:textFill>
        </w:rPr>
        <w:t>13</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bCs/>
          <w:color w:val="000000" w:themeColor="text1"/>
          <w:szCs w:val="24"/>
          <w:highlight w:val="none"/>
          <w14:textFill>
            <w14:solidFill>
              <w14:schemeClr w14:val="tx1"/>
            </w14:solidFill>
          </w14:textFill>
        </w:rPr>
        <w:t>本项目与《四川省、重庆市长江经济带发展负面清单实施细则（试行，2022年版）》</w:t>
      </w:r>
      <w:r>
        <w:rPr>
          <w:rFonts w:hint="default" w:ascii="Times New Roman" w:hAnsi="Times New Roman" w:cs="Times New Roman"/>
          <w:color w:val="000000" w:themeColor="text1"/>
          <w:highlight w:val="none"/>
          <w14:textFill>
            <w14:solidFill>
              <w14:schemeClr w14:val="tx1"/>
            </w14:solidFill>
          </w14:textFill>
        </w:rPr>
        <w:t>对比分析表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86"/>
        <w:gridCol w:w="4977"/>
        <w:gridCol w:w="1631"/>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70"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2976"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污染防治技术政策要求</w:t>
            </w:r>
          </w:p>
        </w:tc>
        <w:tc>
          <w:tcPr>
            <w:tcW w:w="97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本工程内容</w:t>
            </w:r>
          </w:p>
        </w:tc>
        <w:tc>
          <w:tcPr>
            <w:tcW w:w="580"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第五条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禁止新建、改建和扩建不符合全国港口布局规划，以及《四川省内河水运发展规划</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泸州—宜宾—乐山港口群布局规划</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重庆港总体规划（2035年）》等省级港口布局规划及市级港口总体规划的码头项目。</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本工程不属于该类项目。</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第六条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禁止新建、改建和扩建不符合《长江干线过江通道布局规划》的过长江通道项目（含桥梁、隧道），国家发展改革委同意过长江通道线位调整的除外。</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本工程不属于该类项目。</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第七条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禁止在自然保护区核心区、缓冲区的岸线和河段范围内投资建设旅游和生产经营项目。自然保护区内部未分区的，依照核心区和缓冲区的规定管控。</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本工程不在当地自然保护区范围内。</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第八条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禁止违反风景名胜区规划，在风景名胜区内设立各类开发区；禁止在风景名胜区核心景区的岸线和河段范围内建设宾馆、招待所、培训中心、疗养院以及与风景名胜资源保护无关的其他建筑物。</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本工程不在当地风景名胜区范围内。</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第九条、第十条、第十一条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禁止在饮用水水源准保护区的岸线和河段范围内新建、扩建对水体污染严重的建设项目，禁止改建增加排污量的建设项目。</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饮用水水源二级保护区的岸线和河段范围内，除遵守准保护区规定外，禁止新建、改建、扩建排放污染物的投资建设项目；禁止从事对水体有污染的水产养殖活动。</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饮用水水源一级保护区的岸线和河段范围内，除遵守二级保护区规定外，禁止新建、改建、扩建与供水设施和保护水源无关的项目，以及网箱养殖、畜禽养殖、旅游等可能污染饮用水水体的投资建设项目。</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本工程不在当地集中式饮用水源保护区范围内。</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第十二条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禁止在水产种质资源保护区的岸线和河段范围内新建围湖造田、围湖造地或挖沙采石等投资建设项目。</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本工程不在当地水产种质资源保护区范围内。</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第十三条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本工程不涉及当地湿地公园。</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第十四条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十四条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本工程不在《长江岸线保护和开发利用总体规划》划定的岸线保护区范围内。</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第十五条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禁止在《全国重要江河湖泊水功能区划》划定的河段及湖泊保护区、保留区内投资建设不利于水资源及自然生态保护的项目。</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本工程不在《全国重要江河湖泊水功能区划》划定的河段保护区、保留区范围内。</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第十六条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禁止在长江流域江河、湖泊新设、改设或者扩大排污口，经有管辖权的生态环境主管部门或者长江流域生态环境监督管理机构同意的除外。</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本工程不涉及排污口。</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第十七条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禁止在长江干流、大渡河、岷江、赤水河、沱江、嘉陵江、乌江、汉江和51个（四川省45个、重庆市6个）水生生物保护区开展生产性捕捞。</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本工程不涉及捕捞，不涉及水域施工。</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第十八条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禁止在长江干支流、重要湖泊岸线一公里范围内新建、扩建化工园区和化工项目。</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本工程不属于化工园区和化工项目。</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第十九条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禁止在长江干流岸线三公里范围内和重要支流岸线一公里范围内新建、改建、扩建尾矿库、冶炼渣库、磷石膏库，以提升安全、生态环境保护水平为目的的改建除外。</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本工程不属于尾矿库、冶炼渣库、磷石膏库项目。</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第二十条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禁止在生态保护红线区域、永久基本农田集中区域和其他需要特别保护的区域内选址建设尾矿库﹑冶炼渣库、磷石膏库。</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本工程不属于尾矿库、冶炼渣库、磷石膏库项目。</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第二十一条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禁止在合规园区外新建、扩建钢铁、石化、化工、焦化、建材、有色、制浆造纸等高污染项目。</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本工程不属于钢铁、石化、化工、焦化、建材、有色、制浆造纸等高污染项目。</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第二十二条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禁止新建、扩建不符合国家石化、现代煤化工等产业布局规划的项目。</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本工程符合国家产业规划。</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第二十三条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本工程为鼓励类项目。</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第二十四条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禁止新建、扩建不符合国家产能置换要求的严重过剩产能行业的项目。对于不符合国家产能置换要求的严重过剩产能行业，不得以其他任何名义、任何方式备案新增产能项目。</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本工程不属于不符合国家产能置换要求的严重过剩产能行业的项目。</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第二十五条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禁止建设以下燃油汽车投资项目（不在中国境内销售产品的投资项目除外）。</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本工程不属于燃油汽车投资项目。</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第二十六条</w:t>
            </w:r>
          </w:p>
        </w:tc>
        <w:tc>
          <w:tcPr>
            <w:tcW w:w="2976"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禁止新建、扩建不符合要求的高耗能、高排放、低水平项目。</w:t>
            </w:r>
          </w:p>
        </w:tc>
        <w:tc>
          <w:tcPr>
            <w:tcW w:w="97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本工程不属于不符合要求的高耗能、高排放、低水平项目。</w:t>
            </w:r>
          </w:p>
        </w:tc>
        <w:tc>
          <w:tcPr>
            <w:tcW w:w="5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bl>
    <w:p>
      <w:pPr>
        <w:pageBreakBefore w:val="0"/>
        <w:widowControl w:val="0"/>
        <w:kinsoku/>
        <w:wordWrap/>
        <w:overflowPunct/>
        <w:topLinePunct w:val="0"/>
        <w:autoSpaceDE w:val="0"/>
        <w:autoSpaceDN w:val="0"/>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p>
    <w:p>
      <w:pPr>
        <w:pageBreakBefore w:val="0"/>
        <w:widowControl w:val="0"/>
        <w:kinsoku/>
        <w:wordWrap/>
        <w:overflowPunct/>
        <w:topLinePunct w:val="0"/>
        <w:autoSpaceDE w:val="0"/>
        <w:autoSpaceDN w:val="0"/>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综上，</w:t>
      </w:r>
      <w:r>
        <w:rPr>
          <w:rFonts w:hint="default" w:ascii="Times New Roman" w:hAnsi="Times New Roman" w:cs="Times New Roman"/>
          <w:color w:val="000000" w:themeColor="text1"/>
          <w:szCs w:val="24"/>
          <w:highlight w:val="none"/>
          <w14:textFill>
            <w14:solidFill>
              <w14:schemeClr w14:val="tx1"/>
            </w14:solidFill>
          </w14:textFill>
        </w:rPr>
        <w:t>本项目建设符合</w:t>
      </w:r>
      <w:r>
        <w:rPr>
          <w:rFonts w:hint="default" w:ascii="Times New Roman" w:hAnsi="Times New Roman" w:cs="Times New Roman"/>
          <w:bCs/>
          <w:color w:val="000000" w:themeColor="text1"/>
          <w:szCs w:val="24"/>
          <w:highlight w:val="none"/>
          <w14:textFill>
            <w14:solidFill>
              <w14:schemeClr w14:val="tx1"/>
            </w14:solidFill>
          </w14:textFill>
        </w:rPr>
        <w:t>《四川省、重庆市长江经济带发展负面清单实施细则（试行，2022年版）》</w:t>
      </w:r>
      <w:r>
        <w:rPr>
          <w:rFonts w:hint="default" w:ascii="Times New Roman" w:hAnsi="Times New Roman" w:cs="Times New Roman"/>
          <w:color w:val="000000" w:themeColor="text1"/>
          <w:szCs w:val="24"/>
          <w:highlight w:val="none"/>
          <w14:textFill>
            <w14:solidFill>
              <w14:schemeClr w14:val="tx1"/>
            </w14:solidFill>
          </w14:textFill>
        </w:rPr>
        <w:t>要求。</w:t>
      </w:r>
    </w:p>
    <w:p>
      <w:pPr>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br w:type="page"/>
      </w:r>
    </w:p>
    <w:p>
      <w:pPr>
        <w:pStyle w:val="4"/>
        <w:pageBreakBefore w:val="0"/>
        <w:widowControl w:val="0"/>
        <w:numPr>
          <w:ilvl w:val="2"/>
          <w:numId w:val="0"/>
        </w:numPr>
        <w:kinsoku/>
        <w:wordWrap/>
        <w:overflowPunct/>
        <w:topLinePunct w:val="0"/>
        <w:autoSpaceDE/>
        <w:autoSpaceDN/>
        <w:bidi w:val="0"/>
        <w:adjustRightInd w:val="0"/>
        <w:snapToGrid w:val="0"/>
        <w:spacing w:before="0" w:beforeLines="0"/>
        <w:ind w:left="480" w:leftChars="0"/>
        <w:textAlignment w:val="auto"/>
        <w:rPr>
          <w:rFonts w:hint="eastAsia" w:ascii="黑体" w:hAnsi="黑体" w:eastAsia="黑体" w:cs="黑体"/>
          <w:color w:val="000000" w:themeColor="text1"/>
          <w:highlight w:val="none"/>
          <w:lang w:eastAsia="zh-CN"/>
          <w14:textFill>
            <w14:solidFill>
              <w14:schemeClr w14:val="tx1"/>
            </w14:solidFill>
          </w14:textFill>
        </w:rPr>
      </w:pPr>
      <w:bookmarkStart w:id="69" w:name="_Toc120173080"/>
      <w:r>
        <w:rPr>
          <w:rFonts w:hint="eastAsia" w:ascii="黑体" w:hAnsi="黑体" w:eastAsia="黑体" w:cs="黑体"/>
          <w:color w:val="000000" w:themeColor="text1"/>
          <w:highlight w:val="none"/>
          <w:lang w:val="en-US" w:eastAsia="zh-CN"/>
          <w14:textFill>
            <w14:solidFill>
              <w14:schemeClr w14:val="tx1"/>
            </w14:solidFill>
          </w14:textFill>
        </w:rPr>
        <w:t>2.7.7</w:t>
      </w:r>
      <w:r>
        <w:rPr>
          <w:rFonts w:hint="eastAsia" w:ascii="黑体" w:hAnsi="黑体" w:eastAsia="黑体" w:cs="黑体"/>
          <w:color w:val="000000" w:themeColor="text1"/>
          <w:highlight w:val="none"/>
          <w:lang w:eastAsia="zh-CN"/>
          <w14:textFill>
            <w14:solidFill>
              <w14:schemeClr w14:val="tx1"/>
            </w14:solidFill>
          </w14:textFill>
        </w:rPr>
        <w:t>“三线一单”符合性分析</w:t>
      </w:r>
      <w:bookmarkEnd w:id="69"/>
    </w:p>
    <w:p>
      <w:pPr>
        <w:keepNext w:val="0"/>
        <w:keepLines w:val="0"/>
        <w:pageBreakBefore w:val="0"/>
        <w:widowControl w:val="0"/>
        <w:kinsoku/>
        <w:wordWrap/>
        <w:overflowPunct w:val="0"/>
        <w:topLinePunct w:val="0"/>
        <w:autoSpaceDE/>
        <w:autoSpaceDN/>
        <w:bidi w:val="0"/>
        <w:adjustRightInd w:val="0"/>
        <w:snapToGrid w:val="0"/>
        <w:spacing w:line="360" w:lineRule="auto"/>
        <w:ind w:firstLine="480" w:firstLineChars="200"/>
        <w:jc w:val="left"/>
        <w:textAlignment w:val="auto"/>
        <w:rPr>
          <w:rFonts w:hint="default" w:cs="Times New Roman"/>
          <w:color w:val="000000" w:themeColor="text1"/>
          <w:spacing w:val="0"/>
          <w:kern w:val="21"/>
          <w:position w:val="0"/>
          <w:sz w:val="24"/>
          <w:szCs w:val="24"/>
          <w:highlight w:val="none"/>
          <w:lang w:val="en-US" w:eastAsia="zh-CN"/>
          <w14:textFill>
            <w14:solidFill>
              <w14:schemeClr w14:val="tx1"/>
            </w14:solidFill>
          </w14:textFill>
        </w:rPr>
      </w:pPr>
      <w:r>
        <w:rPr>
          <w:rFonts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2021年12月27日，四川省生态环境厅办公室发布了</w:t>
      </w:r>
      <w:r>
        <w:rPr>
          <w:rFonts w:hint="eastAsia"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w:t>
      </w:r>
      <w:r>
        <w:rPr>
          <w:rFonts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关于印发《产业园区规划环评</w:t>
      </w:r>
      <w:r>
        <w:rPr>
          <w:rFonts w:hint="eastAsia"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w:t>
      </w:r>
      <w:r>
        <w:rPr>
          <w:rFonts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三线一单</w:t>
      </w:r>
      <w:r>
        <w:rPr>
          <w:rFonts w:hint="eastAsia"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w:t>
      </w:r>
      <w:r>
        <w:rPr>
          <w:rFonts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符合性分析技术要点（试行</w:t>
      </w:r>
      <w:r>
        <w:rPr>
          <w:rFonts w:hint="eastAsia"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w:t>
      </w:r>
      <w:r>
        <w:rPr>
          <w:rFonts w:hint="eastAsia" w:cs="Times New Roman"/>
          <w:color w:val="000000" w:themeColor="text1"/>
          <w:spacing w:val="0"/>
          <w:kern w:val="21"/>
          <w:position w:val="0"/>
          <w:sz w:val="24"/>
          <w:szCs w:val="24"/>
          <w:highlight w:val="none"/>
          <w:lang w:eastAsia="zh-CN"/>
          <w14:textFill>
            <w14:solidFill>
              <w14:schemeClr w14:val="tx1"/>
            </w14:solidFill>
          </w14:textFill>
        </w:rPr>
        <w:t>》《</w:t>
      </w:r>
      <w:r>
        <w:rPr>
          <w:rFonts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项目环评</w:t>
      </w:r>
      <w:r>
        <w:rPr>
          <w:rFonts w:hint="eastAsia"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w:t>
      </w:r>
      <w:r>
        <w:rPr>
          <w:rFonts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三线一单</w:t>
      </w:r>
      <w:r>
        <w:rPr>
          <w:rFonts w:hint="eastAsia"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w:t>
      </w:r>
      <w:r>
        <w:rPr>
          <w:rFonts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符合性分析技术要点</w:t>
      </w:r>
      <w:r>
        <w:rPr>
          <w:rFonts w:hint="eastAsia"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w:t>
      </w:r>
      <w:r>
        <w:rPr>
          <w:rFonts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试行</w:t>
      </w:r>
      <w:r>
        <w:rPr>
          <w:rFonts w:hint="eastAsia"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w:t>
      </w:r>
      <w:r>
        <w:rPr>
          <w:rFonts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》的通知</w:t>
      </w:r>
      <w:r>
        <w:rPr>
          <w:rFonts w:hint="eastAsia"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w:t>
      </w:r>
      <w:r>
        <w:rPr>
          <w:rFonts w:ascii="Times New Roman" w:hAnsi="Times New Roman" w:eastAsia="宋体" w:cs="Times New Roman"/>
          <w:color w:val="000000" w:themeColor="text1"/>
          <w:spacing w:val="0"/>
          <w:kern w:val="21"/>
          <w:position w:val="0"/>
          <w:sz w:val="24"/>
          <w:szCs w:val="24"/>
          <w:highlight w:val="none"/>
          <w14:textFill>
            <w14:solidFill>
              <w14:schemeClr w14:val="tx1"/>
            </w14:solidFill>
          </w14:textFill>
        </w:rPr>
        <w:t>（川环办函〔2021〕469号）</w:t>
      </w:r>
      <w:r>
        <w:rPr>
          <w:rFonts w:hint="eastAsia" w:cs="Times New Roman"/>
          <w:color w:val="000000" w:themeColor="text1"/>
          <w:spacing w:val="0"/>
          <w:kern w:val="21"/>
          <w:position w:val="0"/>
          <w:sz w:val="24"/>
          <w:szCs w:val="24"/>
          <w:highlight w:val="none"/>
          <w:lang w:eastAsia="zh-CN"/>
          <w14:textFill>
            <w14:solidFill>
              <w14:schemeClr w14:val="tx1"/>
            </w14:solidFill>
          </w14:textFill>
        </w:rPr>
        <w:t>，</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根据该文件，区外的污染影响类项目以及上位规划环评中未论述规划与“三线一单”的协调性的生态类项目均应</w:t>
      </w:r>
      <w:r>
        <w:rPr>
          <w:rFonts w:hint="eastAsia" w:cs="Times New Roman"/>
          <w:snapToGrid/>
          <w:color w:val="000000" w:themeColor="text1"/>
          <w:spacing w:val="0"/>
          <w:w w:val="100"/>
          <w:kern w:val="21"/>
          <w:position w:val="0"/>
          <w:sz w:val="24"/>
          <w:szCs w:val="24"/>
          <w:highlight w:val="none"/>
          <w:lang w:val="en-US" w:eastAsia="zh-CN" w:bidi="ar"/>
          <w14:textFill>
            <w14:solidFill>
              <w14:schemeClr w14:val="tx1"/>
            </w14:solidFill>
          </w14:textFill>
        </w:rPr>
        <w:t>从</w:t>
      </w:r>
      <w:r>
        <w:rPr>
          <w:rFonts w:hint="eastAsia" w:ascii="Times New Roman" w:hAnsi="Times New Roman" w:eastAsia="宋体" w:cs="Times New Roman"/>
          <w:snapToGrid/>
          <w:color w:val="000000" w:themeColor="text1"/>
          <w:spacing w:val="0"/>
          <w:w w:val="100"/>
          <w:kern w:val="21"/>
          <w:position w:val="0"/>
          <w:sz w:val="24"/>
          <w:szCs w:val="24"/>
          <w:highlight w:val="none"/>
          <w:lang w:val="en-US" w:eastAsia="zh-CN" w:bidi="ar"/>
          <w14:textFill>
            <w14:solidFill>
              <w14:schemeClr w14:val="tx1"/>
            </w14:solidFill>
          </w14:textFill>
        </w:rPr>
        <w:t>空间符合性以及管控要求</w:t>
      </w:r>
      <w:r>
        <w:rPr>
          <w:rFonts w:hint="eastAsia" w:cs="Times New Roman"/>
          <w:snapToGrid/>
          <w:color w:val="000000" w:themeColor="text1"/>
          <w:spacing w:val="0"/>
          <w:w w:val="100"/>
          <w:kern w:val="21"/>
          <w:position w:val="0"/>
          <w:sz w:val="24"/>
          <w:szCs w:val="24"/>
          <w:highlight w:val="none"/>
          <w:lang w:val="en-US" w:eastAsia="zh-CN" w:bidi="ar"/>
          <w14:textFill>
            <w14:solidFill>
              <w14:schemeClr w14:val="tx1"/>
            </w14:solidFill>
          </w14:textFill>
        </w:rPr>
        <w:t>两方面分析与“三线一单”的符合性</w:t>
      </w:r>
      <w:r>
        <w:rPr>
          <w:rFonts w:hint="eastAsia" w:ascii="Times New Roman" w:hAnsi="Times New Roman" w:eastAsia="宋体" w:cs="Times New Roman"/>
          <w:snapToGrid/>
          <w:color w:val="000000" w:themeColor="text1"/>
          <w:spacing w:val="0"/>
          <w:w w:val="100"/>
          <w:kern w:val="21"/>
          <w:position w:val="0"/>
          <w:sz w:val="24"/>
          <w:szCs w:val="24"/>
          <w:highlight w:val="none"/>
          <w:lang w:val="en-US" w:eastAsia="zh-CN" w:bidi="ar"/>
          <w14:textFill>
            <w14:solidFill>
              <w14:schemeClr w14:val="tx1"/>
            </w14:solidFill>
          </w14:textFill>
        </w:rPr>
        <w:t>。</w:t>
      </w:r>
    </w:p>
    <w:p>
      <w:pPr>
        <w:keepNext w:val="0"/>
        <w:keepLines w:val="0"/>
        <w:pageBreakBefore w:val="0"/>
        <w:widowControl w:val="0"/>
        <w:kinsoku/>
        <w:wordWrap/>
        <w:overflowPunct w:val="0"/>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bCs/>
          <w:color w:val="000000" w:themeColor="text1"/>
          <w:spacing w:val="0"/>
          <w:kern w:val="21"/>
          <w:position w:val="0"/>
          <w:sz w:val="24"/>
          <w:szCs w:val="24"/>
          <w:highlight w:val="none"/>
          <w:u w:val="singl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本项目兼具生态影响及污染影响的特点，且位于园区外，上位规划也未论述项目与“三线一单”的协调性，</w:t>
      </w:r>
      <w:r>
        <w:rPr>
          <w:rFonts w:hint="eastAsia" w:cs="Times New Roman"/>
          <w:color w:val="000000" w:themeColor="text1"/>
          <w:spacing w:val="0"/>
          <w:kern w:val="21"/>
          <w:position w:val="0"/>
          <w:sz w:val="24"/>
          <w:szCs w:val="24"/>
          <w:highlight w:val="none"/>
          <w:u w:val="single"/>
          <w:lang w:val="en-US" w:eastAsia="zh-CN"/>
          <w14:textFill>
            <w14:solidFill>
              <w14:schemeClr w14:val="tx1"/>
            </w14:solidFill>
          </w14:textFill>
        </w:rPr>
        <w:t>故</w:t>
      </w:r>
      <w:r>
        <w:rPr>
          <w:rFonts w:hint="eastAsia" w:cs="Times New Roman"/>
          <w:snapToGrid/>
          <w:color w:val="000000" w:themeColor="text1"/>
          <w:spacing w:val="0"/>
          <w:w w:val="100"/>
          <w:kern w:val="21"/>
          <w:position w:val="0"/>
          <w:sz w:val="24"/>
          <w:szCs w:val="24"/>
          <w:highlight w:val="none"/>
          <w:u w:val="single"/>
          <w:lang w:val="en-US" w:eastAsia="zh-CN" w:bidi="ar"/>
          <w14:textFill>
            <w14:solidFill>
              <w14:schemeClr w14:val="tx1"/>
            </w14:solidFill>
          </w14:textFill>
        </w:rPr>
        <w:t>本项目从</w:t>
      </w:r>
      <w:r>
        <w:rPr>
          <w:rFonts w:hint="eastAsia" w:ascii="Times New Roman" w:hAnsi="Times New Roman" w:eastAsia="宋体" w:cs="Times New Roman"/>
          <w:snapToGrid/>
          <w:color w:val="000000" w:themeColor="text1"/>
          <w:spacing w:val="0"/>
          <w:w w:val="100"/>
          <w:kern w:val="21"/>
          <w:position w:val="0"/>
          <w:sz w:val="24"/>
          <w:szCs w:val="24"/>
          <w:highlight w:val="none"/>
          <w:u w:val="single"/>
          <w:lang w:val="en-US" w:eastAsia="zh-CN" w:bidi="ar"/>
          <w14:textFill>
            <w14:solidFill>
              <w14:schemeClr w14:val="tx1"/>
            </w14:solidFill>
          </w14:textFill>
        </w:rPr>
        <w:t>空间符合性分析以及管控要求</w:t>
      </w:r>
      <w:r>
        <w:rPr>
          <w:rFonts w:hint="eastAsia" w:cs="Times New Roman"/>
          <w:snapToGrid/>
          <w:color w:val="000000" w:themeColor="text1"/>
          <w:spacing w:val="0"/>
          <w:w w:val="100"/>
          <w:kern w:val="21"/>
          <w:position w:val="0"/>
          <w:sz w:val="24"/>
          <w:szCs w:val="24"/>
          <w:highlight w:val="none"/>
          <w:u w:val="single"/>
          <w:lang w:val="en-US" w:eastAsia="zh-CN" w:bidi="ar"/>
          <w14:textFill>
            <w14:solidFill>
              <w14:schemeClr w14:val="tx1"/>
            </w14:solidFill>
          </w14:textFill>
        </w:rPr>
        <w:t>两个方面分析其与“三线一单”的协调性。</w:t>
      </w:r>
    </w:p>
    <w:p>
      <w:pPr>
        <w:pStyle w:val="65"/>
        <w:keepNext w:val="0"/>
        <w:keepLines w:val="0"/>
        <w:pageBreakBefore w:val="0"/>
        <w:widowControl w:val="0"/>
        <w:numPr>
          <w:ilvl w:val="0"/>
          <w:numId w:val="0"/>
        </w:numPr>
        <w:kinsoku/>
        <w:wordWrap/>
        <w:overflowPunct w:val="0"/>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t>1、</w:t>
      </w:r>
      <w:r>
        <w:rPr>
          <w:rFonts w:hint="eastAsia"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t>空间符合性分</w:t>
      </w:r>
      <w:r>
        <w:rPr>
          <w:rFonts w:hint="default"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t>析</w:t>
      </w:r>
    </w:p>
    <w:p>
      <w:pPr>
        <w:pStyle w:val="65"/>
        <w:keepNext w:val="0"/>
        <w:keepLines w:val="0"/>
        <w:pageBreakBefore w:val="0"/>
        <w:widowControl w:val="0"/>
        <w:numPr>
          <w:ilvl w:val="0"/>
          <w:numId w:val="0"/>
        </w:numPr>
        <w:kinsoku/>
        <w:wordWrap/>
        <w:overflowPunct w:val="0"/>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（1）项目所属环境管控单元情况</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项目位于达州市宣汉县普光镇境内，通过查询</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四川省</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三线一单</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符合性分析平台（</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instrText xml:space="preserve"> HYPERLINK "https://www.sczwfw.gov.cn/tftb/jmopenpub/jmopen_files/webapp/html5/sxydctfx/index.html?areaCode=510000000000" </w:instrTex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三线一单冲突分析sczwfw.gov.cn</w:t>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fldChar w:fldCharType="end"/>
      </w:r>
      <w:r>
        <w:rPr>
          <w:rFonts w:hint="eastAsia" w:cs="Times New Roman"/>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项目主要涉及的环境综合管控单元共</w:t>
      </w:r>
      <w:r>
        <w:rPr>
          <w:rFonts w:hint="eastAsia" w:cs="Times New Roman"/>
          <w:color w:val="000000" w:themeColor="text1"/>
          <w:kern w:val="2"/>
          <w:sz w:val="24"/>
          <w:szCs w:val="24"/>
          <w:highlight w:val="none"/>
          <w:lang w:val="en-US" w:eastAsia="zh-CN" w:bidi="ar-SA"/>
          <w14:textFill>
            <w14:solidFill>
              <w14:schemeClr w14:val="tx1"/>
            </w14:solidFill>
          </w14:textFill>
        </w:rPr>
        <w:t>1</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个，即</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宣汉县一般管控单元</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（管控类别为</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环境综合管控单元一般管控单元</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管控单元编号ZH51172230001</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eastAsia" w:cs="Times New Roman"/>
          <w:color w:val="000000" w:themeColor="text1"/>
          <w:kern w:val="2"/>
          <w:sz w:val="24"/>
          <w:szCs w:val="24"/>
          <w:highlight w:val="none"/>
          <w:lang w:val="en-US" w:eastAsia="zh-CN" w:bidi="ar-SA"/>
          <w14:textFill>
            <w14:solidFill>
              <w14:schemeClr w14:val="tx1"/>
            </w14:solidFill>
          </w14:textFill>
        </w:rPr>
        <w:t>；涉及的环境要素管控区共2个，即</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州河宣汉县张鼓坪控制单元</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（管控类别为</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水环境一般管控区</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管控单元编号YS5117223210001</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）和</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宣汉县大气环境一般管控区</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（管控类别为</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大气环境一般管控区</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管控单元编号YS5117223310001</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项目所在区域涉及的分区管控单元情况见图</w:t>
      </w:r>
      <w:r>
        <w:rPr>
          <w:rFonts w:hint="eastAsia" w:cs="Times New Roman"/>
          <w:color w:val="000000" w:themeColor="text1"/>
          <w:kern w:val="2"/>
          <w:sz w:val="24"/>
          <w:szCs w:val="24"/>
          <w:highlight w:val="none"/>
          <w:lang w:val="en-US" w:eastAsia="zh-CN" w:bidi="ar-SA"/>
          <w14:textFill>
            <w14:solidFill>
              <w14:schemeClr w14:val="tx1"/>
            </w14:solidFill>
          </w14:textFill>
        </w:rPr>
        <w:t>2.7-2、2.7-3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，查询过程见图</w:t>
      </w:r>
      <w:r>
        <w:rPr>
          <w:rFonts w:hint="eastAsia" w:cs="Times New Roman"/>
          <w:color w:val="000000" w:themeColor="text1"/>
          <w:kern w:val="2"/>
          <w:sz w:val="24"/>
          <w:szCs w:val="24"/>
          <w:highlight w:val="none"/>
          <w:lang w:val="en-US" w:eastAsia="zh-CN" w:bidi="ar-SA"/>
          <w14:textFill>
            <w14:solidFill>
              <w14:schemeClr w14:val="tx1"/>
            </w14:solidFill>
          </w14:textFill>
        </w:rPr>
        <w:t>2.7-4</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，项目涉及的管控单元基本情况见表</w:t>
      </w:r>
      <w:r>
        <w:rPr>
          <w:rFonts w:hint="eastAsia" w:cs="Times New Roman"/>
          <w:color w:val="000000" w:themeColor="text1"/>
          <w:kern w:val="2"/>
          <w:sz w:val="24"/>
          <w:szCs w:val="24"/>
          <w:highlight w:val="none"/>
          <w:lang w:val="en-US" w:eastAsia="zh-CN" w:bidi="ar-SA"/>
          <w14:textFill>
            <w14:solidFill>
              <w14:schemeClr w14:val="tx1"/>
            </w14:solidFill>
          </w14:textFill>
        </w:rPr>
        <w:t>2.7-14。</w:t>
      </w:r>
    </w:p>
    <w:p>
      <w:pPr>
        <w:pageBreakBefore w:val="0"/>
        <w:widowControl w:val="0"/>
        <w:tabs>
          <w:tab w:val="left" w:pos="0"/>
        </w:tabs>
        <w:kinsoku/>
        <w:wordWrap/>
        <w:overflowPunct/>
        <w:topLinePunct w:val="0"/>
        <w:autoSpaceDE/>
        <w:autoSpaceDN/>
        <w:bidi w:val="0"/>
        <w:adjustRightInd w:val="0"/>
        <w:snapToGrid w:val="0"/>
        <w:ind w:left="0" w:leftChars="0" w:firstLine="0" w:firstLineChars="0"/>
        <w:jc w:val="center"/>
        <w:textAlignment w:val="auto"/>
        <w:rPr>
          <w:rFonts w:hint="eastAsia" w:ascii="Times New Roman" w:hAnsi="Times New Roman" w:eastAsia="宋体" w:cs="Times New Roman"/>
          <w:color w:val="000000" w:themeColor="text1"/>
          <w:highlight w:val="none"/>
          <w:lang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765760" behindDoc="0" locked="0" layoutInCell="1" allowOverlap="1">
                <wp:simplePos x="0" y="0"/>
                <wp:positionH relativeFrom="column">
                  <wp:posOffset>2304415</wp:posOffset>
                </wp:positionH>
                <wp:positionV relativeFrom="paragraph">
                  <wp:posOffset>958850</wp:posOffset>
                </wp:positionV>
                <wp:extent cx="586105" cy="401955"/>
                <wp:effectExtent l="6350" t="6350" r="17145" b="10795"/>
                <wp:wrapNone/>
                <wp:docPr id="23" name="矩形 23"/>
                <wp:cNvGraphicFramePr/>
                <a:graphic xmlns:a="http://schemas.openxmlformats.org/drawingml/2006/main">
                  <a:graphicData uri="http://schemas.microsoft.com/office/word/2010/wordprocessingShape">
                    <wps:wsp>
                      <wps:cNvSpPr/>
                      <wps:spPr>
                        <a:xfrm>
                          <a:off x="3355340" y="5059680"/>
                          <a:ext cx="586105" cy="4019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45pt;margin-top:75.5pt;height:31.65pt;width:46.15pt;z-index:251765760;v-text-anchor:middle;mso-width-relative:page;mso-height-relative:page;" filled="f" stroked="t" coordsize="21600,21600" o:gfxdata="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ACtgAAAALAQAADwAAAAAAAAABACAAAAAiAAAA&#10;ZHJzL2Rvd25yZXYueG1sUEsBAhQAFAAAAAgAh07iQKbgsWV5AgAA2AQAAA4AAAAAAAAAAQAgAAAA&#10;JwEAAGRycy9lMm9Eb2MueG1sUEsFBgAAAAAGAAYAWQEAABIGAAAAAA==&#10;">
                <v:fill on="f" focussize="0,0"/>
                <v:stroke weight="1pt" color="#FF0000 [2404]" miterlimit="8" joinstyle="miter"/>
                <v:imagedata o:title=""/>
                <o:lock v:ext="edit" aspectratio="f"/>
              </v:rect>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64736" behindDoc="0" locked="0" layoutInCell="1" allowOverlap="1">
                <wp:simplePos x="0" y="0"/>
                <wp:positionH relativeFrom="column">
                  <wp:posOffset>2866390</wp:posOffset>
                </wp:positionH>
                <wp:positionV relativeFrom="paragraph">
                  <wp:posOffset>1748155</wp:posOffset>
                </wp:positionV>
                <wp:extent cx="1260475" cy="434340"/>
                <wp:effectExtent l="283845" t="330200" r="17780" b="10160"/>
                <wp:wrapNone/>
                <wp:docPr id="22" name="对话气泡: 圆角矩形 80"/>
                <wp:cNvGraphicFramePr/>
                <a:graphic xmlns:a="http://schemas.openxmlformats.org/drawingml/2006/main">
                  <a:graphicData uri="http://schemas.microsoft.com/office/word/2010/wordprocessingShape">
                    <wps:wsp>
                      <wps:cNvSpPr/>
                      <wps:spPr>
                        <a:xfrm>
                          <a:off x="0" y="0"/>
                          <a:ext cx="1260475" cy="434340"/>
                        </a:xfrm>
                        <a:prstGeom prst="wedgeRoundRectCallout">
                          <a:avLst>
                            <a:gd name="adj1" fmla="val -68942"/>
                            <a:gd name="adj2" fmla="val -12032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jc w:val="center"/>
                              <w:rPr>
                                <w:b/>
                                <w:bCs/>
                              </w:rPr>
                            </w:pPr>
                            <w:r>
                              <w:rPr>
                                <w:rFonts w:hint="eastAsia"/>
                                <w:b/>
                                <w:bCs/>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圆角矩形 80" o:spid="_x0000_s1026" o:spt="62" type="#_x0000_t62" style="position:absolute;left:0pt;margin-left:225.7pt;margin-top:137.65pt;height:34.2pt;width:99.25pt;z-index:251764736;v-text-anchor:middle;mso-width-relative:page;mso-height-relative:page;" fillcolor="#4472C4 [3204]" filled="t" stroked="t" coordsize="21600,21600" o:gfxdata="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AF+0ad2gAAAAsBAAAPAAAAAAAAAAEAIAAAACIAAABk&#10;cnMvZG93bnJldi54bWxQSwECFAAUAAAACACHTuJA6u+INOgCAAC/BQAADgAAAAAAAAABACAAAAAp&#10;AQAAZHJzL2Uyb0RvYy54bWxQSwUGAAAAAAYABgBZAQAAgwYAAAAA&#10;" adj="-4091,-15189,14400">
                <v:fill on="t" focussize="0,0"/>
                <v:stroke weight="1pt" color="#2F528F [3204]" miterlimit="8" joinstyle="miter"/>
                <v:imagedata o:title=""/>
                <o:lock v:ext="edit" aspectratio="f"/>
                <v:textbox>
                  <w:txbxContent>
                    <w:p>
                      <w:pPr>
                        <w:spacing w:line="240" w:lineRule="auto"/>
                        <w:ind w:firstLine="0" w:firstLineChars="0"/>
                        <w:jc w:val="center"/>
                        <w:rPr>
                          <w:b/>
                          <w:bCs/>
                        </w:rPr>
                      </w:pPr>
                      <w:r>
                        <w:rPr>
                          <w:rFonts w:hint="eastAsia"/>
                          <w:b/>
                          <w:bCs/>
                        </w:rPr>
                        <w:t>项目所在地</w:t>
                      </w:r>
                    </w:p>
                  </w:txbxContent>
                </v:textbox>
              </v:shape>
            </w:pict>
          </mc:Fallback>
        </mc:AlternateContent>
      </w:r>
      <w:r>
        <w:rPr>
          <w:rFonts w:hint="eastAsia"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3982720" cy="2252345"/>
            <wp:effectExtent l="0" t="0" r="17780" b="14605"/>
            <wp:docPr id="19" name="图片 19" descr="171314143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713141435456"/>
                    <pic:cNvPicPr>
                      <a:picLocks noChangeAspect="1"/>
                    </pic:cNvPicPr>
                  </pic:nvPicPr>
                  <pic:blipFill>
                    <a:blip r:embed="rId23"/>
                    <a:stretch>
                      <a:fillRect/>
                    </a:stretch>
                  </pic:blipFill>
                  <pic:spPr>
                    <a:xfrm>
                      <a:off x="0" y="0"/>
                      <a:ext cx="3982720" cy="2252345"/>
                    </a:xfrm>
                    <a:prstGeom prst="rect">
                      <a:avLst/>
                    </a:prstGeom>
                  </pic:spPr>
                </pic:pic>
              </a:graphicData>
            </a:graphic>
          </wp:inline>
        </w:drawing>
      </w:r>
    </w:p>
    <w:p>
      <w:pPr>
        <w:pageBreakBefore w:val="0"/>
        <w:widowControl w:val="0"/>
        <w:tabs>
          <w:tab w:val="left" w:pos="0"/>
        </w:tabs>
        <w:kinsoku/>
        <w:wordWrap/>
        <w:overflowPunct/>
        <w:topLinePunct w:val="0"/>
        <w:autoSpaceDE/>
        <w:autoSpaceDN/>
        <w:bidi w:val="0"/>
        <w:adjustRightInd w:val="0"/>
        <w:snapToGrid w:val="0"/>
        <w:ind w:firstLine="480"/>
        <w:jc w:val="center"/>
        <w:textAlignment w:val="auto"/>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pPr>
      <w:r>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图2.7-2  项目所在区域涉及的分区管控单元情况示意图</w:t>
      </w:r>
    </w:p>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color w:val="000000" w:themeColor="text1"/>
          <w:sz w:val="21"/>
          <w:highlight w:val="none"/>
          <w14:textFill>
            <w14:solidFill>
              <w14:schemeClr w14:val="tx1"/>
            </w14:solidFill>
          </w14:textFill>
        </w:rPr>
        <mc:AlternateContent>
          <mc:Choice Requires="wps">
            <w:drawing>
              <wp:anchor distT="0" distB="0" distL="114300" distR="114300" simplePos="0" relativeHeight="251776000" behindDoc="0" locked="0" layoutInCell="1" allowOverlap="1">
                <wp:simplePos x="0" y="0"/>
                <wp:positionH relativeFrom="column">
                  <wp:posOffset>3879215</wp:posOffset>
                </wp:positionH>
                <wp:positionV relativeFrom="paragraph">
                  <wp:posOffset>2651760</wp:posOffset>
                </wp:positionV>
                <wp:extent cx="1195705" cy="222250"/>
                <wp:effectExtent l="0" t="0" r="4445" b="6350"/>
                <wp:wrapNone/>
                <wp:docPr id="77" name="矩形 77"/>
                <wp:cNvGraphicFramePr/>
                <a:graphic xmlns:a="http://schemas.openxmlformats.org/drawingml/2006/main">
                  <a:graphicData uri="http://schemas.microsoft.com/office/word/2010/wordprocessingShape">
                    <wps:wsp>
                      <wps:cNvSpPr/>
                      <wps:spPr>
                        <a:xfrm>
                          <a:off x="5022215" y="6096000"/>
                          <a:ext cx="1195705" cy="22225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45pt;margin-top:208.8pt;height:17.5pt;width:94.15pt;z-index:251776000;v-text-anchor:middle;mso-width-relative:page;mso-height-relative:page;" fillcolor="#FFFFFF [3212]" filled="t" stroked="f" coordsize="21600,21600" o:gfxdata="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h2yKXbAAAACwEAAA8AAAAAAAAAAQAgAAAAIgAA&#10;AGRycy9kb3ducmV2LnhtbFBLAQIUABQAAAAIAIdO4kB3FGKAdwIAANkEAAAOAAAAAAAAAAEAIAAA&#10;ACoBAABkcnMvZTJvRG9jLnhtbFBLBQYAAAAABgAGAFkBAAATBgAAAAA=&#10;">
                <v:fill on="t" focussize="0,0"/>
                <v:stroke on="f" weight="1pt" miterlimit="8" joinstyle="miter"/>
                <v:imagedata o:title=""/>
                <o:lock v:ext="edit" aspectratio="f"/>
              </v:rect>
            </w:pict>
          </mc:Fallback>
        </mc:AlternateContent>
      </w:r>
      <w:r>
        <w:rPr>
          <w:rFonts w:hint="default" w:ascii="Times New Roman" w:hAnsi="Times New Roman" w:cs="Times New Roman"/>
          <w:bCs/>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74976" behindDoc="0" locked="0" layoutInCell="1" allowOverlap="1">
                <wp:simplePos x="0" y="0"/>
                <wp:positionH relativeFrom="column">
                  <wp:posOffset>2287270</wp:posOffset>
                </wp:positionH>
                <wp:positionV relativeFrom="paragraph">
                  <wp:posOffset>951230</wp:posOffset>
                </wp:positionV>
                <wp:extent cx="995045" cy="356235"/>
                <wp:effectExtent l="116205" t="5080" r="12700" b="229235"/>
                <wp:wrapNone/>
                <wp:docPr id="25" name="对话气泡: 圆角矩形 10"/>
                <wp:cNvGraphicFramePr/>
                <a:graphic xmlns:a="http://schemas.openxmlformats.org/drawingml/2006/main">
                  <a:graphicData uri="http://schemas.microsoft.com/office/word/2010/wordprocessingShape">
                    <wps:wsp>
                      <wps:cNvSpPr>
                        <a:spLocks noChangeArrowheads="1"/>
                      </wps:cNvSpPr>
                      <wps:spPr bwMode="auto">
                        <a:xfrm>
                          <a:off x="0" y="0"/>
                          <a:ext cx="995045" cy="356235"/>
                        </a:xfrm>
                        <a:prstGeom prst="wedgeRoundRectCallout">
                          <a:avLst>
                            <a:gd name="adj1" fmla="val -58861"/>
                            <a:gd name="adj2" fmla="val 108227"/>
                            <a:gd name="adj3" fmla="val 16667"/>
                          </a:avLst>
                        </a:prstGeom>
                        <a:solidFill>
                          <a:srgbClr val="FFFFFF"/>
                        </a:solidFill>
                        <a:ln w="9525" cmpd="sng">
                          <a:solidFill>
                            <a:srgbClr val="000000"/>
                          </a:solidFill>
                          <a:miter lim="800000"/>
                        </a:ln>
                      </wps:spPr>
                      <wps:txbx>
                        <w:txbxContent>
                          <w:p>
                            <w:pPr>
                              <w:ind w:firstLine="0" w:firstLineChars="0"/>
                              <w:rPr>
                                <w:sz w:val="22"/>
                                <w:szCs w:val="21"/>
                              </w:rPr>
                            </w:pPr>
                            <w:r>
                              <w:rPr>
                                <w:rFonts w:hint="eastAsia"/>
                                <w:sz w:val="22"/>
                                <w:szCs w:val="21"/>
                              </w:rPr>
                              <w:t>项目所在地</w:t>
                            </w:r>
                          </w:p>
                        </w:txbxContent>
                      </wps:txbx>
                      <wps:bodyPr rot="0" vert="horz" wrap="square" lIns="91440" tIns="45720" rIns="91440" bIns="45720" anchor="t" anchorCtr="0" upright="1">
                        <a:noAutofit/>
                      </wps:bodyPr>
                    </wps:wsp>
                  </a:graphicData>
                </a:graphic>
              </wp:anchor>
            </w:drawing>
          </mc:Choice>
          <mc:Fallback>
            <w:pict>
              <v:shape id="对话气泡: 圆角矩形 10" o:spid="_x0000_s1026" o:spt="62" type="#_x0000_t62" style="position:absolute;left:0pt;margin-left:180.1pt;margin-top:74.9pt;height:28.05pt;width:78.35pt;z-index:251774976;mso-width-relative:page;mso-height-relative:page;" fillcolor="#FFFFFF" filled="t" stroked="t" coordsize="21600,21600" o:gfxdata="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iJ6+ndkAAAALAQAADwAAAAAAAAABACAAAAAiAAAAZHJzL2Rvd25yZXYueG1sUEsBAhQA&#10;FAAAAAgAh07iQETMmAScAgAAIgUAAA4AAAAAAAAAAQAgAAAAKAEAAGRycy9lMm9Eb2MueG1sUEsF&#10;BgAAAAAGAAYAWQEAADYGAAAAAA==&#10;" adj="-1914,34177,14400">
                <v:fill on="t" focussize="0,0"/>
                <v:stroke color="#000000" miterlimit="8" joinstyle="miter"/>
                <v:imagedata o:title=""/>
                <o:lock v:ext="edit" aspectratio="f"/>
                <v:textbox>
                  <w:txbxContent>
                    <w:p>
                      <w:pPr>
                        <w:ind w:firstLine="0" w:firstLineChars="0"/>
                        <w:rPr>
                          <w:sz w:val="22"/>
                          <w:szCs w:val="21"/>
                        </w:rPr>
                      </w:pPr>
                      <w:r>
                        <w:rPr>
                          <w:rFonts w:hint="eastAsia"/>
                          <w:sz w:val="22"/>
                          <w:szCs w:val="21"/>
                        </w:rPr>
                        <w:t>项目所在地</w:t>
                      </w:r>
                    </w:p>
                  </w:txbxContent>
                </v:textbox>
              </v:shape>
            </w:pict>
          </mc:Fallback>
        </mc:AlternateContent>
      </w:r>
    </w:p>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drawing>
          <wp:inline distT="0" distB="0" distL="0" distR="0">
            <wp:extent cx="5024120" cy="3275330"/>
            <wp:effectExtent l="0" t="0" r="5080" b="127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24" cstate="print">
                      <a:extLst>
                        <a:ext uri="{28A0092B-C50C-407E-A947-70E740481C1C}">
                          <a14:useLocalDpi xmlns:a14="http://schemas.microsoft.com/office/drawing/2010/main" val="0"/>
                        </a:ext>
                      </a:extLst>
                    </a:blip>
                    <a:srcRect t="4350" b="3275"/>
                    <a:stretch>
                      <a:fillRect/>
                    </a:stretch>
                  </pic:blipFill>
                  <pic:spPr>
                    <a:xfrm>
                      <a:off x="0" y="0"/>
                      <a:ext cx="5037977" cy="3284450"/>
                    </a:xfrm>
                    <a:prstGeom prst="rect">
                      <a:avLst/>
                    </a:prstGeom>
                    <a:noFill/>
                    <a:ln>
                      <a:noFill/>
                    </a:ln>
                  </pic:spPr>
                </pic:pic>
              </a:graphicData>
            </a:graphic>
          </wp:inline>
        </w:drawing>
      </w:r>
    </w:p>
    <w:p>
      <w:pPr>
        <w:widowControl/>
        <w:tabs>
          <w:tab w:val="left" w:pos="3864"/>
        </w:tabs>
        <w:spacing w:line="240" w:lineRule="auto"/>
        <w:ind w:firstLine="0" w:firstLineChars="0"/>
        <w:jc w:val="center"/>
        <w:rPr>
          <w:rFonts w:hint="default" w:ascii="Times New Roman" w:hAnsi="Times New Roman" w:eastAsia="黑体" w:cs="Times New Roman"/>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图2.7-</w:t>
      </w:r>
      <w:r>
        <w:rPr>
          <w:rFonts w:hint="eastAsia" w:eastAsia="黑体" w:cs="Times New Roman"/>
          <w:color w:val="000000" w:themeColor="text1"/>
          <w:kern w:val="0"/>
          <w:sz w:val="21"/>
          <w:szCs w:val="21"/>
          <w:highlight w:val="none"/>
          <w:lang w:val="en-US" w:eastAsia="zh-CN"/>
          <w14:textFill>
            <w14:solidFill>
              <w14:schemeClr w14:val="tx1"/>
            </w14:solidFill>
          </w14:textFill>
        </w:rPr>
        <w:t>3</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 xml:space="preserve">  项目与达州市环境管控单元位置关系图</w:t>
      </w:r>
    </w:p>
    <w:p>
      <w:pPr>
        <w:pStyle w:val="65"/>
        <w:rPr>
          <w:rFonts w:hint="default" w:ascii="Times New Roman" w:hAnsi="Times New Roman" w:eastAsia="黑体" w:cs="Times New Roman"/>
          <w:color w:val="000000" w:themeColor="text1"/>
          <w:kern w:val="0"/>
          <w:sz w:val="21"/>
          <w:szCs w:val="21"/>
          <w:highlight w:val="none"/>
          <w14:textFill>
            <w14:solidFill>
              <w14:schemeClr w14:val="tx1"/>
            </w14:solidFill>
          </w14:textFill>
        </w:rPr>
      </w:pPr>
    </w:p>
    <w:p>
      <w:pPr>
        <w:pStyle w:val="65"/>
        <w:rPr>
          <w:rFonts w:hint="default" w:ascii="Times New Roman" w:hAnsi="Times New Roman" w:eastAsia="黑体" w:cs="Times New Roman"/>
          <w:color w:val="000000" w:themeColor="text1"/>
          <w:kern w:val="0"/>
          <w:sz w:val="21"/>
          <w:szCs w:val="21"/>
          <w:highlight w:val="none"/>
          <w14:textFill>
            <w14:solidFill>
              <w14:schemeClr w14:val="tx1"/>
            </w14:solidFill>
          </w14:textFill>
        </w:rPr>
      </w:pPr>
    </w:p>
    <w:p>
      <w:pPr>
        <w:pageBreakBefore w:val="0"/>
        <w:widowControl w:val="0"/>
        <w:tabs>
          <w:tab w:val="left" w:pos="0"/>
        </w:tabs>
        <w:kinsoku/>
        <w:wordWrap/>
        <w:overflowPunct/>
        <w:topLinePunct w:val="0"/>
        <w:autoSpaceDE/>
        <w:autoSpaceDN/>
        <w:bidi w:val="0"/>
        <w:adjustRightInd w:val="0"/>
        <w:snapToGrid w:val="0"/>
        <w:ind w:left="0" w:leftChars="0" w:firstLine="0" w:firstLineChars="0"/>
        <w:jc w:val="center"/>
        <w:textAlignment w:val="auto"/>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highlight w:val="none"/>
          <w:lang w:eastAsia="zh-CN"/>
          <w14:textFill>
            <w14:solidFill>
              <w14:schemeClr w14:val="tx1"/>
            </w14:solidFill>
          </w14:textFill>
        </w:rPr>
        <w:drawing>
          <wp:inline distT="0" distB="0" distL="114300" distR="114300">
            <wp:extent cx="4459605" cy="2682875"/>
            <wp:effectExtent l="0" t="0" r="10795" b="9525"/>
            <wp:docPr id="24" name="图片 24" descr="1713141552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713141552664"/>
                    <pic:cNvPicPr>
                      <a:picLocks noChangeAspect="1"/>
                    </pic:cNvPicPr>
                  </pic:nvPicPr>
                  <pic:blipFill>
                    <a:blip r:embed="rId25"/>
                    <a:srcRect l="914" t="3299" r="7133" b="4126"/>
                    <a:stretch>
                      <a:fillRect/>
                    </a:stretch>
                  </pic:blipFill>
                  <pic:spPr>
                    <a:xfrm>
                      <a:off x="0" y="0"/>
                      <a:ext cx="4459605" cy="2682875"/>
                    </a:xfrm>
                    <a:prstGeom prst="rect">
                      <a:avLst/>
                    </a:prstGeom>
                  </pic:spPr>
                </pic:pic>
              </a:graphicData>
            </a:graphic>
          </wp:inline>
        </w:drawing>
      </w:r>
    </w:p>
    <w:p>
      <w:pPr>
        <w:pageBreakBefore w:val="0"/>
        <w:widowControl w:val="0"/>
        <w:tabs>
          <w:tab w:val="left" w:pos="0"/>
        </w:tabs>
        <w:kinsoku/>
        <w:wordWrap/>
        <w:overflowPunct/>
        <w:topLinePunct w:val="0"/>
        <w:autoSpaceDE/>
        <w:autoSpaceDN/>
        <w:bidi w:val="0"/>
        <w:adjustRightInd w:val="0"/>
        <w:snapToGrid w:val="0"/>
        <w:ind w:firstLine="480"/>
        <w:jc w:val="center"/>
        <w:textAlignment w:val="auto"/>
        <w:rPr>
          <w:rFonts w:hint="default"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pPr>
      <w:r>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图2.7-</w:t>
      </w:r>
      <w:r>
        <w:rPr>
          <w:rFonts w:hint="eastAsia" w:eastAsia="黑体" w:cs="Times New Roman"/>
          <w:color w:val="000000" w:themeColor="text1"/>
          <w:kern w:val="2"/>
          <w:sz w:val="21"/>
          <w:szCs w:val="28"/>
          <w:highlight w:val="none"/>
          <w:lang w:val="en-US" w:eastAsia="zh-CN" w:bidi="ar-SA"/>
          <w14:textFill>
            <w14:solidFill>
              <w14:schemeClr w14:val="tx1"/>
            </w14:solidFill>
          </w14:textFill>
        </w:rPr>
        <w:t>4</w:t>
      </w:r>
      <w:r>
        <w:rPr>
          <w:rFonts w:hint="eastAsia" w:ascii="Times New Roman" w:hAnsi="Times New Roman" w:eastAsia="黑体" w:cs="Times New Roman"/>
          <w:color w:val="000000" w:themeColor="text1"/>
          <w:kern w:val="2"/>
          <w:sz w:val="21"/>
          <w:szCs w:val="28"/>
          <w:highlight w:val="none"/>
          <w:lang w:val="en-US" w:eastAsia="zh-CN" w:bidi="ar-SA"/>
          <w14:textFill>
            <w14:solidFill>
              <w14:schemeClr w14:val="tx1"/>
            </w14:solidFill>
          </w14:textFill>
        </w:rPr>
        <w:t xml:space="preserve">  本项目在四川省“三线一单”查询系统的查询结果</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eastAsia" w:ascii="Times New Roman" w:hAnsi="Times New Roman" w:cs="Times New Roman"/>
          <w:color w:val="000000" w:themeColor="text1"/>
          <w:szCs w:val="24"/>
          <w:highlight w:val="none"/>
          <w:lang w:val="en-US" w:eastAsia="zh-CN"/>
          <w14:textFill>
            <w14:solidFill>
              <w14:schemeClr w14:val="tx1"/>
            </w14:solidFill>
          </w14:textFill>
        </w:rPr>
        <w:t>本</w:t>
      </w:r>
      <w:r>
        <w:rPr>
          <w:rFonts w:hint="default" w:ascii="Times New Roman" w:hAnsi="Times New Roman" w:cs="Times New Roman"/>
          <w:color w:val="000000" w:themeColor="text1"/>
          <w:szCs w:val="24"/>
          <w:highlight w:val="none"/>
          <w14:textFill>
            <w14:solidFill>
              <w14:schemeClr w14:val="tx1"/>
            </w14:solidFill>
          </w14:textFill>
        </w:rPr>
        <w:t>项目涉及环境管控单元如下。</w:t>
      </w:r>
    </w:p>
    <w:p>
      <w:pPr>
        <w:pStyle w:val="21"/>
        <w:keepNext w:val="0"/>
        <w:keepLines w:val="0"/>
        <w:pageBreakBefore w:val="0"/>
        <w:widowControl/>
        <w:tabs>
          <w:tab w:val="left" w:pos="863"/>
        </w:tabs>
        <w:kinsoku/>
        <w:wordWrap/>
        <w:overflowPunct/>
        <w:topLinePunct w:val="0"/>
        <w:autoSpaceDE/>
        <w:autoSpaceDN/>
        <w:bidi w:val="0"/>
        <w:adjustRightInd w:val="0"/>
        <w:snapToGrid w:val="0"/>
        <w:spacing w:before="0" w:line="240" w:lineRule="auto"/>
        <w:ind w:left="0" w:firstLine="420"/>
        <w:jc w:val="center"/>
        <w:textAlignment w:val="auto"/>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表2.7-1</w:t>
      </w:r>
      <w:r>
        <w:rPr>
          <w:rFonts w:hint="eastAsia" w:ascii="Times New Roman" w:hAnsi="Times New Roman" w:eastAsia="黑体" w:cs="Times New Roman"/>
          <w:color w:val="000000" w:themeColor="text1"/>
          <w:sz w:val="21"/>
          <w:szCs w:val="21"/>
          <w:highlight w:val="none"/>
          <w:lang w:val="en-US" w:eastAsia="zh-CN"/>
          <w14:textFill>
            <w14:solidFill>
              <w14:schemeClr w14:val="tx1"/>
            </w14:solidFill>
          </w14:textFill>
        </w:rPr>
        <w:t xml:space="preserve">4  </w:t>
      </w: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项目涉及环境管控单元表</w:t>
      </w:r>
    </w:p>
    <w:tbl>
      <w:tblPr>
        <w:tblStyle w:val="52"/>
        <w:tblW w:w="4900"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4"/>
        <w:gridCol w:w="2272"/>
        <w:gridCol w:w="3290"/>
        <w:gridCol w:w="1526"/>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4" w:type="dxa"/>
            <w:tcBorders>
              <w:tl2br w:val="nil"/>
              <w:tr2bl w:val="nil"/>
            </w:tcBorders>
            <w:noWrap w:val="0"/>
            <w:vAlign w:val="center"/>
          </w:tcPr>
          <w:p>
            <w:pPr>
              <w:pStyle w:val="97"/>
              <w:keepNext w:val="0"/>
              <w:keepLines w:val="0"/>
              <w:pageBreakBefore w:val="0"/>
              <w:widowControl w:val="0"/>
              <w:kinsoku/>
              <w:wordWrap/>
              <w:overflowPunct w:val="0"/>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环境综合管控编码</w:t>
            </w:r>
          </w:p>
        </w:tc>
        <w:tc>
          <w:tcPr>
            <w:tcW w:w="2272" w:type="dxa"/>
            <w:tcBorders>
              <w:tl2br w:val="nil"/>
              <w:tr2bl w:val="nil"/>
            </w:tcBorders>
            <w:noWrap w:val="0"/>
            <w:vAlign w:val="center"/>
          </w:tcPr>
          <w:p>
            <w:pPr>
              <w:pStyle w:val="97"/>
              <w:keepNext w:val="0"/>
              <w:keepLines w:val="0"/>
              <w:pageBreakBefore w:val="0"/>
              <w:widowControl w:val="0"/>
              <w:kinsoku/>
              <w:wordWrap/>
              <w:overflowPunct w:val="0"/>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环境管控单元名称</w:t>
            </w:r>
          </w:p>
        </w:tc>
        <w:tc>
          <w:tcPr>
            <w:tcW w:w="4816" w:type="dxa"/>
            <w:gridSpan w:val="2"/>
            <w:tcBorders>
              <w:tl2br w:val="nil"/>
              <w:tr2bl w:val="nil"/>
            </w:tcBorders>
            <w:noWrap w:val="0"/>
            <w:vAlign w:val="center"/>
          </w:tcPr>
          <w:p>
            <w:pPr>
              <w:pStyle w:val="97"/>
              <w:keepNext w:val="0"/>
              <w:keepLines w:val="0"/>
              <w:pageBreakBefore w:val="0"/>
              <w:widowControl w:val="0"/>
              <w:kinsoku/>
              <w:wordWrap/>
              <w:overflowPunct w:val="0"/>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涉及的</w:t>
            </w:r>
            <w:r>
              <w:rPr>
                <w:rFonts w:hint="default" w:ascii="Times New Roman" w:hAnsi="Times New Roman" w:cs="Times New Roman"/>
                <w:color w:val="000000" w:themeColor="text1"/>
                <w:sz w:val="21"/>
                <w:szCs w:val="21"/>
                <w:highlight w:val="none"/>
                <w14:textFill>
                  <w14:solidFill>
                    <w14:schemeClr w14:val="tx1"/>
                  </w14:solidFill>
                </w14:textFill>
              </w:rPr>
              <w:t>环境要素管控区情况</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264" w:type="dxa"/>
            <w:vMerge w:val="restart"/>
            <w:tcBorders>
              <w:tl2br w:val="nil"/>
              <w:tr2bl w:val="nil"/>
            </w:tcBorders>
            <w:noWrap w:val="0"/>
            <w:vAlign w:val="center"/>
          </w:tcPr>
          <w:p>
            <w:pPr>
              <w:pStyle w:val="97"/>
              <w:keepNext w:val="0"/>
              <w:keepLines w:val="0"/>
              <w:pageBreakBefore w:val="0"/>
              <w:widowControl w:val="0"/>
              <w:kinsoku/>
              <w:wordWrap/>
              <w:overflowPunct w:val="0"/>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ZH51172230001</w:t>
            </w:r>
          </w:p>
        </w:tc>
        <w:tc>
          <w:tcPr>
            <w:tcW w:w="2272" w:type="dxa"/>
            <w:vMerge w:val="restart"/>
            <w:tcBorders>
              <w:tl2br w:val="nil"/>
              <w:tr2bl w:val="nil"/>
            </w:tcBorders>
            <w:noWrap w:val="0"/>
            <w:vAlign w:val="center"/>
          </w:tcPr>
          <w:p>
            <w:pPr>
              <w:pStyle w:val="97"/>
              <w:keepNext w:val="0"/>
              <w:keepLines w:val="0"/>
              <w:pageBreakBefore w:val="0"/>
              <w:widowControl w:val="0"/>
              <w:kinsoku/>
              <w:wordWrap/>
              <w:overflowPunct w:val="0"/>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宣汉县一般管控单元</w:t>
            </w:r>
          </w:p>
        </w:tc>
        <w:tc>
          <w:tcPr>
            <w:tcW w:w="3290" w:type="dxa"/>
            <w:tcBorders>
              <w:tl2br w:val="nil"/>
              <w:tr2bl w:val="nil"/>
            </w:tcBorders>
            <w:noWrap w:val="0"/>
            <w:vAlign w:val="center"/>
          </w:tcPr>
          <w:p>
            <w:pPr>
              <w:pStyle w:val="97"/>
              <w:keepNext w:val="0"/>
              <w:keepLines w:val="0"/>
              <w:pageBreakBefore w:val="0"/>
              <w:widowControl w:val="0"/>
              <w:numPr>
                <w:ilvl w:val="0"/>
                <w:numId w:val="0"/>
              </w:numPr>
              <w:kinsoku/>
              <w:wordWrap/>
              <w:overflowPunct w:val="0"/>
              <w:topLinePunct w:val="0"/>
              <w:autoSpaceDE/>
              <w:autoSpaceDN/>
              <w:bidi w:val="0"/>
              <w:adjustRightInd/>
              <w:snapToGrid/>
              <w:spacing w:line="320" w:lineRule="exact"/>
              <w:jc w:val="left"/>
              <w:textAlignment w:val="auto"/>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水环境</w:t>
            </w:r>
            <w:r>
              <w:rPr>
                <w:rStyle w:val="57"/>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一般管控区：</w:t>
            </w:r>
            <w:r>
              <w:rPr>
                <w:rFonts w:hint="default" w:ascii="Times New Roman" w:hAnsi="Times New Roman" w:eastAsia="宋体" w:cs="Times New Roman"/>
                <w:color w:val="000000" w:themeColor="text1"/>
                <w:sz w:val="21"/>
                <w:szCs w:val="21"/>
                <w:highlight w:val="none"/>
                <w14:textFill>
                  <w14:solidFill>
                    <w14:schemeClr w14:val="tx1"/>
                  </w14:solidFill>
                </w14:textFill>
              </w:rPr>
              <w:t>州河宣汉县张鼓坪控制单元</w:t>
            </w:r>
          </w:p>
        </w:tc>
        <w:tc>
          <w:tcPr>
            <w:tcW w:w="1526" w:type="dxa"/>
            <w:tcBorders>
              <w:tl2br w:val="nil"/>
              <w:tr2bl w:val="nil"/>
            </w:tcBorders>
            <w:noWrap w:val="0"/>
            <w:vAlign w:val="center"/>
          </w:tcPr>
          <w:p>
            <w:pPr>
              <w:pStyle w:val="97"/>
              <w:keepNext w:val="0"/>
              <w:keepLines w:val="0"/>
              <w:pageBreakBefore w:val="0"/>
              <w:widowControl w:val="0"/>
              <w:kinsoku/>
              <w:wordWrap/>
              <w:overflowPunct w:val="0"/>
              <w:topLinePunct w:val="0"/>
              <w:autoSpaceDE/>
              <w:autoSpaceDN/>
              <w:bidi w:val="0"/>
              <w:adjustRightInd/>
              <w:snapToGrid/>
              <w:spacing w:line="320" w:lineRule="exact"/>
              <w:ind w:firstLine="0" w:firstLineChars="0"/>
              <w:jc w:val="center"/>
              <w:textAlignment w:val="auto"/>
              <w:rPr>
                <w:rFonts w:hint="default"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YS5117223210001</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264" w:type="dxa"/>
            <w:vMerge w:val="continue"/>
            <w:tcBorders>
              <w:tl2br w:val="nil"/>
              <w:tr2bl w:val="nil"/>
            </w:tcBorders>
            <w:noWrap w:val="0"/>
            <w:vAlign w:val="center"/>
          </w:tcPr>
          <w:p>
            <w:pPr>
              <w:pStyle w:val="97"/>
              <w:keepNext w:val="0"/>
              <w:keepLines w:val="0"/>
              <w:pageBreakBefore w:val="0"/>
              <w:widowControl w:val="0"/>
              <w:kinsoku/>
              <w:wordWrap/>
              <w:overflowPunct w:val="0"/>
              <w:topLinePunct w:val="0"/>
              <w:autoSpaceDE/>
              <w:autoSpaceDN/>
              <w:bidi w:val="0"/>
              <w:adjustRightInd/>
              <w:snapToGrid/>
              <w:spacing w:line="320" w:lineRule="exact"/>
              <w:ind w:firstLine="0" w:firstLineChars="0"/>
              <w:jc w:val="center"/>
              <w:textAlignment w:val="auto"/>
              <w:rPr>
                <w:color w:val="000000" w:themeColor="text1"/>
                <w:highlight w:val="none"/>
                <w14:textFill>
                  <w14:solidFill>
                    <w14:schemeClr w14:val="tx1"/>
                  </w14:solidFill>
                </w14:textFill>
              </w:rPr>
            </w:pPr>
          </w:p>
        </w:tc>
        <w:tc>
          <w:tcPr>
            <w:tcW w:w="2272" w:type="dxa"/>
            <w:vMerge w:val="continue"/>
            <w:tcBorders>
              <w:tl2br w:val="nil"/>
              <w:tr2bl w:val="nil"/>
            </w:tcBorders>
            <w:noWrap w:val="0"/>
            <w:vAlign w:val="center"/>
          </w:tcPr>
          <w:p>
            <w:pPr>
              <w:pStyle w:val="97"/>
              <w:keepNext w:val="0"/>
              <w:keepLines w:val="0"/>
              <w:pageBreakBefore w:val="0"/>
              <w:widowControl w:val="0"/>
              <w:kinsoku/>
              <w:wordWrap/>
              <w:overflowPunct w:val="0"/>
              <w:topLinePunct w:val="0"/>
              <w:autoSpaceDE/>
              <w:autoSpaceDN/>
              <w:bidi w:val="0"/>
              <w:adjustRightInd/>
              <w:snapToGrid/>
              <w:spacing w:line="320" w:lineRule="exact"/>
              <w:ind w:firstLine="0" w:firstLineChars="0"/>
              <w:jc w:val="center"/>
              <w:textAlignment w:val="auto"/>
              <w:rPr>
                <w:color w:val="000000" w:themeColor="text1"/>
                <w:highlight w:val="none"/>
                <w14:textFill>
                  <w14:solidFill>
                    <w14:schemeClr w14:val="tx1"/>
                  </w14:solidFill>
                </w14:textFill>
              </w:rPr>
            </w:pPr>
          </w:p>
        </w:tc>
        <w:tc>
          <w:tcPr>
            <w:tcW w:w="3290" w:type="dxa"/>
            <w:tcBorders>
              <w:tl2br w:val="nil"/>
              <w:tr2bl w:val="nil"/>
            </w:tcBorders>
            <w:noWrap w:val="0"/>
            <w:vAlign w:val="center"/>
          </w:tcPr>
          <w:p>
            <w:pPr>
              <w:pStyle w:val="97"/>
              <w:keepNext w:val="0"/>
              <w:keepLines w:val="0"/>
              <w:pageBreakBefore w:val="0"/>
              <w:widowControl w:val="0"/>
              <w:kinsoku/>
              <w:wordWrap/>
              <w:overflowPunct w:val="0"/>
              <w:topLinePunct w:val="0"/>
              <w:autoSpaceDE/>
              <w:autoSpaceDN/>
              <w:bidi w:val="0"/>
              <w:adjustRightInd/>
              <w:snapToGrid/>
              <w:spacing w:line="320" w:lineRule="exact"/>
              <w:ind w:firstLine="0" w:firstLineChars="0"/>
              <w:jc w:val="left"/>
              <w:textAlignment w:val="auto"/>
              <w:rPr>
                <w:color w:val="000000" w:themeColor="text1"/>
                <w:highlight w:val="none"/>
                <w14:textFill>
                  <w14:solidFill>
                    <w14:schemeClr w14:val="tx1"/>
                  </w14:solidFill>
                </w14:textFill>
              </w:rPr>
            </w:pPr>
            <w:r>
              <w:rPr>
                <w:rStyle w:val="57"/>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大气环境</w:t>
            </w:r>
            <w:r>
              <w:rPr>
                <w:rStyle w:val="57"/>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一般管控区：</w:t>
            </w:r>
            <w:r>
              <w:rPr>
                <w:rFonts w:hint="default" w:ascii="Times New Roman" w:hAnsi="Times New Roman" w:eastAsia="宋体" w:cs="Times New Roman"/>
                <w:color w:val="000000" w:themeColor="text1"/>
                <w:sz w:val="21"/>
                <w:szCs w:val="21"/>
                <w:highlight w:val="none"/>
                <w14:textFill>
                  <w14:solidFill>
                    <w14:schemeClr w14:val="tx1"/>
                  </w14:solidFill>
                </w14:textFill>
              </w:rPr>
              <w:t>宣汉县大气环境一般管控区</w:t>
            </w:r>
          </w:p>
        </w:tc>
        <w:tc>
          <w:tcPr>
            <w:tcW w:w="1526" w:type="dxa"/>
            <w:tcBorders>
              <w:tl2br w:val="nil"/>
              <w:tr2bl w:val="nil"/>
            </w:tcBorders>
            <w:noWrap w:val="0"/>
            <w:vAlign w:val="center"/>
          </w:tcPr>
          <w:p>
            <w:pPr>
              <w:pStyle w:val="97"/>
              <w:keepNext w:val="0"/>
              <w:keepLines w:val="0"/>
              <w:pageBreakBefore w:val="0"/>
              <w:widowControl w:val="0"/>
              <w:kinsoku/>
              <w:wordWrap/>
              <w:overflowPunct w:val="0"/>
              <w:topLinePunct w:val="0"/>
              <w:autoSpaceDE/>
              <w:autoSpaceDN/>
              <w:bidi w:val="0"/>
              <w:adjustRightInd/>
              <w:snapToGrid/>
              <w:spacing w:line="320" w:lineRule="exact"/>
              <w:ind w:firstLine="0" w:firstLineChars="0"/>
              <w:jc w:val="center"/>
              <w:textAlignment w:val="auto"/>
              <w:rPr>
                <w:rFonts w:hint="default"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YS5117223310001</w:t>
            </w:r>
          </w:p>
        </w:tc>
      </w:tr>
    </w:tbl>
    <w:p>
      <w:pP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p>
    <w:p>
      <w:pPr>
        <w:pStyle w:val="65"/>
        <w:keepNext w:val="0"/>
        <w:keepLines w:val="0"/>
        <w:pageBreakBefore w:val="0"/>
        <w:widowControl w:val="0"/>
        <w:numPr>
          <w:ilvl w:val="0"/>
          <w:numId w:val="0"/>
        </w:numPr>
        <w:kinsoku/>
        <w:wordWrap/>
        <w:overflowPunct w:val="0"/>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（2）与生态保护红线、生态空间的位置关系</w:t>
      </w:r>
    </w:p>
    <w:p>
      <w:pPr>
        <w:ind w:firstLine="480"/>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1）与生态保护红线位置关系</w:t>
      </w:r>
    </w:p>
    <w:p>
      <w:pPr>
        <w:ind w:firstLine="480"/>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本项目位于</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达州市宣汉县普光镇境内</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，根据四川省生态环境厅三线一单系统查询结果可知，项目不涉及四川省生态保护红线区域范围。项目与生态红线位置关系见下图。</w:t>
      </w:r>
    </w:p>
    <w:p>
      <w:pPr>
        <w:keepNext w:val="0"/>
        <w:keepLines w:val="0"/>
        <w:pageBreakBefore w:val="0"/>
        <w:widowControl w:val="0"/>
        <w:kinsoku/>
        <w:wordWrap/>
        <w:overflowPunct w:val="0"/>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b/>
          <w:bCs/>
          <w:color w:val="000000" w:themeColor="text1"/>
          <w:spacing w:val="0"/>
          <w:kern w:val="21"/>
          <w:position w:val="0"/>
          <w:sz w:val="24"/>
          <w:szCs w:val="24"/>
          <w:highlight w:val="none"/>
          <w:lang w:eastAsia="zh-CN"/>
          <w14:textFill>
            <w14:solidFill>
              <w14:schemeClr w14:val="tx1"/>
            </w14:solidFill>
          </w14:textFill>
        </w:rPr>
      </w:pPr>
      <w:r>
        <w:rPr>
          <w:rFonts w:hint="default" w:ascii="Times New Roman" w:hAnsi="Times New Roman"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77024" behindDoc="0" locked="0" layoutInCell="1" allowOverlap="1">
                <wp:simplePos x="0" y="0"/>
                <wp:positionH relativeFrom="column">
                  <wp:posOffset>3054350</wp:posOffset>
                </wp:positionH>
                <wp:positionV relativeFrom="paragraph">
                  <wp:posOffset>364490</wp:posOffset>
                </wp:positionV>
                <wp:extent cx="1218565" cy="317500"/>
                <wp:effectExtent l="4445" t="5080" r="21590" b="477520"/>
                <wp:wrapNone/>
                <wp:docPr id="15" name="对话气泡: 矩形 3"/>
                <wp:cNvGraphicFramePr/>
                <a:graphic xmlns:a="http://schemas.openxmlformats.org/drawingml/2006/main">
                  <a:graphicData uri="http://schemas.microsoft.com/office/word/2010/wordprocessingShape">
                    <wps:wsp>
                      <wps:cNvSpPr>
                        <a:spLocks noChangeArrowheads="1"/>
                      </wps:cNvSpPr>
                      <wps:spPr bwMode="auto">
                        <a:xfrm>
                          <a:off x="0" y="0"/>
                          <a:ext cx="1218565" cy="317500"/>
                        </a:xfrm>
                        <a:prstGeom prst="wedgeRectCallout">
                          <a:avLst>
                            <a:gd name="adj1" fmla="val 50157"/>
                            <a:gd name="adj2" fmla="val 191000"/>
                          </a:avLst>
                        </a:prstGeom>
                        <a:solidFill>
                          <a:srgbClr val="FFFFFF"/>
                        </a:solidFill>
                        <a:ln w="9525">
                          <a:solidFill>
                            <a:srgbClr val="000000"/>
                          </a:solidFill>
                          <a:miter lim="800000"/>
                        </a:ln>
                      </wps:spPr>
                      <wps:txbx>
                        <w:txbxContent>
                          <w:p>
                            <w:pPr>
                              <w:ind w:firstLine="0" w:firstLineChars="0"/>
                              <w:rPr>
                                <w:sz w:val="21"/>
                                <w:szCs w:val="20"/>
                              </w:rPr>
                            </w:pPr>
                            <w:r>
                              <w:rPr>
                                <w:rFonts w:hint="eastAsia"/>
                                <w:sz w:val="21"/>
                                <w:szCs w:val="20"/>
                              </w:rPr>
                              <w:t>本项目所在位置</w:t>
                            </w:r>
                          </w:p>
                        </w:txbxContent>
                      </wps:txbx>
                      <wps:bodyPr rot="0" vert="horz" wrap="square" lIns="91440" tIns="45720" rIns="91440" bIns="45720" anchor="t" anchorCtr="0" upright="1">
                        <a:noAutofit/>
                      </wps:bodyPr>
                    </wps:wsp>
                  </a:graphicData>
                </a:graphic>
              </wp:anchor>
            </w:drawing>
          </mc:Choice>
          <mc:Fallback>
            <w:pict>
              <v:shape id="对话气泡: 矩形 3" o:spid="_x0000_s1026" o:spt="61" type="#_x0000_t61" style="position:absolute;left:0pt;margin-left:240.5pt;margin-top:28.7pt;height:25pt;width:95.95pt;z-index:251777024;mso-width-relative:page;mso-height-relative:page;" fillcolor="#FFFFFF" filled="t" stroked="t" coordsize="21600,21600" o:gfxdata="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F1/grHVAAAACgEAAA8AAAAAAAAAAQAgAAAAIgAAAGRycy9k&#10;b3ducmV2LnhtbFBLAQIUABQAAAAIAIdO4kBB3z5gdwIAAOcEAAAOAAAAAAAAAAEAIAAAACQBAABk&#10;cnMvZTJvRG9jLnhtbFBLBQYAAAAABgAGAFkBAAANBgAAAAA=&#10;" adj="21634,52056">
                <v:fill on="t" focussize="0,0"/>
                <v:stroke color="#000000" miterlimit="8" joinstyle="miter"/>
                <v:imagedata o:title=""/>
                <o:lock v:ext="edit" aspectratio="f"/>
                <v:textbox>
                  <w:txbxContent>
                    <w:p>
                      <w:pPr>
                        <w:ind w:firstLine="0" w:firstLineChars="0"/>
                        <w:rPr>
                          <w:sz w:val="21"/>
                          <w:szCs w:val="20"/>
                        </w:rPr>
                      </w:pPr>
                      <w:r>
                        <w:rPr>
                          <w:rFonts w:hint="eastAsia"/>
                          <w:sz w:val="21"/>
                          <w:szCs w:val="20"/>
                        </w:rPr>
                        <w:t>本项目所在位置</w:t>
                      </w:r>
                    </w:p>
                  </w:txbxContent>
                </v:textbox>
              </v:shape>
            </w:pict>
          </mc:Fallback>
        </mc:AlternateContent>
      </w:r>
      <w:r>
        <w:rPr>
          <w:rFonts w:hint="default" w:ascii="Times New Roman" w:hAnsi="Times New Roman"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78048" behindDoc="0" locked="0" layoutInCell="1" allowOverlap="1">
                <wp:simplePos x="0" y="0"/>
                <wp:positionH relativeFrom="column">
                  <wp:posOffset>4261485</wp:posOffset>
                </wp:positionH>
                <wp:positionV relativeFrom="paragraph">
                  <wp:posOffset>1113155</wp:posOffset>
                </wp:positionV>
                <wp:extent cx="45085" cy="45085"/>
                <wp:effectExtent l="4445" t="4445" r="13970" b="13970"/>
                <wp:wrapNone/>
                <wp:docPr id="10" name="椭圆 2"/>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shape id="椭圆 2" o:spid="_x0000_s1026" o:spt="3" type="#_x0000_t3" style="position:absolute;left:0pt;margin-left:335.55pt;margin-top:87.65pt;height:3.55pt;width:3.55pt;z-index:251778048;mso-width-relative:page;mso-height-relative:page;" fillcolor="#FF0000" filled="t" stroked="t" coordsize="21600,21600" o:gfxdata="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NlzWw2AAAAAsBAAAPAAAAAAAAAAEAIAAAACIAAABkcnMvZG93bnJldi54bWxQSwECFAAUAAAA&#10;CACHTuJA1n1tNycCAABjBAAADgAAAAAAAAABACAAAAAnAQAAZHJzL2Uyb0RvYy54bWxQSwUGAAAA&#10;AAYABgBZAQAAwAUAAAAA&#10;">
                <v:fill on="t" focussize="0,0"/>
                <v:stroke color="#FF0000" joinstyle="round"/>
                <v:imagedata o:title=""/>
                <o:lock v:ext="edit" aspectratio="f"/>
              </v:shape>
            </w:pict>
          </mc:Fallback>
        </mc:AlternateContent>
      </w:r>
      <w:r>
        <w:rPr>
          <w:rFonts w:hint="eastAsia" w:ascii="Times New Roman" w:hAnsi="Times New Roman" w:eastAsia="宋体" w:cs="Times New Roman"/>
          <w:b/>
          <w:bCs/>
          <w:color w:val="000000" w:themeColor="text1"/>
          <w:spacing w:val="0"/>
          <w:kern w:val="21"/>
          <w:position w:val="0"/>
          <w:sz w:val="24"/>
          <w:szCs w:val="24"/>
          <w:highlight w:val="none"/>
          <w:lang w:eastAsia="zh-CN"/>
          <w14:textFill>
            <w14:solidFill>
              <w14:schemeClr w14:val="tx1"/>
            </w14:solidFill>
          </w14:textFill>
        </w:rPr>
        <w:drawing>
          <wp:inline distT="0" distB="0" distL="114300" distR="114300">
            <wp:extent cx="4522470" cy="3209290"/>
            <wp:effectExtent l="0" t="0" r="11430" b="10160"/>
            <wp:docPr id="79" name="图片 79" descr="四川省生态保护红线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四川省生态保护红线分布图"/>
                    <pic:cNvPicPr>
                      <a:picLocks noChangeAspect="1"/>
                    </pic:cNvPicPr>
                  </pic:nvPicPr>
                  <pic:blipFill>
                    <a:blip r:embed="rId26"/>
                    <a:srcRect l="1684" t="4046" r="1298"/>
                    <a:stretch>
                      <a:fillRect/>
                    </a:stretch>
                  </pic:blipFill>
                  <pic:spPr>
                    <a:xfrm>
                      <a:off x="0" y="0"/>
                      <a:ext cx="4522470" cy="3209290"/>
                    </a:xfrm>
                    <a:prstGeom prst="rect">
                      <a:avLst/>
                    </a:prstGeom>
                  </pic:spPr>
                </pic:pic>
              </a:graphicData>
            </a:graphic>
          </wp:inline>
        </w:drawing>
      </w:r>
    </w:p>
    <w:p>
      <w:pPr>
        <w:widowControl/>
        <w:tabs>
          <w:tab w:val="left" w:pos="3864"/>
        </w:tabs>
        <w:spacing w:line="240" w:lineRule="auto"/>
        <w:ind w:firstLine="0" w:firstLineChars="0"/>
        <w:jc w:val="center"/>
        <w:rPr>
          <w:rFonts w:hint="eastAsia" w:ascii="Times New Roman" w:hAnsi="Times New Roman" w:eastAsia="黑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黑体" w:cs="Times New Roman"/>
          <w:color w:val="000000" w:themeColor="text1"/>
          <w:kern w:val="0"/>
          <w:sz w:val="21"/>
          <w:szCs w:val="21"/>
          <w:highlight w:val="none"/>
          <w:lang w:val="en-US" w:eastAsia="zh-CN"/>
          <w14:textFill>
            <w14:solidFill>
              <w14:schemeClr w14:val="tx1"/>
            </w14:solidFill>
          </w14:textFill>
        </w:rPr>
        <w:t>图2.7-5  项目与四川省生态保护红线位置关系图</w:t>
      </w:r>
    </w:p>
    <w:p>
      <w:pPr>
        <w:pStyle w:val="65"/>
        <w:rPr>
          <w:rFonts w:hint="default"/>
          <w:color w:val="000000" w:themeColor="text1"/>
          <w:highlight w:val="none"/>
          <w:lang w:val="en-US" w:eastAsia="zh-CN"/>
          <w14:textFill>
            <w14:solidFill>
              <w14:schemeClr w14:val="tx1"/>
            </w14:solidFill>
          </w14:textFill>
        </w:rPr>
      </w:pPr>
    </w:p>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67808" behindDoc="0" locked="0" layoutInCell="1" allowOverlap="1">
                <wp:simplePos x="0" y="0"/>
                <wp:positionH relativeFrom="column">
                  <wp:posOffset>2133600</wp:posOffset>
                </wp:positionH>
                <wp:positionV relativeFrom="paragraph">
                  <wp:posOffset>1657350</wp:posOffset>
                </wp:positionV>
                <wp:extent cx="45085" cy="45085"/>
                <wp:effectExtent l="4445" t="4445" r="13970" b="13970"/>
                <wp:wrapNone/>
                <wp:docPr id="61" name="椭圆 2"/>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shape id="椭圆 2" o:spid="_x0000_s1026" o:spt="3" type="#_x0000_t3" style="position:absolute;left:0pt;margin-left:168pt;margin-top:130.5pt;height:3.55pt;width:3.55pt;z-index:251767808;mso-width-relative:page;mso-height-relative:page;" fillcolor="#FF0000" filled="t" stroked="t" coordsize="21600,21600" o:gfxdata="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EiKRvdgAAAALAQAADwAAAAAAAAABACAAAAAiAAAAZHJzL2Rvd25yZXYueG1sUEsBAhQAFAAA&#10;AAgAh07iQKoW3wooAgAAYwQAAA4AAAAAAAAAAQAgAAAAJwEAAGRycy9lMm9Eb2MueG1sUEsFBgAA&#10;AAAGAAYAWQEAAMEFAAAAAA==&#10;">
                <v:fill on="t" focussize="0,0"/>
                <v:stroke color="#FF0000" joinstyle="round"/>
                <v:imagedata o:title=""/>
                <o:lock v:ext="edit" aspectratio="f"/>
              </v:shape>
            </w:pict>
          </mc:Fallback>
        </mc:AlternateContent>
      </w:r>
      <w:r>
        <w:rPr>
          <w:rFonts w:hint="default" w:ascii="Times New Roman" w:hAnsi="Times New Roman"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66784" behindDoc="0" locked="0" layoutInCell="1" allowOverlap="1">
                <wp:simplePos x="0" y="0"/>
                <wp:positionH relativeFrom="column">
                  <wp:posOffset>926465</wp:posOffset>
                </wp:positionH>
                <wp:positionV relativeFrom="paragraph">
                  <wp:posOffset>908685</wp:posOffset>
                </wp:positionV>
                <wp:extent cx="1218565" cy="317500"/>
                <wp:effectExtent l="4445" t="5080" r="21590" b="477520"/>
                <wp:wrapNone/>
                <wp:docPr id="73" name="对话气泡: 矩形 3"/>
                <wp:cNvGraphicFramePr/>
                <a:graphic xmlns:a="http://schemas.openxmlformats.org/drawingml/2006/main">
                  <a:graphicData uri="http://schemas.microsoft.com/office/word/2010/wordprocessingShape">
                    <wps:wsp>
                      <wps:cNvSpPr>
                        <a:spLocks noChangeArrowheads="1"/>
                      </wps:cNvSpPr>
                      <wps:spPr bwMode="auto">
                        <a:xfrm>
                          <a:off x="0" y="0"/>
                          <a:ext cx="1218565" cy="317500"/>
                        </a:xfrm>
                        <a:prstGeom prst="wedgeRectCallout">
                          <a:avLst>
                            <a:gd name="adj1" fmla="val 50157"/>
                            <a:gd name="adj2" fmla="val 191000"/>
                          </a:avLst>
                        </a:prstGeom>
                        <a:solidFill>
                          <a:srgbClr val="FFFFFF"/>
                        </a:solidFill>
                        <a:ln w="9525">
                          <a:solidFill>
                            <a:srgbClr val="000000"/>
                          </a:solidFill>
                          <a:miter lim="800000"/>
                        </a:ln>
                      </wps:spPr>
                      <wps:txbx>
                        <w:txbxContent>
                          <w:p>
                            <w:pPr>
                              <w:ind w:firstLine="0" w:firstLineChars="0"/>
                              <w:rPr>
                                <w:sz w:val="21"/>
                                <w:szCs w:val="20"/>
                              </w:rPr>
                            </w:pPr>
                            <w:r>
                              <w:rPr>
                                <w:rFonts w:hint="eastAsia"/>
                                <w:sz w:val="21"/>
                                <w:szCs w:val="20"/>
                              </w:rPr>
                              <w:t>本项目所在位置</w:t>
                            </w:r>
                          </w:p>
                        </w:txbxContent>
                      </wps:txbx>
                      <wps:bodyPr rot="0" vert="horz" wrap="square" lIns="91440" tIns="45720" rIns="91440" bIns="45720" anchor="t" anchorCtr="0" upright="1">
                        <a:noAutofit/>
                      </wps:bodyPr>
                    </wps:wsp>
                  </a:graphicData>
                </a:graphic>
              </wp:anchor>
            </w:drawing>
          </mc:Choice>
          <mc:Fallback>
            <w:pict>
              <v:shape id="对话气泡: 矩形 3" o:spid="_x0000_s1026" o:spt="61" type="#_x0000_t61" style="position:absolute;left:0pt;margin-left:72.95pt;margin-top:71.55pt;height:25pt;width:95.95pt;z-index:251766784;mso-width-relative:page;mso-height-relative:page;" fillcolor="#FFFFFF" filled="t" stroked="t" coordsize="21600,21600" o:gfxdata="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G/jeJ7TAAAACwEAAA8AAAAAAAAAAQAgAAAAIgAAAGRycy9k&#10;b3ducmV2LnhtbFBLAQIUABQAAAAIAIdO4kDxZzXgeQIAAOcEAAAOAAAAAAAAAAEAIAAAACIBAABk&#10;cnMvZTJvRG9jLnhtbFBLBQYAAAAABgAGAFkBAAANBgAAAAA=&#10;" adj="21634,52056">
                <v:fill on="t" focussize="0,0"/>
                <v:stroke color="#000000" miterlimit="8" joinstyle="miter"/>
                <v:imagedata o:title=""/>
                <o:lock v:ext="edit" aspectratio="f"/>
                <v:textbox>
                  <w:txbxContent>
                    <w:p>
                      <w:pPr>
                        <w:ind w:firstLine="0" w:firstLineChars="0"/>
                        <w:rPr>
                          <w:sz w:val="21"/>
                          <w:szCs w:val="20"/>
                        </w:rPr>
                      </w:pPr>
                      <w:r>
                        <w:rPr>
                          <w:rFonts w:hint="eastAsia"/>
                          <w:sz w:val="21"/>
                          <w:szCs w:val="20"/>
                        </w:rPr>
                        <w:t>本项目所在位置</w:t>
                      </w:r>
                    </w:p>
                  </w:txbxContent>
                </v:textbox>
              </v:shape>
            </w:pict>
          </mc:Fallback>
        </mc:AlternateContent>
      </w:r>
      <w:r>
        <w:rPr>
          <w:rFonts w:hint="default" w:ascii="Times New Roman" w:hAnsi="Times New Roman" w:cs="Times New Roman"/>
          <w:bCs/>
          <w:color w:val="000000" w:themeColor="text1"/>
          <w:sz w:val="21"/>
          <w:szCs w:val="18"/>
          <w:highlight w:val="none"/>
          <w14:textFill>
            <w14:solidFill>
              <w14:schemeClr w14:val="tx1"/>
            </w14:solidFill>
          </w14:textFill>
        </w:rPr>
        <w:drawing>
          <wp:inline distT="0" distB="0" distL="0" distR="0">
            <wp:extent cx="4292600" cy="2940685"/>
            <wp:effectExtent l="0" t="0" r="12700" b="12065"/>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noChangeArrowheads="1"/>
                    </pic:cNvPicPr>
                  </pic:nvPicPr>
                  <pic:blipFill>
                    <a:blip r:embed="rId27" cstate="print">
                      <a:extLst>
                        <a:ext uri="{28A0092B-C50C-407E-A947-70E740481C1C}">
                          <a14:useLocalDpi xmlns:a14="http://schemas.microsoft.com/office/drawing/2010/main" val="0"/>
                        </a:ext>
                      </a:extLst>
                    </a:blip>
                    <a:srcRect b="2856"/>
                    <a:stretch>
                      <a:fillRect/>
                    </a:stretch>
                  </pic:blipFill>
                  <pic:spPr>
                    <a:xfrm>
                      <a:off x="0" y="0"/>
                      <a:ext cx="4292600" cy="2940685"/>
                    </a:xfrm>
                    <a:prstGeom prst="rect">
                      <a:avLst/>
                    </a:prstGeom>
                    <a:noFill/>
                    <a:ln>
                      <a:noFill/>
                    </a:ln>
                  </pic:spPr>
                </pic:pic>
              </a:graphicData>
            </a:graphic>
          </wp:inline>
        </w:drawing>
      </w:r>
    </w:p>
    <w:p>
      <w:pPr>
        <w:widowControl/>
        <w:tabs>
          <w:tab w:val="left" w:pos="3864"/>
        </w:tabs>
        <w:spacing w:line="240" w:lineRule="auto"/>
        <w:ind w:firstLine="0" w:firstLineChars="0"/>
        <w:jc w:val="center"/>
        <w:rPr>
          <w:rFonts w:hint="default" w:ascii="Times New Roman" w:hAnsi="Times New Roman" w:eastAsia="黑体" w:cs="Times New Roman"/>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图2.7-</w:t>
      </w:r>
      <w:r>
        <w:rPr>
          <w:rFonts w:hint="eastAsia" w:ascii="Times New Roman" w:hAnsi="Times New Roman" w:eastAsia="黑体" w:cs="Times New Roman"/>
          <w:color w:val="000000" w:themeColor="text1"/>
          <w:kern w:val="0"/>
          <w:sz w:val="21"/>
          <w:szCs w:val="21"/>
          <w:highlight w:val="none"/>
          <w:lang w:val="en-US" w:eastAsia="zh-CN"/>
          <w14:textFill>
            <w14:solidFill>
              <w14:schemeClr w14:val="tx1"/>
            </w14:solidFill>
          </w14:textFill>
        </w:rPr>
        <w:t xml:space="preserve">6 </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 xml:space="preserve">  </w:t>
      </w:r>
      <w:r>
        <w:rPr>
          <w:rFonts w:hint="default" w:ascii="Times New Roman" w:hAnsi="Times New Roman" w:eastAsia="黑体" w:cs="Times New Roman"/>
          <w:color w:val="000000" w:themeColor="text1"/>
          <w:sz w:val="21"/>
          <w:szCs w:val="21"/>
          <w:highlight w:val="none"/>
          <w:lang w:bidi="ar"/>
          <w14:textFill>
            <w14:solidFill>
              <w14:schemeClr w14:val="tx1"/>
            </w14:solidFill>
          </w14:textFill>
        </w:rPr>
        <w:t>项目与达州市生态红线的位置关系图</w:t>
      </w:r>
    </w:p>
    <w:p>
      <w:pPr>
        <w:pStyle w:val="16"/>
        <w:keepNext w:val="0"/>
        <w:keepLines w:val="0"/>
        <w:pageBreakBefore w:val="0"/>
        <w:widowControl w:val="0"/>
        <w:kinsoku/>
        <w:wordWrap/>
        <w:topLinePunct w:val="0"/>
        <w:autoSpaceDE/>
        <w:autoSpaceDN/>
        <w:bidi w:val="0"/>
        <w:adjustRightInd w:val="0"/>
        <w:snapToGrid w:val="0"/>
        <w:spacing w:before="0"/>
        <w:textAlignment w:val="auto"/>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p>
    <w:p>
      <w:pPr>
        <w:pStyle w:val="16"/>
        <w:keepNext w:val="0"/>
        <w:keepLines w:val="0"/>
        <w:pageBreakBefore w:val="0"/>
        <w:widowControl w:val="0"/>
        <w:kinsoku/>
        <w:wordWrap/>
        <w:topLinePunct w:val="0"/>
        <w:autoSpaceDE/>
        <w:autoSpaceDN/>
        <w:bidi w:val="0"/>
        <w:adjustRightInd w:val="0"/>
        <w:snapToGrid w:val="0"/>
        <w:spacing w:before="0"/>
        <w:textAlignment w:val="auto"/>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p>
    <w:p>
      <w:pPr>
        <w:pStyle w:val="16"/>
        <w:keepNext w:val="0"/>
        <w:keepLines w:val="0"/>
        <w:pageBreakBefore w:val="0"/>
        <w:widowControl w:val="0"/>
        <w:kinsoku/>
        <w:wordWrap/>
        <w:topLinePunct w:val="0"/>
        <w:autoSpaceDE/>
        <w:autoSpaceDN/>
        <w:bidi w:val="0"/>
        <w:adjustRightInd w:val="0"/>
        <w:snapToGrid w:val="0"/>
        <w:spacing w:before="0"/>
        <w:textAlignment w:val="auto"/>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2）与生态空间位置关系</w:t>
      </w:r>
    </w:p>
    <w:p>
      <w:pPr>
        <w:pStyle w:val="16"/>
        <w:keepNext w:val="0"/>
        <w:keepLines w:val="0"/>
        <w:pageBreakBefore w:val="0"/>
        <w:widowControl w:val="0"/>
        <w:kinsoku/>
        <w:wordWrap/>
        <w:overflowPunct w:val="0"/>
        <w:topLinePunct w:val="0"/>
        <w:autoSpaceDE/>
        <w:autoSpaceDN/>
        <w:bidi w:val="0"/>
        <w:adjustRightInd w:val="0"/>
        <w:snapToGrid w:val="0"/>
        <w:spacing w:before="0" w:line="360" w:lineRule="auto"/>
        <w:ind w:firstLine="480" w:firstLineChars="200"/>
        <w:jc w:val="left"/>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本项目位于</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达州市宣汉县普光镇境内</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，经查询，项目所在地不涉及一般生态空间。</w:t>
      </w:r>
    </w:p>
    <w:p>
      <w:pPr>
        <w:pStyle w:val="16"/>
        <w:keepNext w:val="0"/>
        <w:keepLines w:val="0"/>
        <w:pageBreakBefore w:val="0"/>
        <w:widowControl w:val="0"/>
        <w:kinsoku/>
        <w:wordWrap/>
        <w:overflowPunct w:val="0"/>
        <w:topLinePunct w:val="0"/>
        <w:autoSpaceDE/>
        <w:autoSpaceDN/>
        <w:bidi w:val="0"/>
        <w:adjustRightInd/>
        <w:snapToGrid/>
        <w:spacing w:before="0" w:line="360" w:lineRule="auto"/>
        <w:ind w:firstLine="0" w:firstLineChars="0"/>
        <w:jc w:val="center"/>
        <w:textAlignment w:val="auto"/>
        <w:rPr>
          <w:rFonts w:hint="eastAsia"/>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68832" behindDoc="0" locked="0" layoutInCell="1" allowOverlap="1">
                <wp:simplePos x="0" y="0"/>
                <wp:positionH relativeFrom="column">
                  <wp:posOffset>1000760</wp:posOffset>
                </wp:positionH>
                <wp:positionV relativeFrom="paragraph">
                  <wp:posOffset>821690</wp:posOffset>
                </wp:positionV>
                <wp:extent cx="1218565" cy="317500"/>
                <wp:effectExtent l="4445" t="5080" r="21590" b="477520"/>
                <wp:wrapNone/>
                <wp:docPr id="83" name="对话气泡: 矩形 3"/>
                <wp:cNvGraphicFramePr/>
                <a:graphic xmlns:a="http://schemas.openxmlformats.org/drawingml/2006/main">
                  <a:graphicData uri="http://schemas.microsoft.com/office/word/2010/wordprocessingShape">
                    <wps:wsp>
                      <wps:cNvSpPr>
                        <a:spLocks noChangeArrowheads="1"/>
                      </wps:cNvSpPr>
                      <wps:spPr bwMode="auto">
                        <a:xfrm>
                          <a:off x="0" y="0"/>
                          <a:ext cx="1218565" cy="317500"/>
                        </a:xfrm>
                        <a:prstGeom prst="wedgeRectCallout">
                          <a:avLst>
                            <a:gd name="adj1" fmla="val 50157"/>
                            <a:gd name="adj2" fmla="val 191000"/>
                          </a:avLst>
                        </a:prstGeom>
                        <a:solidFill>
                          <a:srgbClr val="FFFFFF"/>
                        </a:solidFill>
                        <a:ln w="9525">
                          <a:solidFill>
                            <a:srgbClr val="000000"/>
                          </a:solidFill>
                          <a:miter lim="800000"/>
                        </a:ln>
                      </wps:spPr>
                      <wps:txbx>
                        <w:txbxContent>
                          <w:p>
                            <w:pPr>
                              <w:ind w:firstLine="0" w:firstLineChars="0"/>
                              <w:rPr>
                                <w:sz w:val="21"/>
                                <w:szCs w:val="20"/>
                              </w:rPr>
                            </w:pPr>
                            <w:r>
                              <w:rPr>
                                <w:rFonts w:hint="eastAsia"/>
                                <w:sz w:val="21"/>
                                <w:szCs w:val="20"/>
                              </w:rPr>
                              <w:t>本项目所在位置</w:t>
                            </w:r>
                          </w:p>
                        </w:txbxContent>
                      </wps:txbx>
                      <wps:bodyPr rot="0" vert="horz" wrap="square" lIns="91440" tIns="45720" rIns="91440" bIns="45720" anchor="t" anchorCtr="0" upright="1">
                        <a:noAutofit/>
                      </wps:bodyPr>
                    </wps:wsp>
                  </a:graphicData>
                </a:graphic>
              </wp:anchor>
            </w:drawing>
          </mc:Choice>
          <mc:Fallback>
            <w:pict>
              <v:shape id="对话气泡: 矩形 3" o:spid="_x0000_s1026" o:spt="61" type="#_x0000_t61" style="position:absolute;left:0pt;margin-left:78.8pt;margin-top:64.7pt;height:25pt;width:95.95pt;z-index:251768832;mso-width-relative:page;mso-height-relative:page;" fillcolor="#FFFFFF" filled="t" stroked="t" coordsize="21600,21600" o:gfxdata="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pCH9C1QAAAAsBAAAPAAAAAAAAAAEAIAAAACIAAABkcnMv&#10;ZG93bnJldi54bWxQSwECFAAUAAAACACHTuJAQP+EdXgCAADnBAAADgAAAAAAAAABACAAAAAkAQAA&#10;ZHJzL2Uyb0RvYy54bWxQSwUGAAAAAAYABgBZAQAADgYAAAAA&#10;" adj="21634,52056">
                <v:fill on="t" focussize="0,0"/>
                <v:stroke color="#000000" miterlimit="8" joinstyle="miter"/>
                <v:imagedata o:title=""/>
                <o:lock v:ext="edit" aspectratio="f"/>
                <v:textbox>
                  <w:txbxContent>
                    <w:p>
                      <w:pPr>
                        <w:ind w:firstLine="0" w:firstLineChars="0"/>
                        <w:rPr>
                          <w:sz w:val="21"/>
                          <w:szCs w:val="20"/>
                        </w:rPr>
                      </w:pPr>
                      <w:r>
                        <w:rPr>
                          <w:rFonts w:hint="eastAsia"/>
                          <w:sz w:val="21"/>
                          <w:szCs w:val="20"/>
                        </w:rPr>
                        <w:t>本项目所在位置</w:t>
                      </w:r>
                    </w:p>
                  </w:txbxContent>
                </v:textbox>
              </v:shape>
            </w:pict>
          </mc:Fallback>
        </mc:AlternateContent>
      </w:r>
      <w:r>
        <w:rPr>
          <w:rFonts w:hint="default" w:ascii="Times New Roman" w:hAnsi="Times New Roman" w:cs="Times New Roman"/>
          <w:b/>
          <w:color w:val="000000" w:themeColor="text1"/>
          <w:sz w:val="21"/>
          <w:szCs w:val="18"/>
          <w:highlight w:val="none"/>
          <w14:textFill>
            <w14:solidFill>
              <w14:schemeClr w14:val="tx1"/>
            </w14:solidFill>
          </w14:textFill>
        </w:rPr>
        <mc:AlternateContent>
          <mc:Choice Requires="wps">
            <w:drawing>
              <wp:anchor distT="0" distB="0" distL="114300" distR="114300" simplePos="0" relativeHeight="251769856" behindDoc="0" locked="0" layoutInCell="1" allowOverlap="1">
                <wp:simplePos x="0" y="0"/>
                <wp:positionH relativeFrom="column">
                  <wp:posOffset>2207895</wp:posOffset>
                </wp:positionH>
                <wp:positionV relativeFrom="paragraph">
                  <wp:posOffset>1570355</wp:posOffset>
                </wp:positionV>
                <wp:extent cx="45085" cy="45085"/>
                <wp:effectExtent l="4445" t="4445" r="13970" b="13970"/>
                <wp:wrapNone/>
                <wp:docPr id="82" name="椭圆 2"/>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shape id="椭圆 2" o:spid="_x0000_s1026" o:spt="3" type="#_x0000_t3" style="position:absolute;left:0pt;margin-left:173.85pt;margin-top:123.65pt;height:3.55pt;width:3.55pt;z-index:251769856;mso-width-relative:page;mso-height-relative:page;" fillcolor="#FF0000" filled="t" stroked="t" coordsize="21600,21600" o:gfxdata="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NWO7cjZAAAACwEAAA8AAAAAAAAAAQAgAAAAIgAAAGRycy9kb3ducmV2LnhtbFBLAQIUABQA&#10;AAAIAIdO4kD9P+5EKAIAAGMEAAAOAAAAAAAAAAEAIAAAACgBAABkcnMvZTJvRG9jLnhtbFBLBQYA&#10;AAAABgAGAFkBAADCBQAAAAA=&#10;">
                <v:fill on="t" focussize="0,0"/>
                <v:stroke color="#FF0000" joinstyle="round"/>
                <v:imagedata o:title=""/>
                <o:lock v:ext="edit" aspectratio="f"/>
              </v:shape>
            </w:pict>
          </mc:Fallback>
        </mc:AlternateContent>
      </w:r>
      <w:r>
        <w:rPr>
          <w:rFonts w:hint="eastAsia"/>
          <w:b/>
          <w:bCs/>
          <w:color w:val="000000" w:themeColor="text1"/>
          <w:sz w:val="24"/>
          <w:szCs w:val="24"/>
          <w:highlight w:val="none"/>
          <w:lang w:val="en-US" w:eastAsia="zh-CN"/>
          <w14:textFill>
            <w14:solidFill>
              <w14:schemeClr w14:val="tx1"/>
            </w14:solidFill>
          </w14:textFill>
        </w:rPr>
        <w:drawing>
          <wp:inline distT="0" distB="0" distL="114300" distR="114300">
            <wp:extent cx="4413885" cy="3131820"/>
            <wp:effectExtent l="0" t="0" r="5715" b="5080"/>
            <wp:docPr id="81" name="图片 81" descr="达州市一般生态空间分布图（调整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达州市一般生态空间分布图（调整后）"/>
                    <pic:cNvPicPr>
                      <a:picLocks noChangeAspect="1"/>
                    </pic:cNvPicPr>
                  </pic:nvPicPr>
                  <pic:blipFill>
                    <a:blip r:embed="rId28"/>
                    <a:stretch>
                      <a:fillRect/>
                    </a:stretch>
                  </pic:blipFill>
                  <pic:spPr>
                    <a:xfrm>
                      <a:off x="0" y="0"/>
                      <a:ext cx="4413885" cy="3131820"/>
                    </a:xfrm>
                    <a:prstGeom prst="rect">
                      <a:avLst/>
                    </a:prstGeom>
                  </pic:spPr>
                </pic:pic>
              </a:graphicData>
            </a:graphic>
          </wp:inline>
        </w:drawing>
      </w:r>
    </w:p>
    <w:p>
      <w:pPr>
        <w:widowControl/>
        <w:tabs>
          <w:tab w:val="left" w:pos="3864"/>
        </w:tabs>
        <w:spacing w:line="240" w:lineRule="auto"/>
        <w:ind w:firstLine="0" w:firstLineChars="0"/>
        <w:jc w:val="center"/>
        <w:rPr>
          <w:rFonts w:hint="eastAsia" w:ascii="Times New Roman" w:hAnsi="Times New Roman" w:eastAsia="黑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黑体" w:cs="Times New Roman"/>
          <w:color w:val="000000" w:themeColor="text1"/>
          <w:kern w:val="0"/>
          <w:sz w:val="21"/>
          <w:szCs w:val="21"/>
          <w:highlight w:val="none"/>
          <w:lang w:val="en-US" w:eastAsia="zh-CN"/>
          <w14:textFill>
            <w14:solidFill>
              <w14:schemeClr w14:val="tx1"/>
            </w14:solidFill>
          </w14:textFill>
        </w:rPr>
        <w:t>图2.7-7  本项目与达州市生态空间的相对位置关系示意图</w:t>
      </w:r>
    </w:p>
    <w:p>
      <w:pPr>
        <w:pStyle w:val="65"/>
        <w:rPr>
          <w:rFonts w:hint="default"/>
          <w:color w:val="000000" w:themeColor="text1"/>
          <w:highlight w:val="none"/>
          <w:lang w:val="en-US" w:eastAsia="zh-CN"/>
          <w14:textFill>
            <w14:solidFill>
              <w14:schemeClr w14:val="tx1"/>
            </w14:solidFill>
          </w14:textFill>
        </w:rPr>
      </w:pPr>
    </w:p>
    <w:p>
      <w:pPr>
        <w:pStyle w:val="65"/>
        <w:keepNext w:val="0"/>
        <w:keepLines w:val="0"/>
        <w:pageBreakBefore w:val="0"/>
        <w:widowControl w:val="0"/>
        <w:numPr>
          <w:ilvl w:val="0"/>
          <w:numId w:val="0"/>
        </w:numPr>
        <w:kinsoku/>
        <w:wordWrap/>
        <w:overflowPunct w:val="0"/>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t>2</w:t>
      </w:r>
      <w:r>
        <w:rPr>
          <w:rFonts w:hint="default"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t>、</w:t>
      </w:r>
      <w:r>
        <w:rPr>
          <w:rFonts w:hint="eastAsia"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t>管控要求符合性分</w:t>
      </w:r>
      <w:r>
        <w:rPr>
          <w:rFonts w:hint="default" w:ascii="Times New Roman" w:hAnsi="Times New Roman" w:eastAsia="黑体" w:cs="Times New Roman"/>
          <w:bCs/>
          <w:color w:val="000000" w:themeColor="text1"/>
          <w:kern w:val="2"/>
          <w:sz w:val="24"/>
          <w:szCs w:val="24"/>
          <w:highlight w:val="none"/>
          <w:lang w:val="en-US" w:eastAsia="zh-CN" w:bidi="ar-SA"/>
          <w14:textFill>
            <w14:solidFill>
              <w14:schemeClr w14:val="tx1"/>
            </w14:solidFill>
          </w14:textFill>
        </w:rPr>
        <w:t>析</w:t>
      </w:r>
    </w:p>
    <w:p>
      <w:pPr>
        <w:keepNext w:val="0"/>
        <w:keepLines w:val="0"/>
        <w:pageBreakBefore w:val="0"/>
        <w:widowControl w:val="0"/>
        <w:kinsoku/>
        <w:wordWrap/>
        <w:overflowPunct w:val="0"/>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eastAsia="宋体" w:cs="Times New Roman"/>
          <w:bCs/>
          <w:color w:val="000000" w:themeColor="text1"/>
          <w:spacing w:val="0"/>
          <w:kern w:val="21"/>
          <w:position w:val="0"/>
          <w:sz w:val="24"/>
          <w:szCs w:val="24"/>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spacing w:val="0"/>
          <w:kern w:val="21"/>
          <w:position w:val="0"/>
          <w:sz w:val="24"/>
          <w:szCs w:val="24"/>
          <w:highlight w:val="none"/>
          <w:lang w:val="en-US" w:eastAsia="zh-CN" w:bidi="ar-SA"/>
          <w14:textFill>
            <w14:solidFill>
              <w14:schemeClr w14:val="tx1"/>
            </w14:solidFill>
          </w14:textFill>
        </w:rPr>
        <w:t>（1）与“三线一单”相关要求符合性分析</w:t>
      </w:r>
    </w:p>
    <w:p>
      <w:pPr>
        <w:pStyle w:val="21"/>
        <w:keepNext w:val="0"/>
        <w:keepLines w:val="0"/>
        <w:pageBreakBefore w:val="0"/>
        <w:widowControl w:val="0"/>
        <w:kinsoku/>
        <w:wordWrap/>
        <w:overflowPunct w:val="0"/>
        <w:topLinePunct w:val="0"/>
        <w:autoSpaceDE/>
        <w:autoSpaceDN/>
        <w:bidi w:val="0"/>
        <w:adjustRightInd w:val="0"/>
        <w:snapToGrid w:val="0"/>
        <w:spacing w:before="0" w:after="0" w:line="360" w:lineRule="auto"/>
        <w:ind w:right="0" w:firstLine="480" w:firstLineChars="200"/>
        <w:jc w:val="both"/>
        <w:textAlignment w:val="auto"/>
        <w:rPr>
          <w:rFonts w:hint="default"/>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pacing w:val="0"/>
          <w:kern w:val="21"/>
          <w:position w:val="0"/>
          <w:sz w:val="24"/>
          <w:szCs w:val="24"/>
          <w:highlight w:val="none"/>
          <w:lang w:val="en-US" w:eastAsia="en-US" w:bidi="ar-SA"/>
          <w14:textFill>
            <w14:solidFill>
              <w14:schemeClr w14:val="tx1"/>
            </w14:solidFill>
          </w14:textFill>
        </w:rPr>
        <w:t>结合《项目环评“三线一单”符合性分析技术要点（试行）</w:t>
      </w:r>
      <w:r>
        <w:rPr>
          <w:rFonts w:hint="eastAsia" w:ascii="Times New Roman" w:hAnsi="Times New Roman" w:eastAsia="宋体" w:cs="Times New Roman"/>
          <w:bCs/>
          <w:color w:val="000000" w:themeColor="text1"/>
          <w:spacing w:val="0"/>
          <w:kern w:val="21"/>
          <w:position w:val="0"/>
          <w:sz w:val="24"/>
          <w:szCs w:val="24"/>
          <w:highlight w:val="none"/>
          <w14:textFill>
            <w14:solidFill>
              <w14:schemeClr w14:val="tx1"/>
            </w14:solidFill>
          </w14:textFill>
        </w:rPr>
        <w:t>》（川环办函〔2021〕469号）表1，本项目与“三线一单”相关要求的符合性分析如下：</w:t>
      </w:r>
    </w:p>
    <w:p>
      <w:pPr>
        <w:pStyle w:val="250"/>
        <w:ind w:firstLine="480"/>
        <w:rPr>
          <w:rFonts w:hint="default" w:ascii="Times New Roman" w:hAnsi="Times New Roman" w:cs="Times New Roman"/>
          <w:color w:val="000000" w:themeColor="text1"/>
          <w:highlight w:val="none"/>
          <w14:textFill>
            <w14:solidFill>
              <w14:schemeClr w14:val="tx1"/>
            </w14:solidFill>
          </w14:textFill>
        </w:rPr>
        <w:sectPr>
          <w:pgSz w:w="11906" w:h="16838"/>
          <w:pgMar w:top="1440" w:right="1800" w:bottom="1440" w:left="1800" w:header="964" w:footer="964" w:gutter="0"/>
          <w:pgBorders>
            <w:top w:val="none" w:sz="0" w:space="0"/>
            <w:left w:val="none" w:sz="0" w:space="0"/>
            <w:bottom w:val="none" w:sz="0" w:space="0"/>
            <w:right w:val="none" w:sz="0" w:space="0"/>
          </w:pgBorders>
          <w:cols w:space="425" w:num="1"/>
          <w:docGrid w:type="lines" w:linePitch="326" w:charSpace="0"/>
        </w:sectPr>
      </w:pPr>
    </w:p>
    <w:p>
      <w:pPr>
        <w:pStyle w:val="201"/>
        <w:spacing w:before="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ascii="Times New Roman" w:hAnsi="Times New Roman" w:cs="Times New Roman"/>
          <w:color w:val="000000" w:themeColor="text1"/>
          <w:highlight w:val="none"/>
          <w:lang w:val="en-US" w:eastAsia="zh-CN"/>
          <w14:textFill>
            <w14:solidFill>
              <w14:schemeClr w14:val="tx1"/>
            </w14:solidFill>
          </w14:textFill>
        </w:rPr>
        <w:t>1</w:t>
      </w:r>
      <w:r>
        <w:rPr>
          <w:rFonts w:hint="eastAsia" w:cs="Times New Roman"/>
          <w:color w:val="000000" w:themeColor="text1"/>
          <w:highlight w:val="none"/>
          <w:lang w:val="en-US" w:eastAsia="zh-CN"/>
          <w14:textFill>
            <w14:solidFill>
              <w14:schemeClr w14:val="tx1"/>
            </w14:solidFill>
          </w14:textFill>
        </w:rPr>
        <w:t>5</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项目与“三线一单”相关要求的符合性分析表</w:t>
      </w:r>
    </w:p>
    <w:tbl>
      <w:tblPr>
        <w:tblStyle w:val="5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2"/>
        <w:gridCol w:w="956"/>
        <w:gridCol w:w="5517"/>
        <w:gridCol w:w="1170"/>
        <w:gridCol w:w="2496"/>
        <w:gridCol w:w="1478"/>
        <w:gridCol w:w="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842" w:type="dxa"/>
            <w:vAlign w:val="center"/>
          </w:tcPr>
          <w:p>
            <w:pPr>
              <w:widowControl/>
              <w:adjustRightInd/>
              <w:snapToGrid/>
              <w:spacing w:line="240" w:lineRule="auto"/>
              <w:ind w:firstLine="0" w:firstLineChars="0"/>
              <w:jc w:val="cente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t>环境管控单元编码</w:t>
            </w:r>
          </w:p>
        </w:tc>
        <w:tc>
          <w:tcPr>
            <w:tcW w:w="956" w:type="dxa"/>
            <w:vAlign w:val="center"/>
          </w:tcPr>
          <w:p>
            <w:pPr>
              <w:widowControl/>
              <w:adjustRightInd/>
              <w:snapToGrid/>
              <w:spacing w:line="240" w:lineRule="auto"/>
              <w:ind w:firstLine="0" w:firstLineChars="0"/>
              <w:jc w:val="cente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t>环境管控单元名称</w:t>
            </w:r>
          </w:p>
        </w:tc>
        <w:tc>
          <w:tcPr>
            <w:tcW w:w="5517" w:type="dxa"/>
            <w:vAlign w:val="center"/>
          </w:tcPr>
          <w:p>
            <w:pPr>
              <w:adjustRightInd/>
              <w:snapToGrid/>
              <w:spacing w:line="240" w:lineRule="auto"/>
              <w:ind w:firstLine="0" w:firstLineChars="0"/>
              <w:jc w:val="cente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t>达州市普适性清单</w:t>
            </w:r>
          </w:p>
        </w:tc>
        <w:tc>
          <w:tcPr>
            <w:tcW w:w="1170" w:type="dxa"/>
            <w:vAlign w:val="center"/>
          </w:tcPr>
          <w:p>
            <w:pPr>
              <w:widowControl/>
              <w:adjustRightInd/>
              <w:snapToGrid/>
              <w:spacing w:line="240" w:lineRule="auto"/>
              <w:ind w:firstLine="0" w:firstLineChars="0"/>
              <w:jc w:val="cente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t>管控类别</w:t>
            </w:r>
          </w:p>
        </w:tc>
        <w:tc>
          <w:tcPr>
            <w:tcW w:w="2496" w:type="dxa"/>
            <w:vAlign w:val="center"/>
          </w:tcPr>
          <w:p>
            <w:pPr>
              <w:widowControl/>
              <w:adjustRightInd/>
              <w:snapToGrid/>
              <w:spacing w:line="240" w:lineRule="auto"/>
              <w:ind w:firstLine="0" w:firstLineChars="0"/>
              <w:jc w:val="cente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t>单元特性管控要求</w:t>
            </w:r>
          </w:p>
        </w:tc>
        <w:tc>
          <w:tcPr>
            <w:tcW w:w="1478" w:type="dxa"/>
            <w:vAlign w:val="center"/>
          </w:tcPr>
          <w:p>
            <w:pPr>
              <w:widowControl/>
              <w:adjustRightInd/>
              <w:snapToGrid/>
              <w:spacing w:line="240" w:lineRule="auto"/>
              <w:ind w:firstLine="0" w:firstLineChars="0"/>
              <w:jc w:val="cente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t>项目对应情况介绍</w:t>
            </w:r>
          </w:p>
        </w:tc>
        <w:tc>
          <w:tcPr>
            <w:tcW w:w="715" w:type="dxa"/>
            <w:vAlign w:val="center"/>
          </w:tcPr>
          <w:p>
            <w:pPr>
              <w:widowControl/>
              <w:adjustRightInd/>
              <w:snapToGrid/>
              <w:spacing w:line="240" w:lineRule="auto"/>
              <w:ind w:firstLine="0" w:firstLineChars="0"/>
              <w:jc w:val="cente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新宋体" w:cs="Times New Roman"/>
                <w:b/>
                <w:bCs/>
                <w:color w:val="000000" w:themeColor="text1"/>
                <w:kern w:val="0"/>
                <w:sz w:val="21"/>
                <w:szCs w:val="21"/>
                <w:highlight w:val="none"/>
                <w14:textFill>
                  <w14:solidFill>
                    <w14:schemeClr w14:val="tx1"/>
                  </w14:solidFill>
                </w14:textFill>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2" w:type="dxa"/>
            <w:vAlign w:val="center"/>
          </w:tcPr>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ZH51172230001</w:t>
            </w:r>
          </w:p>
        </w:tc>
        <w:tc>
          <w:tcPr>
            <w:tcW w:w="956" w:type="dxa"/>
            <w:vAlign w:val="center"/>
          </w:tcPr>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宣汉县一般管控单元</w:t>
            </w:r>
          </w:p>
        </w:tc>
        <w:tc>
          <w:tcPr>
            <w:tcW w:w="5517" w:type="dxa"/>
            <w:vMerge w:val="restart"/>
          </w:tcPr>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b/>
                <w:bCs/>
                <w:color w:val="000000" w:themeColor="text1"/>
                <w:kern w:val="0"/>
                <w:sz w:val="21"/>
                <w:szCs w:val="21"/>
                <w:highlight w:val="none"/>
                <w:lang w:val="en-US" w:eastAsia="zh-CN" w:bidi="ar-SA"/>
                <w14:textFill>
                  <w14:solidFill>
                    <w14:schemeClr w14:val="tx1"/>
                  </w14:solidFill>
                </w14:textFill>
              </w:rPr>
              <w:t>空间布局约束：</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禁止开发建设活动的要求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-禁止在长江干支流1公里范围内新建、扩建化工园区和化工项目。</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-禁止在法律法规规定的禁采区内新建矿山；禁止土法采、选、冶严重污染环境的矿产资源。</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-涉及永久基本农田的区域，除法律规定的重点建设项目选址确实无法避让外，其他任何建设不得占用。</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-禁止在长江流域河湖管理范围内倾倒、填埋、堆放、弃置、处理固体废物。</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-禁止在永久基本农田集中区域和其他需要特别保护的区域选址建设尾矿库、冶炼渣库、磷石膏库。</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-禁止在长江干流岸线三公里范围内和重要支流岸线一公里范围内新建、改建、扩建尾矿库、冶炼渣库、磷石膏库，以提升安全、生态环境保护水平为目的的改建除外。</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限制开发建设活动的要求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-按照相关要求严控水泥新增产能。</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-涉及法定保护地，严格按照国家及地方法律法规、管理办法等相关要求进行控制。配套旅游、基础设施等建设项目，在符合规划和相关保护要求的前提下，应实施生态避让、减缓影响及生态恢复措施。</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按照相关要求严控水泥新增产能。</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大气环境布局敏感重点管控区：（1）坚决遏制高耗能、高排放、低水平项目盲目发展，严格落实国家和四川省产业规划、产业政策、规划环评，以及产能置换、煤炭消费减量替代、区域污染物削减等要求，坚决叫停不符合要求的高耗能、高排放、低水平项目。（2）提升高耗能项目能耗准入标准，能耗、物耗要达到清洁生产先进水平。严禁新增钢铁、焦化、炼油、电解铝、水泥、平板玻璃（不含光伏玻璃）等产能。</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大气弱扩散重点管控区：强化落后产能退出机制，对能耗、环保、安全、技术达不到标准，生产不合格或淘汰类产品的企业和产能，依法予以关闭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支持现有钢铁、水泥、焦化等废气排放量大的产业向有刚性需求、具有资源优势、环境容量允许的地区转移布局。</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-水环境农业污染重点管控区：（1）稳步推进建制镇污水处理设施建设，适当预留发展空间，宜集中则集中，宜分散则分散。农村生活污水处理设施排水执行《农村生活污水处理设施水污染物排放标准》（DB 51 2626-2019）要求。（2）深入推进化肥减量增效。鼓励以循环利用与生态净化相结合的方式控制种植业污染，农企合作推进测土配方施肥。</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不符合空间布局要求活动的退出要求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针对现有水泥企业，强化污染治理和污染物减排，依法依规整治或搬迁。</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全面取缔禁养区内规模化畜禽养殖场。</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2025年基本完成全域内“散乱污”企业整治工作。</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在全市范围深入开展集中整治“散乱污”工业企业，对不符合产业政策和规划布局的，一律责令停产、限期搬迁或关停；</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其他空间布局约束要求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新建矿山全部达到绿色矿山建设要求，生产矿山加快改造升级，逐步达到要求。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污染物排放管控：</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允许排放量要求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现有源提标升级改造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加快现有乡镇污水处理设施升级改造，按要求达《城镇污水处理厂污染物排放标准》一级A标后排放。</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在矿产资源开发活动集中区域，废水执行重金属污染物排放特别限值。</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火电、水泥等行业按相关要求推进大气污染物超低排放和深度治理。</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砖瓦行业实施脱硫、除尘升级改造，污染物排放达到《砖瓦工业大气污染物排放标准》相关要求。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其他污染物排放管控要求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新增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污染物排放绩效水平准入要求：屠宰项目必须配套污水处理设施或进入城市污水管网。</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-到2023年底，力争全市生活垃圾焚烧处理能力占比达60%以上，各县（市）生活垃圾无害化处理率保持95%以上，乡镇及行政村生活垃圾收转运处置体系基本实现全覆盖。</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-到2025年，农药包装废弃物回收率达80%；粮油绿色高质高效示范区、茶叶主产区和现代农业园区农药包装废弃物回收率100%。</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-到2025年，全国主要农作物化肥、农药利用率达43%，测土配方施肥技术推广覆盖率保持在90%以上，控制农村面源污染，采取灌排分离等措施控制农田氮磷流失。</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-到2025年，废旧农膜回收利用率达到85%以上。</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-非金属矿行业绿色矿山建设要求：固体废物妥善处置率应达到100%；选矿废水重复利用率一般达到85%以上。</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环境风险防控：</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联防联控要求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其他环境风险防控要求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企业环境风险防控要求：工业企业退出用地，须经评估、修复满足相应用地功能后，方可改变用途。</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定期对单元内尾矿库进行风险巡查，建立监测系统和环境风险应急预案；完善各尾矿库渗滤液收集、处理、回用系统，杜绝事故排放；尾矿库闭矿后因地制宜进行植被恢复和综合利用。</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规范排土场、渣场等整治。禁止处理不达标的污泥进入耕地。</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严格控制林地、草地、园地的农药使用量，禁止使用高毒、高残留农药。</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到2030年，全市受污染耕地安全利用率达到95%以上，污染地块安全利用率达到95%以上。</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资源开发利用效率要求：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水资源利用总量要求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-到2025年，农田灌溉水有效利用系数达到0.57以上。</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地下水开采要求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以省市下发指标为准</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能源利用总量及效率要求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推进清洁能源的推广使用，全面推进散煤清洁化整治；禁止新建每小时10蒸吨以下的燃煤锅炉及其他燃煤设施。</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禁止焚烧秸秆和垃圾，到2025年底，秸秆综合利用率达到86%以上。</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禁燃区要求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-禁燃区内禁止销售、燃用高污染燃料；禁止新建、改建、扩建燃用高污染燃料的设施和设备。</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-禁燃区内已建成的高污染燃料燃用设施由辖区人民政府制定限期改造计划，改用天然气、页岩气、液化石油气、电或其他清洁能源。</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其他资源利用效率要求</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w:t>
            </w:r>
            <w:r>
              <w:rPr>
                <w:rFonts w:hint="default" w:ascii="Times New Roman" w:hAnsi="Times New Roman" w:eastAsia="新宋体" w:cs="Times New Roman"/>
                <w:color w:val="000000" w:themeColor="text1"/>
                <w:kern w:val="0"/>
                <w:sz w:val="21"/>
                <w:szCs w:val="21"/>
                <w:highlight w:val="none"/>
                <w14:textFill>
                  <w14:solidFill>
                    <w14:schemeClr w14:val="tx1"/>
                  </w14:solidFill>
                </w14:textFill>
              </w:rPr>
              <w:t>。</w:t>
            </w:r>
          </w:p>
        </w:tc>
        <w:tc>
          <w:tcPr>
            <w:tcW w:w="1170" w:type="dxa"/>
            <w:vAlign w:val="center"/>
          </w:tcPr>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空间布局约束</w:t>
            </w:r>
          </w:p>
        </w:tc>
        <w:tc>
          <w:tcPr>
            <w:tcW w:w="2496" w:type="dxa"/>
            <w:vAlign w:val="center"/>
          </w:tcPr>
          <w:p>
            <w:pPr>
              <w:pStyle w:val="260"/>
              <w:widowControl/>
              <w:shd w:val="clear" w:color="auto" w:fill="FFFFFF"/>
              <w:spacing w:line="240" w:lineRule="auto"/>
              <w:ind w:firstLine="0" w:firstLineChars="0"/>
              <w:jc w:val="left"/>
              <w:rPr>
                <w:rStyle w:val="57"/>
                <w:rFonts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禁止开发建设活动的要求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限制开发建设活动的要求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对四川省主体功能区划中的农产品主产区，应限制进行大规模高强度工业化城镇化开发，严格控制有色金属冶炼、石油加工、化工、焦化、电镀、制革等产能，原则上不增加产能</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其他同达州市一般管控单元总体准入要求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允许开发建设活动的要求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不符合空间布局要求活动的退出要求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区外企业：位于城镇空间外的工业园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-其他同达州市一般管控单元总体准入要求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其他空间布局约束要求</w:t>
            </w:r>
          </w:p>
          <w:p>
            <w:pPr>
              <w:widowControl/>
              <w:shd w:val="clear" w:color="auto" w:fill="FFFFFF"/>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tc>
        <w:tc>
          <w:tcPr>
            <w:tcW w:w="1478"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本项目为陆地矿产资源地质勘查（含油气资源勘探），不涉及空间约束管控内容。</w:t>
            </w:r>
          </w:p>
        </w:tc>
        <w:tc>
          <w:tcPr>
            <w:tcW w:w="715"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Align w:val="center"/>
          </w:tcPr>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left"/>
              <w:rPr>
                <w:rFonts w:hint="default" w:ascii="Times New Roman" w:hAnsi="Times New Roman" w:eastAsia="新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ZH51172230001</w:t>
            </w:r>
          </w:p>
        </w:tc>
        <w:tc>
          <w:tcPr>
            <w:tcW w:w="956" w:type="dxa"/>
            <w:vAlign w:val="center"/>
          </w:tcPr>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p>
            <w:pPr>
              <w:widowControl/>
              <w:adjustRightInd/>
              <w:snapToGrid/>
              <w:spacing w:line="240" w:lineRule="auto"/>
              <w:ind w:firstLine="0" w:firstLineChars="0"/>
              <w:jc w:val="center"/>
              <w:rPr>
                <w:rFonts w:hint="default" w:ascii="Times New Roman" w:hAnsi="Times New Roman" w:eastAsia="新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宣汉县一般管控单元</w:t>
            </w:r>
          </w:p>
        </w:tc>
        <w:tc>
          <w:tcPr>
            <w:tcW w:w="5517" w:type="dxa"/>
            <w:vMerge w:val="continue"/>
          </w:tcPr>
          <w:p>
            <w:pPr>
              <w:adjustRightInd/>
              <w:snapToGrid/>
              <w:spacing w:line="240" w:lineRule="auto"/>
              <w:ind w:firstLine="0" w:firstLineChars="0"/>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p>
        </w:tc>
        <w:tc>
          <w:tcPr>
            <w:tcW w:w="1170" w:type="dxa"/>
            <w:vAlign w:val="center"/>
          </w:tcPr>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污染物排放管控</w:t>
            </w:r>
          </w:p>
        </w:tc>
        <w:tc>
          <w:tcPr>
            <w:tcW w:w="2496" w:type="dxa"/>
            <w:vAlign w:val="center"/>
          </w:tcPr>
          <w:p>
            <w:pPr>
              <w:pStyle w:val="260"/>
              <w:widowControl/>
              <w:shd w:val="clear" w:color="auto" w:fill="FFFFFF"/>
              <w:spacing w:line="240" w:lineRule="auto"/>
              <w:ind w:firstLine="0" w:firstLineChars="0"/>
              <w:jc w:val="left"/>
              <w:rPr>
                <w:rStyle w:val="57"/>
                <w:rFonts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现有源提标升级改造</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新增源等量或倍量替代</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新增源排放标准限值</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污染物排放绩效水平准入要求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-大气环境布局敏感和弱扩散重点管控区内，现有大气污染重点企业，限期进行深度治理或关停并转。</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-其它同达州市一般管控单元总体准入要求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其他污染物排放管控要求</w:t>
            </w:r>
          </w:p>
          <w:p>
            <w:pPr>
              <w:widowControl/>
              <w:shd w:val="clear" w:color="auto" w:fill="FFFFFF"/>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tc>
        <w:tc>
          <w:tcPr>
            <w:tcW w:w="1478" w:type="dxa"/>
            <w:vAlign w:val="center"/>
          </w:tcPr>
          <w:p>
            <w:pPr>
              <w:widowControl/>
              <w:shd w:val="clear" w:color="auto" w:fill="FFFFFF"/>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①</w:t>
            </w:r>
            <w:r>
              <w:rPr>
                <w:rFonts w:hint="eastAsia" w:ascii="宋体" w:hAnsi="宋体" w:eastAsia="宋体" w:cs="宋体"/>
                <w:color w:val="000000" w:themeColor="text1"/>
                <w:sz w:val="21"/>
                <w:szCs w:val="21"/>
                <w:highlight w:val="none"/>
                <w:lang w:val="en-US" w:eastAsia="zh-CN"/>
                <w14:textFill>
                  <w14:solidFill>
                    <w14:schemeClr w14:val="tx1"/>
                  </w14:solidFill>
                </w14:textFill>
              </w:rPr>
              <w:t>本项目施工期生活污水均经处</w:t>
            </w:r>
            <w:r>
              <w:rPr>
                <w:rFonts w:hint="eastAsia" w:eastAsia="新宋体" w:cs="Times New Roman"/>
                <w:color w:val="000000" w:themeColor="text1"/>
                <w:sz w:val="21"/>
                <w:szCs w:val="21"/>
                <w:highlight w:val="none"/>
                <w:lang w:val="en-US" w:eastAsia="zh-CN"/>
                <w14:textFill>
                  <w14:solidFill>
                    <w14:schemeClr w14:val="tx1"/>
                  </w14:solidFill>
                </w14:textFill>
              </w:rPr>
              <w:t>理后拉运至周边污水处理厂，试采期为无人值守站，不产生生活污水；施工期及试采期的生产废水优先回用，</w:t>
            </w:r>
            <w:r>
              <w:rPr>
                <w:rFonts w:hint="default" w:ascii="Times New Roman" w:hAnsi="Times New Roman" w:eastAsia="新宋体" w:cs="Times New Roman"/>
                <w:color w:val="000000" w:themeColor="text1"/>
                <w:sz w:val="21"/>
                <w:szCs w:val="21"/>
                <w:highlight w:val="none"/>
                <w14:textFill>
                  <w14:solidFill>
                    <w14:schemeClr w14:val="tx1"/>
                  </w14:solidFill>
                </w14:textFill>
              </w:rPr>
              <w:t>不能回用</w:t>
            </w:r>
            <w:r>
              <w:rPr>
                <w:rFonts w:hint="default" w:ascii="Times New Roman" w:hAnsi="Times New Roman" w:eastAsia="新宋体" w:cs="Times New Roman"/>
                <w:color w:val="000000" w:themeColor="text1"/>
                <w:sz w:val="21"/>
                <w:szCs w:val="21"/>
                <w:highlight w:val="none"/>
                <w:lang w:val="en-US" w:eastAsia="zh-CN"/>
                <w14:textFill>
                  <w14:solidFill>
                    <w14:schemeClr w14:val="tx1"/>
                  </w14:solidFill>
                </w14:textFill>
              </w:rPr>
              <w:t>时</w:t>
            </w:r>
            <w:r>
              <w:rPr>
                <w:rFonts w:hint="default" w:ascii="Times New Roman" w:hAnsi="Times New Roman" w:eastAsia="新宋体" w:cs="Times New Roman"/>
                <w:color w:val="000000" w:themeColor="text1"/>
                <w:sz w:val="21"/>
                <w:szCs w:val="21"/>
                <w:highlight w:val="none"/>
                <w14:textFill>
                  <w14:solidFill>
                    <w14:schemeClr w14:val="tx1"/>
                  </w14:solidFill>
                </w14:textFill>
              </w:rPr>
              <w:t>用罐车拉运至赵家坝污水处理站处理达标后经普光11井回注站回注。</w:t>
            </w:r>
          </w:p>
          <w:p>
            <w:pPr>
              <w:pStyle w:val="65"/>
              <w:ind w:left="0" w:leftChars="0" w:firstLine="0" w:firstLineChars="0"/>
              <w:jc w:val="both"/>
              <w:rPr>
                <w:rFonts w:hint="default" w:ascii="Times New Roman" w:hAnsi="Times New Roman" w:eastAsia="新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新宋体" w:cs="Times New Roman"/>
                <w:color w:val="000000" w:themeColor="text1"/>
                <w:kern w:val="2"/>
                <w:sz w:val="21"/>
                <w:szCs w:val="21"/>
                <w:highlight w:val="none"/>
                <w:lang w:val="en-US" w:eastAsia="zh-CN" w:bidi="ar-SA"/>
                <w14:textFill>
                  <w14:solidFill>
                    <w14:schemeClr w14:val="tx1"/>
                  </w14:solidFill>
                </w14:textFill>
              </w:rPr>
              <w:t>②采期水套加热炉燃烧废气经排气筒排放，放空火炬长明灯烟气通过放空火炬高空排放，污染物排放量较小。</w:t>
            </w:r>
          </w:p>
          <w:p>
            <w:pPr>
              <w:widowControl/>
              <w:shd w:val="clear" w:color="auto" w:fill="FFFFFF"/>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③侧钻井</w:t>
            </w:r>
            <w:r>
              <w:rPr>
                <w:rFonts w:hint="default" w:ascii="Times New Roman" w:hAnsi="Times New Roman" w:eastAsia="新宋体" w:cs="Times New Roman"/>
                <w:color w:val="000000" w:themeColor="text1"/>
                <w:sz w:val="21"/>
                <w:szCs w:val="21"/>
                <w:highlight w:val="none"/>
                <w:lang w:val="en-US" w:eastAsia="zh-CN"/>
                <w14:textFill>
                  <w14:solidFill>
                    <w14:schemeClr w14:val="tx1"/>
                  </w14:solidFill>
                </w14:textFill>
              </w:rPr>
              <w:t>采用水基</w:t>
            </w:r>
            <w:r>
              <w:rPr>
                <w:rFonts w:hint="eastAsia" w:ascii="Times New Roman" w:hAnsi="Times New Roman" w:eastAsia="新宋体" w:cs="Times New Roman"/>
                <w:color w:val="000000" w:themeColor="text1"/>
                <w:sz w:val="21"/>
                <w:szCs w:val="21"/>
                <w:highlight w:val="none"/>
                <w:lang w:val="en-US" w:eastAsia="zh-CN"/>
                <w14:textFill>
                  <w14:solidFill>
                    <w14:schemeClr w14:val="tx1"/>
                  </w14:solidFill>
                </w14:textFill>
              </w:rPr>
              <w:t>钻井液，但在遇到特殊地层时可能转为油基钻井液，本次评价要求在该种情况下产生的</w:t>
            </w:r>
            <w:r>
              <w:rPr>
                <w:rFonts w:hint="default" w:ascii="Times New Roman" w:hAnsi="Times New Roman" w:eastAsia="新宋体" w:cs="Times New Roman"/>
                <w:color w:val="000000" w:themeColor="text1"/>
                <w:sz w:val="21"/>
                <w:szCs w:val="21"/>
                <w:highlight w:val="none"/>
                <w14:textFill>
                  <w14:solidFill>
                    <w14:schemeClr w14:val="tx1"/>
                  </w14:solidFill>
                </w14:textFill>
              </w:rPr>
              <w:t>油基岩屑暂存于接收罐，定期委托有资质单位进行处理。油基泥浆区块内钻井循环利用。</w:t>
            </w:r>
          </w:p>
          <w:p>
            <w:pPr>
              <w:widowControl/>
              <w:shd w:val="clear" w:color="auto" w:fill="FFFFFF"/>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④生活垃圾收集后运送</w:t>
            </w:r>
            <w:r>
              <w:rPr>
                <w:rFonts w:hint="default" w:ascii="Times New Roman" w:hAnsi="Times New Roman" w:eastAsia="新宋体" w:cs="Times New Roman"/>
                <w:color w:val="000000" w:themeColor="text1"/>
                <w:sz w:val="21"/>
                <w:szCs w:val="21"/>
                <w:highlight w:val="none"/>
                <w14:textFill>
                  <w14:solidFill>
                    <w14:schemeClr w14:val="tx1"/>
                  </w14:solidFill>
                </w14:textFill>
              </w:rPr>
              <w:t>至环卫部门指定地点，由环卫部门清运。</w:t>
            </w:r>
          </w:p>
          <w:p>
            <w:pPr>
              <w:widowControl/>
              <w:shd w:val="clear" w:color="auto" w:fill="FFFFFF"/>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lang w:val="en-US" w:eastAsia="zh-CN"/>
                <w14:textFill>
                  <w14:solidFill>
                    <w14:schemeClr w14:val="tx1"/>
                  </w14:solidFill>
                </w14:textFill>
              </w:rPr>
              <w:t>综上，项目产生的</w:t>
            </w:r>
            <w:r>
              <w:rPr>
                <w:rFonts w:hint="default" w:ascii="Times New Roman" w:hAnsi="Times New Roman" w:eastAsia="新宋体" w:cs="Times New Roman"/>
                <w:color w:val="000000" w:themeColor="text1"/>
                <w:sz w:val="21"/>
                <w:szCs w:val="21"/>
                <w:highlight w:val="none"/>
                <w14:textFill>
                  <w14:solidFill>
                    <w14:schemeClr w14:val="tx1"/>
                  </w14:solidFill>
                </w14:textFill>
              </w:rPr>
              <w:t>污染物</w:t>
            </w:r>
            <w:r>
              <w:rPr>
                <w:rFonts w:hint="default" w:ascii="Times New Roman" w:hAnsi="Times New Roman" w:eastAsia="新宋体" w:cs="Times New Roman"/>
                <w:color w:val="000000" w:themeColor="text1"/>
                <w:sz w:val="21"/>
                <w:szCs w:val="21"/>
                <w:highlight w:val="none"/>
                <w:lang w:val="en-US" w:eastAsia="zh-CN"/>
                <w14:textFill>
                  <w14:solidFill>
                    <w14:schemeClr w14:val="tx1"/>
                  </w14:solidFill>
                </w14:textFill>
              </w:rPr>
              <w:t>可</w:t>
            </w:r>
            <w:r>
              <w:rPr>
                <w:rFonts w:hint="default" w:ascii="Times New Roman" w:hAnsi="Times New Roman" w:eastAsia="新宋体" w:cs="Times New Roman"/>
                <w:color w:val="000000" w:themeColor="text1"/>
                <w:sz w:val="21"/>
                <w:szCs w:val="21"/>
                <w:highlight w:val="none"/>
                <w14:textFill>
                  <w14:solidFill>
                    <w14:schemeClr w14:val="tx1"/>
                  </w14:solidFill>
                </w14:textFill>
              </w:rPr>
              <w:t>得到妥善处置。</w:t>
            </w:r>
          </w:p>
        </w:tc>
        <w:tc>
          <w:tcPr>
            <w:tcW w:w="715"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Merge w:val="restart"/>
            <w:vAlign w:val="center"/>
          </w:tcPr>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ZH51172230001</w:t>
            </w:r>
          </w:p>
        </w:tc>
        <w:tc>
          <w:tcPr>
            <w:tcW w:w="956" w:type="dxa"/>
            <w:vMerge w:val="restart"/>
            <w:vAlign w:val="center"/>
          </w:tcPr>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宣汉县一般管控单元</w:t>
            </w:r>
          </w:p>
        </w:tc>
        <w:tc>
          <w:tcPr>
            <w:tcW w:w="5517" w:type="dxa"/>
            <w:vMerge w:val="continue"/>
          </w:tcPr>
          <w:p>
            <w:pPr>
              <w:adjustRightInd/>
              <w:snapToGrid/>
              <w:spacing w:line="240" w:lineRule="auto"/>
              <w:ind w:firstLine="0" w:firstLineChars="0"/>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p>
        </w:tc>
        <w:tc>
          <w:tcPr>
            <w:tcW w:w="1170" w:type="dxa"/>
            <w:vAlign w:val="center"/>
          </w:tcPr>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环境风险防控</w:t>
            </w:r>
          </w:p>
        </w:tc>
        <w:tc>
          <w:tcPr>
            <w:tcW w:w="2496" w:type="dxa"/>
            <w:vAlign w:val="center"/>
          </w:tcPr>
          <w:p>
            <w:pPr>
              <w:pStyle w:val="260"/>
              <w:widowControl/>
              <w:shd w:val="clear" w:color="auto" w:fill="FFFFFF"/>
              <w:spacing w:line="240" w:lineRule="auto"/>
              <w:ind w:firstLine="0" w:firstLineChars="0"/>
              <w:jc w:val="left"/>
              <w:rPr>
                <w:rStyle w:val="57"/>
                <w:rFonts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严格管控类农用地管控要求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安全利用类农用地管控要求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污染地块管控要求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园区环境风险防控要求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企业环境风险防控要求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其他环境风险防控要求</w:t>
            </w:r>
          </w:p>
          <w:p>
            <w:pPr>
              <w:widowControl/>
              <w:shd w:val="clear" w:color="auto" w:fill="FFFFFF"/>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tc>
        <w:tc>
          <w:tcPr>
            <w:tcW w:w="1478" w:type="dxa"/>
            <w:vAlign w:val="center"/>
          </w:tcPr>
          <w:p>
            <w:pPr>
              <w:widowControl/>
              <w:shd w:val="clear" w:color="auto" w:fill="FFFFFF"/>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本项目严格落实风险防控措施，普光分公司建立了突发环境事故应急预案</w:t>
            </w:r>
            <w:r>
              <w:rPr>
                <w:rFonts w:hint="default" w:ascii="Times New Roman" w:hAnsi="Times New Roman" w:eastAsia="新宋体" w:cs="Times New Roman"/>
                <w:color w:val="000000" w:themeColor="text1"/>
                <w:sz w:val="21"/>
                <w:szCs w:val="21"/>
                <w:highlight w:val="none"/>
                <w:lang w:eastAsia="zh-CN"/>
                <w14:textFill>
                  <w14:solidFill>
                    <w14:schemeClr w14:val="tx1"/>
                  </w14:solidFill>
                </w14:textFill>
              </w:rPr>
              <w:t>体系</w:t>
            </w:r>
            <w:r>
              <w:rPr>
                <w:rFonts w:hint="default" w:ascii="Times New Roman" w:hAnsi="Times New Roman" w:eastAsia="新宋体" w:cs="Times New Roman"/>
                <w:color w:val="000000" w:themeColor="text1"/>
                <w:sz w:val="21"/>
                <w:szCs w:val="21"/>
                <w:highlight w:val="none"/>
                <w14:textFill>
                  <w14:solidFill>
                    <w14:schemeClr w14:val="tx1"/>
                  </w14:solidFill>
                </w14:textFill>
              </w:rPr>
              <w:t>。</w:t>
            </w:r>
          </w:p>
        </w:tc>
        <w:tc>
          <w:tcPr>
            <w:tcW w:w="715" w:type="dxa"/>
            <w:vAlign w:val="center"/>
          </w:tcPr>
          <w:p>
            <w:pPr>
              <w:widowControl/>
              <w:shd w:val="clear" w:color="auto" w:fill="FFFFFF"/>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Merge w:val="continue"/>
            <w:vAlign w:val="center"/>
          </w:tcPr>
          <w:p>
            <w:pPr>
              <w:widowControl/>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p>
        </w:tc>
        <w:tc>
          <w:tcPr>
            <w:tcW w:w="956" w:type="dxa"/>
            <w:vMerge w:val="continue"/>
            <w:vAlign w:val="center"/>
          </w:tcPr>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tc>
        <w:tc>
          <w:tcPr>
            <w:tcW w:w="5517" w:type="dxa"/>
            <w:vMerge w:val="continue"/>
          </w:tcPr>
          <w:p>
            <w:pPr>
              <w:adjustRightInd/>
              <w:snapToGrid/>
              <w:spacing w:line="240" w:lineRule="auto"/>
              <w:ind w:firstLine="0" w:firstLineChars="0"/>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p>
        </w:tc>
        <w:tc>
          <w:tcPr>
            <w:tcW w:w="1170" w:type="dxa"/>
            <w:vAlign w:val="center"/>
          </w:tcPr>
          <w:p>
            <w:pPr>
              <w:widowControl/>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资源开发效率要求</w:t>
            </w:r>
          </w:p>
        </w:tc>
        <w:tc>
          <w:tcPr>
            <w:tcW w:w="2496" w:type="dxa"/>
            <w:vAlign w:val="center"/>
          </w:tcPr>
          <w:p>
            <w:pPr>
              <w:pStyle w:val="260"/>
              <w:widowControl/>
              <w:shd w:val="clear" w:color="auto" w:fill="FFFFFF"/>
              <w:spacing w:line="240" w:lineRule="auto"/>
              <w:ind w:firstLine="0" w:firstLineChars="0"/>
              <w:jc w:val="left"/>
              <w:rPr>
                <w:rStyle w:val="57"/>
                <w:rFonts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水资源利用效率要求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地下水开采要求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能源利用效率要求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同达州市一般管控单元总体准入要求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其他资源利用效率要求</w:t>
            </w:r>
          </w:p>
          <w:p>
            <w:pPr>
              <w:widowControl/>
              <w:shd w:val="clear" w:color="auto" w:fill="FFFFFF"/>
              <w:adjustRightInd/>
              <w:snapToGrid/>
              <w:spacing w:line="240" w:lineRule="auto"/>
              <w:ind w:firstLine="0" w:firstLineChars="0"/>
              <w:jc w:val="left"/>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tc>
        <w:tc>
          <w:tcPr>
            <w:tcW w:w="1478"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本项目属于天然气开发建设项目，不属于宣汉县一般管控单元中禁止布局和限制开发的建设项目；项目采取的各类环保措施和风险防范措施满足相应环保要求，该</w:t>
            </w:r>
            <w:r>
              <w:rPr>
                <w:rFonts w:hint="default" w:ascii="Times New Roman" w:hAnsi="Times New Roman" w:cs="Times New Roman"/>
                <w:color w:val="000000" w:themeColor="text1"/>
                <w:sz w:val="21"/>
                <w:szCs w:val="21"/>
                <w:highlight w:val="none"/>
                <w:lang w:eastAsia="zh-CN"/>
                <w14:textFill>
                  <w14:solidFill>
                    <w14:schemeClr w14:val="tx1"/>
                  </w14:solidFill>
                </w14:textFill>
              </w:rPr>
              <w:t>项目</w:t>
            </w:r>
            <w:r>
              <w:rPr>
                <w:rFonts w:hint="default" w:ascii="Times New Roman" w:hAnsi="Times New Roman" w:cs="Times New Roman"/>
                <w:color w:val="000000" w:themeColor="text1"/>
                <w:sz w:val="21"/>
                <w:szCs w:val="21"/>
                <w:highlight w:val="none"/>
                <w14:textFill>
                  <w14:solidFill>
                    <w14:schemeClr w14:val="tx1"/>
                  </w14:solidFill>
                </w14:textFill>
              </w:rPr>
              <w:t>总体生态环境管控要求。</w:t>
            </w:r>
          </w:p>
        </w:tc>
        <w:tc>
          <w:tcPr>
            <w:tcW w:w="715"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Merge w:val="restart"/>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YS5117223210001</w:t>
            </w:r>
          </w:p>
        </w:tc>
        <w:tc>
          <w:tcPr>
            <w:tcW w:w="956"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州河宣汉县张鼓坪控制单元</w:t>
            </w:r>
          </w:p>
        </w:tc>
        <w:tc>
          <w:tcPr>
            <w:tcW w:w="5517" w:type="dxa"/>
            <w:vMerge w:val="restart"/>
            <w:vAlign w:val="center"/>
          </w:tcPr>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空间布局约束：</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禁止开发建设活动的要求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限制开发建设活动的要求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不符合空间布局要求活动的退出要求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其他空间布局约束要求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污染物排放管控：</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允许排放量要求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现有源提标升级改造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其他污染物排放管控要求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环境风险防控：</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联防联控要求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其他环境风险防控要求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资源开发利用效率要求：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水资源利用总量要求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地下水开采要求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能源利用总量及效率要求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禁燃区要求</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p>
            <w:pPr>
              <w:pStyle w:val="26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其他资源利用效率要求</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r>
              <w:rPr>
                <w:rStyle w:val="57"/>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暂无</w:t>
            </w:r>
          </w:p>
        </w:tc>
        <w:tc>
          <w:tcPr>
            <w:tcW w:w="1170"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空间布局约束</w:t>
            </w:r>
          </w:p>
        </w:tc>
        <w:tc>
          <w:tcPr>
            <w:tcW w:w="2496" w:type="dxa"/>
            <w:vAlign w:val="center"/>
          </w:tcPr>
          <w:p>
            <w:pPr>
              <w:pStyle w:val="260"/>
              <w:widowControl/>
              <w:shd w:val="clear" w:color="auto" w:fill="FFFFFF"/>
              <w:spacing w:line="240" w:lineRule="auto"/>
              <w:ind w:firstLine="0" w:firstLineChars="0"/>
              <w:jc w:val="left"/>
              <w:rPr>
                <w:rStyle w:val="57"/>
                <w:rFonts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禁止开发建设活动的要求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不再新建、改扩建开采规模在50万吨/年以下的磷矿，不再新建露天磷矿</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限制开发建设活动的要求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允许开发建设活动的要求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不符合空间布局要求活动的退出要求</w:t>
            </w:r>
          </w:p>
          <w:p>
            <w:pPr>
              <w:widowControl/>
              <w:shd w:val="clear" w:color="auto" w:fill="FFFFFF"/>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其他空间布局约束要求</w:t>
            </w:r>
          </w:p>
        </w:tc>
        <w:tc>
          <w:tcPr>
            <w:tcW w:w="1478"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本项目属于天然气开发建设项目，不属于宣汉县</w:t>
            </w:r>
            <w:r>
              <w:rPr>
                <w:rFonts w:hint="default" w:ascii="Times New Roman" w:hAnsi="Times New Roman" w:eastAsia="新宋体" w:cs="Times New Roman"/>
                <w:color w:val="000000" w:themeColor="text1"/>
                <w:sz w:val="21"/>
                <w:szCs w:val="21"/>
                <w:highlight w:val="none"/>
                <w14:textFill>
                  <w14:solidFill>
                    <w14:schemeClr w14:val="tx1"/>
                  </w14:solidFill>
                </w14:textFill>
              </w:rPr>
              <w:t>州河宣汉县张鼓坪控制单元</w:t>
            </w:r>
            <w:r>
              <w:rPr>
                <w:rFonts w:hint="default" w:ascii="Times New Roman" w:hAnsi="Times New Roman" w:cs="Times New Roman"/>
                <w:color w:val="000000" w:themeColor="text1"/>
                <w:sz w:val="21"/>
                <w:szCs w:val="21"/>
                <w:highlight w:val="none"/>
                <w14:textFill>
                  <w14:solidFill>
                    <w14:schemeClr w14:val="tx1"/>
                  </w14:solidFill>
                </w14:textFill>
              </w:rPr>
              <w:t>中禁止布局和限制开发的建设项目；项目采取的各类环保措施和风险防范措施满足相应环保要求，故满足该</w:t>
            </w:r>
            <w:r>
              <w:rPr>
                <w:rFonts w:hint="default" w:ascii="Times New Roman" w:hAnsi="Times New Roman" w:cs="Times New Roman"/>
                <w:color w:val="000000" w:themeColor="text1"/>
                <w:sz w:val="21"/>
                <w:szCs w:val="21"/>
                <w:highlight w:val="none"/>
                <w:lang w:eastAsia="zh-CN"/>
                <w14:textFill>
                  <w14:solidFill>
                    <w14:schemeClr w14:val="tx1"/>
                  </w14:solidFill>
                </w14:textFill>
              </w:rPr>
              <w:t>项目</w:t>
            </w:r>
            <w:r>
              <w:rPr>
                <w:rFonts w:hint="default" w:ascii="Times New Roman" w:hAnsi="Times New Roman" w:cs="Times New Roman"/>
                <w:snapToGrid w:val="0"/>
                <w:color w:val="000000" w:themeColor="text1"/>
                <w:sz w:val="21"/>
                <w:szCs w:val="21"/>
                <w:highlight w:val="none"/>
                <w14:textFill>
                  <w14:solidFill>
                    <w14:schemeClr w14:val="tx1"/>
                  </w14:solidFill>
                </w14:textFill>
              </w:rPr>
              <w:t>空间布局要求</w:t>
            </w: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715"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Merge w:val="continue"/>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tc>
        <w:tc>
          <w:tcPr>
            <w:tcW w:w="956"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州河宣汉县张鼓坪控制单元</w:t>
            </w:r>
          </w:p>
        </w:tc>
        <w:tc>
          <w:tcPr>
            <w:tcW w:w="5517" w:type="dxa"/>
            <w:vMerge w:val="continue"/>
            <w:vAlign w:val="center"/>
          </w:tcPr>
          <w:p>
            <w:pPr>
              <w:spacing w:line="240" w:lineRule="auto"/>
              <w:ind w:firstLine="420"/>
              <w:jc w:val="center"/>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p>
        </w:tc>
        <w:tc>
          <w:tcPr>
            <w:tcW w:w="1170"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污染物排放管控</w:t>
            </w:r>
          </w:p>
        </w:tc>
        <w:tc>
          <w:tcPr>
            <w:tcW w:w="2496" w:type="dxa"/>
            <w:vAlign w:val="center"/>
          </w:tcPr>
          <w:p>
            <w:pPr>
              <w:pStyle w:val="260"/>
              <w:widowControl/>
              <w:shd w:val="clear" w:color="auto" w:fill="FFFFFF"/>
              <w:spacing w:line="240" w:lineRule="auto"/>
              <w:ind w:firstLine="0" w:firstLineChars="0"/>
              <w:jc w:val="left"/>
              <w:rPr>
                <w:rStyle w:val="57"/>
                <w:rFonts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城镇污水污染控制措施要求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1、持续推进环保基础设施补短板，完善污水收集处理系统。2、保障乡镇污水收集处理设施顺畅运行。3、推进污水直排口排查与整治，落实“一口一策”整改措施。</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工业废水污染控制措施要求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1、落实主要污染物排放总量指标控制要求，加强入河排污口登记、审批和监督管理。2、强化流域内工业点源、规模化畜禽养殖场运行监管，避免偷排、漏排。</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农业面源水污染控制措施要求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1、推进农村污染治理，稳步农村污水处理设施建设，适当预留发展空间，宜集中则集中，宜分散则分散。大力推进农村生活垃圾就地分类减量 和资源化利用，因地制宜选择农村生活垃圾治理模式。严格做好“农家乐”、种植采摘园等范围内的生活及农产品产生污水及垃圾治理。2、以环境承载能力为约束，合理规划水产养殖空间及规模；推进水产生态健康养殖，加强渔业生产过程中抗菌药物使用管控。推进水产养殖治理，水产养殖废水应处理达到《四川省水产养殖业水污染物排放标准》后排放；实施池塘标准化改造，完善循环水和进排水处理设施；推进养殖尾水节水减排。3、以环境承载能力为约束，合理规划畜禽养殖空间及规模；推进畜禽粪污分类处置，根据排放去向或利用方式的不同执行相应的标准规范。不断提高畜禽养殖粪污资源化利用率及利用水平；设有污水排放口的规模化畜禽养殖场应当依法申领排污许可证。4、推进化肥、农药使用量“零增长”，逐步推进农田径流拦截及治理。</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船舶港口水污染控制措施要求</w:t>
            </w:r>
          </w:p>
          <w:p>
            <w:pPr>
              <w:widowControl/>
              <w:shd w:val="clear" w:color="auto" w:fill="FFFFFF"/>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饮用水水源和其它特殊水体保护要求</w:t>
            </w:r>
          </w:p>
        </w:tc>
        <w:tc>
          <w:tcPr>
            <w:tcW w:w="1478"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本项目属于天然气开发建设项目，不属于宣汉县</w:t>
            </w:r>
            <w:r>
              <w:rPr>
                <w:rFonts w:hint="default" w:ascii="Times New Roman" w:hAnsi="Times New Roman" w:eastAsia="新宋体" w:cs="Times New Roman"/>
                <w:color w:val="000000" w:themeColor="text1"/>
                <w:sz w:val="21"/>
                <w:szCs w:val="21"/>
                <w:highlight w:val="none"/>
                <w14:textFill>
                  <w14:solidFill>
                    <w14:schemeClr w14:val="tx1"/>
                  </w14:solidFill>
                </w14:textFill>
              </w:rPr>
              <w:t>州河宣汉县张鼓坪控制单元</w:t>
            </w:r>
            <w:r>
              <w:rPr>
                <w:rFonts w:hint="default" w:ascii="Times New Roman" w:hAnsi="Times New Roman" w:cs="Times New Roman"/>
                <w:color w:val="000000" w:themeColor="text1"/>
                <w:sz w:val="21"/>
                <w:szCs w:val="21"/>
                <w:highlight w:val="none"/>
                <w14:textFill>
                  <w14:solidFill>
                    <w14:schemeClr w14:val="tx1"/>
                  </w14:solidFill>
                </w14:textFill>
              </w:rPr>
              <w:t>中禁止布局和限制开发的建设项目；项目采取的各类环保措施和风险防范措施满足相应环保要求，故满足该</w:t>
            </w:r>
            <w:r>
              <w:rPr>
                <w:rFonts w:hint="default" w:ascii="Times New Roman" w:hAnsi="Times New Roman" w:cs="Times New Roman"/>
                <w:color w:val="000000" w:themeColor="text1"/>
                <w:sz w:val="21"/>
                <w:szCs w:val="21"/>
                <w:highlight w:val="none"/>
                <w:lang w:eastAsia="zh-CN"/>
                <w14:textFill>
                  <w14:solidFill>
                    <w14:schemeClr w14:val="tx1"/>
                  </w14:solidFill>
                </w14:textFill>
              </w:rPr>
              <w:t>项目</w:t>
            </w:r>
            <w:r>
              <w:rPr>
                <w:rFonts w:hint="default" w:ascii="Times New Roman" w:hAnsi="Times New Roman" w:cs="Times New Roman"/>
                <w:snapToGrid w:val="0"/>
                <w:color w:val="000000" w:themeColor="text1"/>
                <w:sz w:val="21"/>
                <w:szCs w:val="21"/>
                <w:highlight w:val="none"/>
                <w14:textFill>
                  <w14:solidFill>
                    <w14:schemeClr w14:val="tx1"/>
                  </w14:solidFill>
                </w14:textFill>
              </w:rPr>
              <w:t>空间布局要求</w:t>
            </w: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715"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Merge w:val="continue"/>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tc>
        <w:tc>
          <w:tcPr>
            <w:tcW w:w="956"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州河宣汉县张鼓坪控制单元</w:t>
            </w:r>
          </w:p>
        </w:tc>
        <w:tc>
          <w:tcPr>
            <w:tcW w:w="5517" w:type="dxa"/>
            <w:vMerge w:val="continue"/>
            <w:vAlign w:val="center"/>
          </w:tcPr>
          <w:p>
            <w:pPr>
              <w:spacing w:line="240" w:lineRule="auto"/>
              <w:ind w:firstLine="420"/>
              <w:jc w:val="center"/>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p>
        </w:tc>
        <w:tc>
          <w:tcPr>
            <w:tcW w:w="1170"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环境风险防控</w:t>
            </w:r>
          </w:p>
        </w:tc>
        <w:tc>
          <w:tcPr>
            <w:tcW w:w="2496" w:type="dxa"/>
            <w:vAlign w:val="center"/>
          </w:tcPr>
          <w:p>
            <w:pPr>
              <w:pStyle w:val="260"/>
              <w:widowControl/>
              <w:shd w:val="clear" w:color="auto" w:fill="FFFFFF"/>
              <w:spacing w:line="240" w:lineRule="auto"/>
              <w:ind w:firstLine="0" w:firstLineChars="0"/>
              <w:jc w:val="left"/>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进一步完善工业企业和矿山环境风险防范和管理体系建设，开展企业风险隐患排查与风险评估，增强企业的环境风险意识，守住环境安全底线。落实“一河一策一图”风险管理和应急响应方案，提升风险应急管理水平。</w:t>
            </w:r>
          </w:p>
        </w:tc>
        <w:tc>
          <w:tcPr>
            <w:tcW w:w="1478" w:type="dxa"/>
            <w:vAlign w:val="center"/>
          </w:tcPr>
          <w:p>
            <w:pPr>
              <w:widowControl/>
              <w:shd w:val="clear" w:color="auto" w:fill="FFFFFF"/>
              <w:adjustRightInd/>
              <w:snapToGrid/>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本项目属于天然气开发建设项目，不属于宣汉县</w:t>
            </w:r>
            <w:r>
              <w:rPr>
                <w:rFonts w:hint="default" w:ascii="Times New Roman" w:hAnsi="Times New Roman" w:eastAsia="新宋体" w:cs="Times New Roman"/>
                <w:color w:val="000000" w:themeColor="text1"/>
                <w:sz w:val="21"/>
                <w:szCs w:val="21"/>
                <w:highlight w:val="none"/>
                <w14:textFill>
                  <w14:solidFill>
                    <w14:schemeClr w14:val="tx1"/>
                  </w14:solidFill>
                </w14:textFill>
              </w:rPr>
              <w:t>州河宣汉县张鼓坪控制单元</w:t>
            </w:r>
            <w:r>
              <w:rPr>
                <w:rFonts w:hint="default" w:ascii="Times New Roman" w:hAnsi="Times New Roman" w:cs="Times New Roman"/>
                <w:color w:val="000000" w:themeColor="text1"/>
                <w:sz w:val="21"/>
                <w:szCs w:val="21"/>
                <w:highlight w:val="none"/>
                <w14:textFill>
                  <w14:solidFill>
                    <w14:schemeClr w14:val="tx1"/>
                  </w14:solidFill>
                </w14:textFill>
              </w:rPr>
              <w:t>中禁止布局和限制开发的建设项目；项目采取的各类环保措施和风险防范措施满足相应环保要求，故满足该</w:t>
            </w:r>
            <w:r>
              <w:rPr>
                <w:rFonts w:hint="default" w:ascii="Times New Roman" w:hAnsi="Times New Roman" w:cs="Times New Roman"/>
                <w:color w:val="000000" w:themeColor="text1"/>
                <w:sz w:val="21"/>
                <w:szCs w:val="21"/>
                <w:highlight w:val="none"/>
                <w:lang w:eastAsia="zh-CN"/>
                <w14:textFill>
                  <w14:solidFill>
                    <w14:schemeClr w14:val="tx1"/>
                  </w14:solidFill>
                </w14:textFill>
              </w:rPr>
              <w:t>项目</w:t>
            </w:r>
            <w:r>
              <w:rPr>
                <w:rFonts w:hint="default" w:ascii="Times New Roman" w:hAnsi="Times New Roman" w:cs="Times New Roman"/>
                <w:snapToGrid w:val="0"/>
                <w:color w:val="000000" w:themeColor="text1"/>
                <w:sz w:val="21"/>
                <w:szCs w:val="21"/>
                <w:highlight w:val="none"/>
                <w14:textFill>
                  <w14:solidFill>
                    <w14:schemeClr w14:val="tx1"/>
                  </w14:solidFill>
                </w14:textFill>
              </w:rPr>
              <w:t>空间布局要求</w:t>
            </w:r>
            <w:r>
              <w:rPr>
                <w:rFonts w:hint="eastAsia" w:cs="Times New Roman"/>
                <w:snapToGrid w:val="0"/>
                <w:color w:val="000000" w:themeColor="text1"/>
                <w:sz w:val="21"/>
                <w:szCs w:val="21"/>
                <w:highlight w:val="none"/>
                <w:lang w:eastAsia="zh-CN"/>
                <w14:textFill>
                  <w14:solidFill>
                    <w14:schemeClr w14:val="tx1"/>
                  </w14:solidFill>
                </w14:textFill>
              </w:rPr>
              <w:t>。</w:t>
            </w:r>
          </w:p>
        </w:tc>
        <w:tc>
          <w:tcPr>
            <w:tcW w:w="715" w:type="dxa"/>
            <w:vAlign w:val="center"/>
          </w:tcPr>
          <w:p>
            <w:pPr>
              <w:widowControl/>
              <w:adjustRightInd/>
              <w:snapToGrid/>
              <w:spacing w:line="240" w:lineRule="auto"/>
              <w:ind w:firstLine="0" w:firstLine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Merge w:val="continue"/>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tc>
        <w:tc>
          <w:tcPr>
            <w:tcW w:w="956"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州河宣汉县张鼓坪控制单元</w:t>
            </w:r>
          </w:p>
        </w:tc>
        <w:tc>
          <w:tcPr>
            <w:tcW w:w="5517" w:type="dxa"/>
            <w:vMerge w:val="continue"/>
            <w:vAlign w:val="center"/>
          </w:tcPr>
          <w:p>
            <w:pPr>
              <w:spacing w:line="240" w:lineRule="auto"/>
              <w:ind w:firstLine="0" w:firstLineChars="0"/>
              <w:jc w:val="center"/>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p>
        </w:tc>
        <w:tc>
          <w:tcPr>
            <w:tcW w:w="1170"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资源开发效率要求</w:t>
            </w:r>
          </w:p>
        </w:tc>
        <w:tc>
          <w:tcPr>
            <w:tcW w:w="2496" w:type="dxa"/>
            <w:vAlign w:val="center"/>
          </w:tcPr>
          <w:p>
            <w:pPr>
              <w:pStyle w:val="260"/>
              <w:widowControl/>
              <w:shd w:val="clear" w:color="auto" w:fill="FFFFFF"/>
              <w:spacing w:line="240" w:lineRule="auto"/>
              <w:ind w:firstLine="0" w:firstLineChars="0"/>
              <w:jc w:val="left"/>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强化种植业节水；推进农村污水分质资源化利用。</w:t>
            </w:r>
          </w:p>
        </w:tc>
        <w:tc>
          <w:tcPr>
            <w:tcW w:w="1478"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w:t>
            </w:r>
          </w:p>
        </w:tc>
        <w:tc>
          <w:tcPr>
            <w:tcW w:w="715"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Merge w:val="restart"/>
            <w:vAlign w:val="center"/>
          </w:tcPr>
          <w:p>
            <w:pPr>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YS5117223310001</w:t>
            </w:r>
          </w:p>
        </w:tc>
        <w:tc>
          <w:tcPr>
            <w:tcW w:w="956" w:type="dxa"/>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宣汉县大气环境一般管控区</w:t>
            </w:r>
          </w:p>
        </w:tc>
        <w:tc>
          <w:tcPr>
            <w:tcW w:w="5517" w:type="dxa"/>
            <w:vMerge w:val="continue"/>
            <w:vAlign w:val="center"/>
          </w:tcPr>
          <w:p>
            <w:pPr>
              <w:spacing w:line="240" w:lineRule="auto"/>
              <w:ind w:firstLine="0" w:firstLineChars="0"/>
              <w:jc w:val="center"/>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p>
        </w:tc>
        <w:tc>
          <w:tcPr>
            <w:tcW w:w="1170"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空间布局约束</w:t>
            </w:r>
          </w:p>
        </w:tc>
        <w:tc>
          <w:tcPr>
            <w:tcW w:w="2496" w:type="dxa"/>
            <w:vAlign w:val="center"/>
          </w:tcPr>
          <w:p>
            <w:pPr>
              <w:pStyle w:val="260"/>
              <w:widowControl/>
              <w:shd w:val="clear" w:color="auto" w:fill="FFFFFF"/>
              <w:spacing w:line="240" w:lineRule="auto"/>
              <w:ind w:firstLine="0" w:firstLineChars="0"/>
              <w:jc w:val="left"/>
              <w:rPr>
                <w:rStyle w:val="57"/>
                <w:rFonts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禁止开发建设活动的要求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限制开发建设活动的要求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允许开发建设活动的要求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不符合空间布局要求活动的退出要求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其他空间布局约束要求</w:t>
            </w:r>
          </w:p>
          <w:p>
            <w:pPr>
              <w:pStyle w:val="260"/>
              <w:widowControl/>
              <w:shd w:val="clear" w:color="auto" w:fill="FFFFFF"/>
              <w:spacing w:line="240" w:lineRule="auto"/>
              <w:ind w:firstLine="0" w:firstLineChars="0"/>
              <w:jc w:val="left"/>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tc>
        <w:tc>
          <w:tcPr>
            <w:tcW w:w="1478"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本项目属于天然气开发建设项目，不属于宣汉县大气环境一般管控区中禁止布局和限制开发的建设项目；项目采取的各类环保措施和风险防范措施满足相应环保要求，故满足该</w:t>
            </w:r>
            <w:r>
              <w:rPr>
                <w:rFonts w:hint="default" w:ascii="Times New Roman" w:hAnsi="Times New Roman" w:cs="Times New Roman"/>
                <w:color w:val="000000" w:themeColor="text1"/>
                <w:sz w:val="21"/>
                <w:szCs w:val="21"/>
                <w:highlight w:val="none"/>
                <w:lang w:eastAsia="zh-CN"/>
                <w14:textFill>
                  <w14:solidFill>
                    <w14:schemeClr w14:val="tx1"/>
                  </w14:solidFill>
                </w14:textFill>
              </w:rPr>
              <w:t>项目</w:t>
            </w:r>
            <w:r>
              <w:rPr>
                <w:rFonts w:hint="default" w:ascii="Times New Roman" w:hAnsi="Times New Roman" w:cs="Times New Roman"/>
                <w:snapToGrid w:val="0"/>
                <w:color w:val="000000" w:themeColor="text1"/>
                <w:sz w:val="21"/>
                <w:szCs w:val="21"/>
                <w:highlight w:val="none"/>
                <w14:textFill>
                  <w14:solidFill>
                    <w14:schemeClr w14:val="tx1"/>
                  </w14:solidFill>
                </w14:textFill>
              </w:rPr>
              <w:t>空间布局要求。</w:t>
            </w:r>
          </w:p>
        </w:tc>
        <w:tc>
          <w:tcPr>
            <w:tcW w:w="715"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Merge w:val="continue"/>
            <w:vAlign w:val="center"/>
          </w:tcPr>
          <w:p>
            <w:pPr>
              <w:spacing w:line="240" w:lineRule="auto"/>
              <w:ind w:firstLine="42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tc>
        <w:tc>
          <w:tcPr>
            <w:tcW w:w="956" w:type="dxa"/>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宣汉县大气环境一般管控区</w:t>
            </w:r>
          </w:p>
        </w:tc>
        <w:tc>
          <w:tcPr>
            <w:tcW w:w="5517" w:type="dxa"/>
            <w:vMerge w:val="continue"/>
            <w:vAlign w:val="center"/>
          </w:tcPr>
          <w:p>
            <w:pPr>
              <w:spacing w:line="240" w:lineRule="auto"/>
              <w:ind w:firstLine="0" w:firstLineChars="0"/>
              <w:jc w:val="center"/>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p>
        </w:tc>
        <w:tc>
          <w:tcPr>
            <w:tcW w:w="1170"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污染物排放管控</w:t>
            </w:r>
          </w:p>
        </w:tc>
        <w:tc>
          <w:tcPr>
            <w:tcW w:w="2496" w:type="dxa"/>
            <w:vAlign w:val="center"/>
          </w:tcPr>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大气环境质量执行标准《环境空气质量标准》（GB3095-2012）：二级</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区域大气污染物削减/替代要求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燃煤和其他能源大气污染控制要求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工业废气污染控制要求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机动车船大气污染控制要求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扬尘污染控制要求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农业生产经营活动大气污染控制要求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重点行业企业专项治理要求</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w:t>
            </w:r>
          </w:p>
          <w:p>
            <w:pPr>
              <w:pStyle w:val="260"/>
              <w:widowControl/>
              <w:shd w:val="clear" w:color="auto" w:fill="FFFFFF"/>
              <w:spacing w:line="240" w:lineRule="auto"/>
              <w:ind w:firstLine="0" w:firstLineChars="0"/>
              <w:jc w:val="left"/>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其他大气污染物排放管控要求</w:t>
            </w:r>
          </w:p>
          <w:p>
            <w:pPr>
              <w:widowControl/>
              <w:shd w:val="clear" w:color="auto" w:fill="FFFFFF"/>
              <w:spacing w:line="240" w:lineRule="auto"/>
              <w:ind w:firstLine="0" w:firstLineChars="0"/>
              <w:jc w:val="both"/>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Style w:val="57"/>
                <w:rFonts w:hint="eastAsia" w:ascii="宋体" w:hAnsi="宋体" w:eastAsia="宋体" w:cs="Times New Roman"/>
                <w:color w:val="000000" w:themeColor="text1"/>
                <w:kern w:val="2"/>
                <w:sz w:val="21"/>
                <w:szCs w:val="21"/>
                <w:highlight w:val="none"/>
                <w:lang w:val="en-US" w:eastAsia="zh-CN" w:bidi="ar-SA"/>
                <w14:textFill>
                  <w14:solidFill>
                    <w14:schemeClr w14:val="tx1"/>
                  </w14:solidFill>
                </w14:textFill>
              </w:rPr>
              <w:t>减少工业化、城镇化对大气环境的影响，严格执行国家、省、市下达的相关大气污染防治要求。</w:t>
            </w:r>
          </w:p>
        </w:tc>
        <w:tc>
          <w:tcPr>
            <w:tcW w:w="1478"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本项目属于天然气开发建设项目，项目采取的各类环保措施和风险防范措施满足相应环保要求，故满足该</w:t>
            </w:r>
            <w:r>
              <w:rPr>
                <w:rFonts w:hint="default" w:ascii="Times New Roman" w:hAnsi="Times New Roman" w:cs="Times New Roman"/>
                <w:color w:val="000000" w:themeColor="text1"/>
                <w:sz w:val="21"/>
                <w:szCs w:val="21"/>
                <w:highlight w:val="none"/>
                <w:lang w:eastAsia="zh-CN"/>
                <w14:textFill>
                  <w14:solidFill>
                    <w14:schemeClr w14:val="tx1"/>
                  </w14:solidFill>
                </w14:textFill>
              </w:rPr>
              <w:t>项目</w:t>
            </w:r>
            <w:r>
              <w:rPr>
                <w:rFonts w:hint="default" w:ascii="Times New Roman" w:hAnsi="Times New Roman" w:cs="Times New Roman"/>
                <w:snapToGrid w:val="0"/>
                <w:color w:val="000000" w:themeColor="text1"/>
                <w:sz w:val="21"/>
                <w:szCs w:val="21"/>
                <w:highlight w:val="none"/>
                <w14:textFill>
                  <w14:solidFill>
                    <w14:schemeClr w14:val="tx1"/>
                  </w14:solidFill>
                </w14:textFill>
              </w:rPr>
              <w:t>空间布局要求</w:t>
            </w: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715" w:type="dxa"/>
            <w:vAlign w:val="center"/>
          </w:tcPr>
          <w:p>
            <w:pPr>
              <w:widowControl/>
              <w:shd w:val="clear" w:color="auto" w:fill="FFFFFF"/>
              <w:adjustRightInd/>
              <w:snapToGrid/>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Merge w:val="continue"/>
            <w:vAlign w:val="center"/>
          </w:tcPr>
          <w:p>
            <w:pPr>
              <w:spacing w:line="240" w:lineRule="auto"/>
              <w:ind w:firstLine="42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tc>
        <w:tc>
          <w:tcPr>
            <w:tcW w:w="956" w:type="dxa"/>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宣汉县大气环境一般管控区</w:t>
            </w:r>
          </w:p>
        </w:tc>
        <w:tc>
          <w:tcPr>
            <w:tcW w:w="5517" w:type="dxa"/>
            <w:vMerge w:val="continue"/>
            <w:vAlign w:val="center"/>
          </w:tcPr>
          <w:p>
            <w:pPr>
              <w:spacing w:line="240" w:lineRule="auto"/>
              <w:ind w:firstLine="0" w:firstLineChars="0"/>
              <w:jc w:val="center"/>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p>
        </w:tc>
        <w:tc>
          <w:tcPr>
            <w:tcW w:w="1170"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环境风险防控</w:t>
            </w:r>
          </w:p>
        </w:tc>
        <w:tc>
          <w:tcPr>
            <w:tcW w:w="2496" w:type="dxa"/>
            <w:vAlign w:val="center"/>
          </w:tcPr>
          <w:p>
            <w:pPr>
              <w:widowControl/>
              <w:shd w:val="clear" w:color="auto" w:fill="FFFFFF"/>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w:t>
            </w:r>
          </w:p>
        </w:tc>
        <w:tc>
          <w:tcPr>
            <w:tcW w:w="1478"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715"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842" w:type="dxa"/>
            <w:vMerge w:val="continue"/>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p>
        </w:tc>
        <w:tc>
          <w:tcPr>
            <w:tcW w:w="956" w:type="dxa"/>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宣汉县大气环境一般管控区</w:t>
            </w:r>
          </w:p>
        </w:tc>
        <w:tc>
          <w:tcPr>
            <w:tcW w:w="5517" w:type="dxa"/>
            <w:vMerge w:val="continue"/>
            <w:vAlign w:val="center"/>
          </w:tcPr>
          <w:p>
            <w:pPr>
              <w:spacing w:line="240" w:lineRule="auto"/>
              <w:ind w:firstLine="0" w:firstLineChars="0"/>
              <w:jc w:val="center"/>
              <w:rPr>
                <w:rFonts w:hint="default" w:ascii="Times New Roman" w:hAnsi="Times New Roman" w:eastAsia="新宋体" w:cs="Times New Roman"/>
                <w:color w:val="000000" w:themeColor="text1"/>
                <w:kern w:val="0"/>
                <w:sz w:val="21"/>
                <w:szCs w:val="21"/>
                <w:highlight w:val="none"/>
                <w14:textFill>
                  <w14:solidFill>
                    <w14:schemeClr w14:val="tx1"/>
                  </w14:solidFill>
                </w14:textFill>
              </w:rPr>
            </w:pPr>
          </w:p>
        </w:tc>
        <w:tc>
          <w:tcPr>
            <w:tcW w:w="1170" w:type="dxa"/>
            <w:vAlign w:val="center"/>
          </w:tcPr>
          <w:p>
            <w:pPr>
              <w:widowControl/>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资源开发效率要求</w:t>
            </w:r>
          </w:p>
        </w:tc>
        <w:tc>
          <w:tcPr>
            <w:tcW w:w="2496" w:type="dxa"/>
            <w:vAlign w:val="center"/>
          </w:tcPr>
          <w:p>
            <w:pPr>
              <w:widowControl/>
              <w:shd w:val="clear" w:color="auto" w:fill="FFFFFF"/>
              <w:spacing w:line="240" w:lineRule="auto"/>
              <w:ind w:firstLine="0" w:firstLineChars="0"/>
              <w:jc w:val="center"/>
              <w:rPr>
                <w:rFonts w:hint="default" w:ascii="Times New Roman" w:hAnsi="Times New Roman" w:eastAsia="新宋体" w:cs="Times New Roman"/>
                <w:color w:val="000000" w:themeColor="text1"/>
                <w:sz w:val="21"/>
                <w:szCs w:val="21"/>
                <w:highlight w:val="none"/>
                <w14:textFill>
                  <w14:solidFill>
                    <w14:schemeClr w14:val="tx1"/>
                  </w14:solidFill>
                </w14:textFill>
              </w:rPr>
            </w:pPr>
            <w:r>
              <w:rPr>
                <w:rFonts w:hint="default" w:ascii="Times New Roman" w:hAnsi="Times New Roman" w:eastAsia="新宋体" w:cs="Times New Roman"/>
                <w:color w:val="000000" w:themeColor="text1"/>
                <w:sz w:val="21"/>
                <w:szCs w:val="21"/>
                <w:highlight w:val="none"/>
                <w14:textFill>
                  <w14:solidFill>
                    <w14:schemeClr w14:val="tx1"/>
                  </w14:solidFill>
                </w14:textFill>
              </w:rPr>
              <w:t>/</w:t>
            </w:r>
          </w:p>
        </w:tc>
        <w:tc>
          <w:tcPr>
            <w:tcW w:w="1478"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715"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bl>
    <w:p>
      <w:pPr>
        <w:pStyle w:val="250"/>
        <w:ind w:firstLine="480"/>
        <w:rPr>
          <w:rFonts w:hint="default" w:ascii="Times New Roman" w:hAnsi="Times New Roman" w:cs="Times New Roman"/>
          <w:color w:val="000000" w:themeColor="text1"/>
          <w:highlight w:val="none"/>
          <w14:textFill>
            <w14:solidFill>
              <w14:schemeClr w14:val="tx1"/>
            </w14:solidFill>
          </w14:textFill>
        </w:rPr>
        <w:sectPr>
          <w:pgSz w:w="16838" w:h="11906" w:orient="landscape"/>
          <w:pgMar w:top="1800" w:right="1440" w:bottom="1800" w:left="1440" w:header="964" w:footer="964" w:gutter="0"/>
          <w:pgBorders>
            <w:top w:val="none" w:sz="0" w:space="0"/>
            <w:left w:val="none" w:sz="0" w:space="0"/>
            <w:bottom w:val="none" w:sz="0" w:space="0"/>
            <w:right w:val="none" w:sz="0" w:space="0"/>
          </w:pgBorders>
          <w:cols w:space="425" w:num="1"/>
          <w:docGrid w:type="lines" w:linePitch="326" w:charSpace="0"/>
        </w:sectPr>
      </w:pPr>
    </w:p>
    <w:p>
      <w:pPr>
        <w:tabs>
          <w:tab w:val="left" w:pos="0"/>
        </w:tabs>
        <w:ind w:firstLine="480"/>
        <w:rPr>
          <w:rFonts w:hint="default" w:ascii="Times New Roman" w:hAnsi="Times New Roman" w:eastAsia="黑体" w:cs="Times New Roman"/>
          <w:color w:val="000000" w:themeColor="text1"/>
          <w:highlight w:val="none"/>
          <w14:textFill>
            <w14:solidFill>
              <w14:schemeClr w14:val="tx1"/>
            </w14:solidFill>
          </w14:textFill>
        </w:rPr>
      </w:pPr>
      <w:r>
        <w:rPr>
          <w:rFonts w:hint="default" w:ascii="Times New Roman" w:hAnsi="Times New Roman" w:eastAsia="黑体" w:cs="Times New Roman"/>
          <w:color w:val="000000" w:themeColor="text1"/>
          <w:highlight w:val="none"/>
          <w14:textFill>
            <w14:solidFill>
              <w14:schemeClr w14:val="tx1"/>
            </w14:solidFill>
          </w14:textFill>
        </w:rPr>
        <w:t>3、与达州市人民政府《关于落实生态保护红线、环境质量底线、资源利用上线制定生态环境准入清单实施生态环境分区管控的通知》达市府发〔2021〕17号符合性分析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eastAsia" w:ascii="Times New Roman" w:hAnsi="Times New Roman" w:eastAsia="宋体" w:cs="Times New Roman"/>
          <w:bCs/>
          <w:snapToGrid/>
          <w:color w:val="000000" w:themeColor="text1"/>
          <w:spacing w:val="0"/>
          <w:w w:val="100"/>
          <w:kern w:val="21"/>
          <w:position w:val="0"/>
          <w:sz w:val="24"/>
          <w:szCs w:val="24"/>
          <w:highlight w:val="none"/>
          <w14:textFill>
            <w14:solidFill>
              <w14:schemeClr w14:val="tx1"/>
            </w14:solidFill>
          </w14:textFill>
        </w:rPr>
        <w:t>根据该通知要求，从生态环境保护角度，将全市行政区域划分为优先保护、重点管控和一般管控三类，共</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14:textFill>
            <w14:solidFill>
              <w14:schemeClr w14:val="tx1"/>
            </w14:solidFill>
          </w14:textFill>
        </w:rPr>
        <w:t>46</w:t>
      </w:r>
      <w:r>
        <w:rPr>
          <w:rFonts w:hint="eastAsia" w:ascii="Times New Roman" w:hAnsi="Times New Roman" w:eastAsia="宋体" w:cs="Times New Roman"/>
          <w:bCs/>
          <w:snapToGrid/>
          <w:color w:val="000000" w:themeColor="text1"/>
          <w:spacing w:val="0"/>
          <w:w w:val="100"/>
          <w:kern w:val="21"/>
          <w:position w:val="0"/>
          <w:sz w:val="24"/>
          <w:szCs w:val="24"/>
          <w:highlight w:val="none"/>
          <w14:textFill>
            <w14:solidFill>
              <w14:schemeClr w14:val="tx1"/>
            </w14:solidFill>
          </w14:textFill>
        </w:rPr>
        <w:t>个环境管控单元</w:t>
      </w:r>
      <w:r>
        <w:rPr>
          <w:rFonts w:hint="eastAsia" w:ascii="Times New Roman" w:hAnsi="Times New Roman" w:eastAsia="宋体" w:cs="Times New Roman"/>
          <w:bCs/>
          <w:snapToGrid/>
          <w:color w:val="000000" w:themeColor="text1"/>
          <w:spacing w:val="0"/>
          <w:w w:val="100"/>
          <w:kern w:val="21"/>
          <w:position w:val="0"/>
          <w:sz w:val="24"/>
          <w:szCs w:val="24"/>
          <w:highlight w:val="none"/>
          <w:lang w:eastAsia="zh-CN"/>
          <w14:textFill>
            <w14:solidFill>
              <w14:schemeClr w14:val="tx1"/>
            </w14:solidFill>
          </w14:textFill>
        </w:rPr>
        <w:t>，其中，优先保护单元</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14:textFill>
            <w14:solidFill>
              <w14:schemeClr w14:val="tx1"/>
            </w14:solidFill>
          </w14:textFill>
        </w:rPr>
        <w:t>17个，重点管控单</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元22个，一般管控单元7个</w:t>
      </w:r>
      <w:r>
        <w:rPr>
          <w:rFonts w:hint="eastAsia"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达州市环境管控单元的总体生态环境管控要求见表</w:t>
      </w:r>
      <w:r>
        <w:rPr>
          <w:rFonts w:hint="eastAsia"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2.7-16</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。本项目位于达州市宣汉县普光镇境内，涉及</w:t>
      </w:r>
      <w:r>
        <w:rPr>
          <w:rFonts w:hint="default"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宣汉县一般管控单元</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（管控类别为</w:t>
      </w:r>
      <w:r>
        <w:rPr>
          <w:rFonts w:hint="default"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环境综合管控单元一般管控单元</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管控单元编号ZH51172230001</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州河宣汉县张鼓坪控制单元</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（管控类别为</w:t>
      </w:r>
      <w:r>
        <w:rPr>
          <w:rFonts w:hint="default"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水环境一般管控区</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管控单元编号YS5117223210001</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）和</w:t>
      </w:r>
      <w:r>
        <w:rPr>
          <w:rFonts w:hint="default"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宣汉县大气环境一般管控区</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（管控类别为</w:t>
      </w:r>
      <w:r>
        <w:rPr>
          <w:rFonts w:hint="default"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大气环境一般管控区</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管控单元编号YS5117223310001</w:t>
      </w:r>
      <w:r>
        <w:rPr>
          <w:rFonts w:hint="eastAsia" w:ascii="Times New Roman" w:hAnsi="Times New Roman" w:eastAsia="宋体" w:cs="Times New Roman"/>
          <w:bCs/>
          <w:snapToGrid/>
          <w:color w:val="000000" w:themeColor="text1"/>
          <w:spacing w:val="0"/>
          <w:w w:val="100"/>
          <w:kern w:val="21"/>
          <w:position w:val="0"/>
          <w:sz w:val="24"/>
          <w:szCs w:val="24"/>
          <w:highlight w:val="none"/>
          <w:lang w:val="en-US" w:eastAsia="zh-CN" w:bidi="ar-SA"/>
          <w14:textFill>
            <w14:solidFill>
              <w14:schemeClr w14:val="tx1"/>
            </w14:solidFill>
          </w14:textFill>
        </w:rPr>
        <w:t>）。本项</w:t>
      </w:r>
      <w:r>
        <w:rPr>
          <w:rFonts w:hint="eastAsia" w:ascii="Times New Roman" w:hAnsi="Times New Roman" w:eastAsia="宋体" w:cs="Times New Roman"/>
          <w:bCs/>
          <w:snapToGrid/>
          <w:color w:val="000000" w:themeColor="text1"/>
          <w:spacing w:val="0"/>
          <w:w w:val="100"/>
          <w:kern w:val="21"/>
          <w:position w:val="0"/>
          <w:sz w:val="24"/>
          <w:szCs w:val="24"/>
          <w:highlight w:val="none"/>
          <w14:textFill>
            <w14:solidFill>
              <w14:schemeClr w14:val="tx1"/>
            </w14:solidFill>
          </w14:textFill>
        </w:rPr>
        <w:t>目与</w:t>
      </w:r>
      <w:r>
        <w:rPr>
          <w:rFonts w:hint="eastAsia" w:ascii="Times New Roman" w:hAnsi="Times New Roman" w:eastAsia="宋体" w:cs="Times New Roman"/>
          <w:bCs/>
          <w:snapToGrid/>
          <w:color w:val="000000" w:themeColor="text1"/>
          <w:spacing w:val="0"/>
          <w:w w:val="100"/>
          <w:kern w:val="21"/>
          <w:position w:val="0"/>
          <w:sz w:val="24"/>
          <w:szCs w:val="24"/>
          <w:highlight w:val="none"/>
          <w:lang w:eastAsia="zh-CN"/>
          <w14:textFill>
            <w14:solidFill>
              <w14:schemeClr w14:val="tx1"/>
            </w14:solidFill>
          </w14:textFill>
        </w:rPr>
        <w:t>达州市</w:t>
      </w:r>
      <w:r>
        <w:rPr>
          <w:rFonts w:hint="eastAsia" w:ascii="Times New Roman" w:hAnsi="Times New Roman" w:eastAsia="宋体" w:cs="Times New Roman"/>
          <w:bCs/>
          <w:snapToGrid/>
          <w:color w:val="000000" w:themeColor="text1"/>
          <w:spacing w:val="0"/>
          <w:w w:val="100"/>
          <w:kern w:val="21"/>
          <w:position w:val="0"/>
          <w:sz w:val="24"/>
          <w:szCs w:val="24"/>
          <w:highlight w:val="none"/>
          <w14:textFill>
            <w14:solidFill>
              <w14:schemeClr w14:val="tx1"/>
            </w14:solidFill>
          </w14:textFill>
        </w:rPr>
        <w:t>生态环境准入总体要求以及</w:t>
      </w:r>
      <w:r>
        <w:rPr>
          <w:rFonts w:hint="eastAsia" w:eastAsia="宋体" w:cs="Times New Roman"/>
          <w:bCs/>
          <w:snapToGrid/>
          <w:color w:val="000000" w:themeColor="text1"/>
          <w:spacing w:val="0"/>
          <w:w w:val="100"/>
          <w:kern w:val="21"/>
          <w:position w:val="0"/>
          <w:sz w:val="24"/>
          <w:szCs w:val="24"/>
          <w:highlight w:val="none"/>
          <w:lang w:val="en-US" w:eastAsia="zh-CN"/>
          <w14:textFill>
            <w14:solidFill>
              <w14:schemeClr w14:val="tx1"/>
            </w14:solidFill>
          </w14:textFill>
        </w:rPr>
        <w:t>宣汉县</w:t>
      </w:r>
      <w:r>
        <w:rPr>
          <w:rFonts w:hint="eastAsia" w:ascii="Times New Roman" w:hAnsi="Times New Roman" w:eastAsia="宋体" w:cs="Times New Roman"/>
          <w:bCs/>
          <w:snapToGrid/>
          <w:color w:val="000000" w:themeColor="text1"/>
          <w:spacing w:val="0"/>
          <w:w w:val="100"/>
          <w:kern w:val="21"/>
          <w:position w:val="0"/>
          <w:sz w:val="24"/>
          <w:szCs w:val="24"/>
          <w:highlight w:val="none"/>
          <w14:textFill>
            <w14:solidFill>
              <w14:schemeClr w14:val="tx1"/>
            </w14:solidFill>
          </w14:textFill>
        </w:rPr>
        <w:t>生态环境准入总体要求符合性见</w:t>
      </w:r>
      <w:r>
        <w:rPr>
          <w:rFonts w:hint="eastAsia" w:cs="Times New Roman"/>
          <w:bCs/>
          <w:snapToGrid/>
          <w:color w:val="000000" w:themeColor="text1"/>
          <w:spacing w:val="0"/>
          <w:w w:val="100"/>
          <w:kern w:val="21"/>
          <w:position w:val="0"/>
          <w:sz w:val="24"/>
          <w:szCs w:val="24"/>
          <w:highlight w:val="none"/>
          <w:lang w:val="en-US" w:eastAsia="zh-CN"/>
          <w14:textFill>
            <w14:solidFill>
              <w14:schemeClr w14:val="tx1"/>
            </w14:solidFill>
          </w14:textFill>
        </w:rPr>
        <w:t>下</w:t>
      </w:r>
      <w:r>
        <w:rPr>
          <w:rFonts w:hint="eastAsia" w:ascii="Times New Roman" w:hAnsi="Times New Roman" w:eastAsia="宋体" w:cs="Times New Roman"/>
          <w:bCs/>
          <w:snapToGrid/>
          <w:color w:val="000000" w:themeColor="text1"/>
          <w:spacing w:val="0"/>
          <w:w w:val="100"/>
          <w:kern w:val="21"/>
          <w:position w:val="0"/>
          <w:sz w:val="24"/>
          <w:szCs w:val="24"/>
          <w:highlight w:val="none"/>
          <w14:textFill>
            <w14:solidFill>
              <w14:schemeClr w14:val="tx1"/>
            </w14:solidFill>
          </w14:textFill>
        </w:rPr>
        <w:t>表</w:t>
      </w:r>
      <w:r>
        <w:rPr>
          <w:rFonts w:hint="default" w:ascii="Times New Roman" w:hAnsi="Times New Roman" w:cs="Times New Roman"/>
          <w:color w:val="000000" w:themeColor="text1"/>
          <w:szCs w:val="24"/>
          <w:highlight w:val="none"/>
          <w14:textFill>
            <w14:solidFill>
              <w14:schemeClr w14:val="tx1"/>
            </w14:solidFill>
          </w14:textFill>
        </w:rPr>
        <w:t>。</w:t>
      </w:r>
    </w:p>
    <w:p>
      <w:pPr>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表2.7-1</w:t>
      </w:r>
      <w:r>
        <w:rPr>
          <w:rFonts w:hint="eastAsia" w:eastAsia="黑体" w:cs="Times New Roman"/>
          <w:color w:val="000000" w:themeColor="text1"/>
          <w:kern w:val="2"/>
          <w:sz w:val="21"/>
          <w:szCs w:val="21"/>
          <w:highlight w:val="none"/>
          <w:lang w:val="en-US" w:eastAsia="zh-CN" w:bidi="ar-SA"/>
          <w14:textFill>
            <w14:solidFill>
              <w14:schemeClr w14:val="tx1"/>
            </w14:solidFill>
          </w14:textFill>
        </w:rPr>
        <w:t>6</w:t>
      </w:r>
      <w:r>
        <w:rPr>
          <w:rFonts w:hint="eastAsia"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 xml:space="preserve">   全市环境管控单元生态环境管控要求</w:t>
      </w:r>
    </w:p>
    <w:tbl>
      <w:tblPr>
        <w:tblStyle w:val="52"/>
        <w:tblW w:w="4900" w:type="pct"/>
        <w:jc w:val="center"/>
        <w:tblBorders>
          <w:top w:val="single" w:color="000000" w:themeColor="text1" w:sz="12" w:space="0"/>
          <w:left w:val="none" w:color="auto" w:sz="0" w:space="0"/>
          <w:bottom w:val="single" w:color="000000" w:themeColor="text1"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58"/>
        <w:gridCol w:w="6342"/>
      </w:tblGrid>
      <w:tr>
        <w:tblPrEx>
          <w:tblBorders>
            <w:top w:val="single" w:color="000000" w:themeColor="text1" w:sz="12" w:space="0"/>
            <w:left w:val="none" w:color="auto" w:sz="0" w:space="0"/>
            <w:bottom w:val="single" w:color="000000" w:themeColor="text1"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5" w:type="pct"/>
            <w:tcBorders>
              <w:top w:val="single" w:color="auto" w:sz="4" w:space="0"/>
              <w:left w:val="single" w:color="auto" w:sz="4" w:space="0"/>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b/>
                <w:bCs w:val="0"/>
                <w:snapToGrid/>
                <w:color w:val="000000" w:themeColor="text1"/>
                <w:spacing w:val="0"/>
                <w:w w:val="100"/>
                <w:kern w:val="21"/>
                <w:position w:val="0"/>
                <w:sz w:val="21"/>
                <w:szCs w:val="21"/>
                <w:highlight w:val="none"/>
                <w14:textFill>
                  <w14:solidFill>
                    <w14:schemeClr w14:val="tx1"/>
                  </w14:solidFill>
                </w14:textFill>
              </w:rPr>
            </w:pPr>
            <w:r>
              <w:rPr>
                <w:rFonts w:ascii="Times New Roman" w:hAnsi="Times New Roman" w:eastAsia="宋体" w:cs="Times New Roman"/>
                <w:b/>
                <w:bCs w:val="0"/>
                <w:snapToGrid/>
                <w:color w:val="000000" w:themeColor="text1"/>
                <w:spacing w:val="0"/>
                <w:w w:val="100"/>
                <w:kern w:val="21"/>
                <w:position w:val="0"/>
                <w:sz w:val="21"/>
                <w:szCs w:val="21"/>
                <w:highlight w:val="none"/>
                <w14:textFill>
                  <w14:solidFill>
                    <w14:schemeClr w14:val="tx1"/>
                  </w14:solidFill>
                </w14:textFill>
              </w:rPr>
              <w:t>环境管控单元类型</w:t>
            </w:r>
          </w:p>
        </w:tc>
        <w:tc>
          <w:tcPr>
            <w:tcW w:w="3484" w:type="pct"/>
            <w:tcBorders>
              <w:top w:val="single" w:color="auto" w:sz="4" w:space="0"/>
              <w:right w:val="single" w:color="auto" w:sz="4" w:space="0"/>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b/>
                <w:bCs w:val="0"/>
                <w:snapToGrid/>
                <w:color w:val="000000" w:themeColor="text1"/>
                <w:spacing w:val="0"/>
                <w:w w:val="100"/>
                <w:kern w:val="21"/>
                <w:position w:val="0"/>
                <w:sz w:val="21"/>
                <w:szCs w:val="21"/>
                <w:highlight w:val="none"/>
                <w14:textFill>
                  <w14:solidFill>
                    <w14:schemeClr w14:val="tx1"/>
                  </w14:solidFill>
                </w14:textFill>
              </w:rPr>
            </w:pPr>
            <w:r>
              <w:rPr>
                <w:rFonts w:ascii="Times New Roman" w:hAnsi="Times New Roman" w:eastAsia="宋体" w:cs="Times New Roman"/>
                <w:b/>
                <w:bCs w:val="0"/>
                <w:snapToGrid/>
                <w:color w:val="000000" w:themeColor="text1"/>
                <w:spacing w:val="0"/>
                <w:w w:val="100"/>
                <w:kern w:val="21"/>
                <w:position w:val="0"/>
                <w:sz w:val="21"/>
                <w:szCs w:val="21"/>
                <w:highlight w:val="none"/>
                <w14:textFill>
                  <w14:solidFill>
                    <w14:schemeClr w14:val="tx1"/>
                  </w14:solidFill>
                </w14:textFill>
              </w:rPr>
              <w:t>生态环境管控要求</w:t>
            </w:r>
          </w:p>
        </w:tc>
      </w:tr>
      <w:tr>
        <w:tblPrEx>
          <w:tblBorders>
            <w:top w:val="single" w:color="000000" w:themeColor="text1" w:sz="12" w:space="0"/>
            <w:left w:val="none" w:color="auto" w:sz="0" w:space="0"/>
            <w:bottom w:val="single" w:color="000000" w:themeColor="text1"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5" w:type="pct"/>
            <w:tcBorders>
              <w:left w:val="single" w:color="auto" w:sz="4" w:space="0"/>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pPr>
            <w:r>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t>优先保护单元</w:t>
            </w:r>
          </w:p>
        </w:tc>
        <w:tc>
          <w:tcPr>
            <w:tcW w:w="3484" w:type="pct"/>
            <w:tcBorders>
              <w:right w:val="single" w:color="auto" w:sz="4" w:space="0"/>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pPr>
            <w:r>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t>优先保护单元中，应以生态环境保护优先为原则，严格执行相关</w:t>
            </w:r>
            <w:r>
              <w:rPr>
                <w:rFonts w:hint="eastAsia" w:ascii="Times New Roman" w:hAnsi="Times New Roman" w:eastAsia="宋体" w:cs="Times New Roman"/>
                <w:snapToGrid/>
                <w:color w:val="000000" w:themeColor="text1"/>
                <w:spacing w:val="0"/>
                <w:w w:val="100"/>
                <w:kern w:val="21"/>
                <w:position w:val="0"/>
                <w:sz w:val="21"/>
                <w:szCs w:val="21"/>
                <w:highlight w:val="none"/>
                <w:lang w:eastAsia="zh-CN"/>
                <w14:textFill>
                  <w14:solidFill>
                    <w14:schemeClr w14:val="tx1"/>
                  </w14:solidFill>
                </w14:textFill>
              </w:rPr>
              <w:t>法律法规</w:t>
            </w:r>
            <w:r>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t>要求，严守生态环境质量底线，确保生态环境功能不降低。</w:t>
            </w:r>
          </w:p>
        </w:tc>
      </w:tr>
      <w:tr>
        <w:tblPrEx>
          <w:tblBorders>
            <w:top w:val="single" w:color="000000" w:themeColor="text1" w:sz="12" w:space="0"/>
            <w:left w:val="none" w:color="auto" w:sz="0" w:space="0"/>
            <w:bottom w:val="single" w:color="000000" w:themeColor="text1"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5" w:type="pct"/>
            <w:tcBorders>
              <w:left w:val="single" w:color="auto" w:sz="4" w:space="0"/>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pPr>
            <w:r>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t>重点管控单元</w:t>
            </w:r>
          </w:p>
        </w:tc>
        <w:tc>
          <w:tcPr>
            <w:tcW w:w="3484" w:type="pct"/>
            <w:tcBorders>
              <w:right w:val="single" w:color="auto" w:sz="4" w:space="0"/>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pPr>
            <w:r>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t>重点管控单元中，应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tc>
      </w:tr>
      <w:tr>
        <w:tblPrEx>
          <w:tblBorders>
            <w:top w:val="single" w:color="000000" w:themeColor="text1" w:sz="12" w:space="0"/>
            <w:left w:val="none" w:color="auto" w:sz="0" w:space="0"/>
            <w:bottom w:val="single" w:color="000000" w:themeColor="text1"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5" w:type="pct"/>
            <w:tcBorders>
              <w:left w:val="single" w:color="auto" w:sz="4" w:space="0"/>
              <w:bottom w:val="single" w:color="auto" w:sz="4" w:space="0"/>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pPr>
            <w:r>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t>一般管控单元</w:t>
            </w:r>
          </w:p>
        </w:tc>
        <w:tc>
          <w:tcPr>
            <w:tcW w:w="3484" w:type="pct"/>
            <w:tcBorders>
              <w:bottom w:val="single" w:color="auto" w:sz="4" w:space="0"/>
              <w:right w:val="single" w:color="auto" w:sz="4" w:space="0"/>
              <w:tl2br w:val="nil"/>
              <w:tr2bl w:val="nil"/>
            </w:tcBorders>
            <w:noWrap w:val="0"/>
            <w:vAlign w:val="center"/>
          </w:tcPr>
          <w:p>
            <w:pPr>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pPr>
            <w:r>
              <w:rPr>
                <w:rFonts w:ascii="Times New Roman" w:hAnsi="Times New Roman" w:eastAsia="宋体" w:cs="Times New Roman"/>
                <w:snapToGrid/>
                <w:color w:val="000000" w:themeColor="text1"/>
                <w:spacing w:val="0"/>
                <w:w w:val="100"/>
                <w:kern w:val="21"/>
                <w:position w:val="0"/>
                <w:sz w:val="21"/>
                <w:szCs w:val="21"/>
                <w:highlight w:val="none"/>
                <w14:textFill>
                  <w14:solidFill>
                    <w14:schemeClr w14:val="tx1"/>
                  </w14:solidFill>
                </w14:textFill>
              </w:rPr>
              <w:t>一般管控单元中，执行区域生态环境保护的基本要求，重点加强农业、生活等领域污染治理。</w:t>
            </w:r>
          </w:p>
        </w:tc>
      </w:tr>
    </w:tbl>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ascii="Times New Roman" w:hAnsi="Times New Roman" w:cs="Times New Roman"/>
          <w:color w:val="000000" w:themeColor="text1"/>
          <w:highlight w:val="none"/>
          <w:lang w:val="en-US" w:eastAsia="zh-CN"/>
          <w14:textFill>
            <w14:solidFill>
              <w14:schemeClr w14:val="tx1"/>
            </w14:solidFill>
          </w14:textFill>
        </w:rPr>
        <w:t>1</w:t>
      </w:r>
      <w:r>
        <w:rPr>
          <w:rFonts w:hint="eastAsia" w:cs="Times New Roman"/>
          <w:color w:val="000000" w:themeColor="text1"/>
          <w:highlight w:val="none"/>
          <w:lang w:val="en-US" w:eastAsia="zh-CN"/>
          <w14:textFill>
            <w14:solidFill>
              <w14:schemeClr w14:val="tx1"/>
            </w14:solidFill>
          </w14:textFill>
        </w:rPr>
        <w:t>7</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与达市府发〔2021〕17号符合性</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56"/>
        <w:gridCol w:w="4551"/>
        <w:gridCol w:w="2826"/>
        <w:gridCol w:w="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469"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行政区划</w:t>
            </w:r>
          </w:p>
        </w:tc>
        <w:tc>
          <w:tcPr>
            <w:tcW w:w="2493"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全市及各县（市、区）总体生态环境管控要求</w:t>
            </w:r>
          </w:p>
        </w:tc>
        <w:tc>
          <w:tcPr>
            <w:tcW w:w="154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本项目</w:t>
            </w:r>
          </w:p>
        </w:tc>
        <w:tc>
          <w:tcPr>
            <w:tcW w:w="489"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4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达州市</w:t>
            </w:r>
          </w:p>
        </w:tc>
        <w:tc>
          <w:tcPr>
            <w:tcW w:w="2493"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1．对钢铁行业提出严格资源环境绩效水平要求；</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2．高污染企业限期退城入园；</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3．普光气田开发污染防治和环境管理等方面要达到国内先进水平；</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4．引进项目应符合园区规划环评和区域产业准入清单要求；</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5．长江干支流岸线1km范围内，不得新建、扩建化工园区和化工项目；</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6．严控产业转移环境准入；</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7．造纸等产业污染治理和环境管理应达到国内先进水平。优化制浆造纸产业布局，提升行业清洁生产水平，推动制浆造纸工业向节能、环保、绿色方向发展。</w:t>
            </w:r>
          </w:p>
        </w:tc>
        <w:tc>
          <w:tcPr>
            <w:tcW w:w="154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本项目为天然气</w:t>
            </w:r>
            <w:r>
              <w:rPr>
                <w:rFonts w:hint="eastAsia" w:cs="Times New Roman"/>
                <w:color w:val="000000" w:themeColor="text1"/>
                <w:highlight w:val="none"/>
                <w:lang w:val="en-US" w:eastAsia="zh-CN"/>
                <w14:textFill>
                  <w14:solidFill>
                    <w14:schemeClr w14:val="tx1"/>
                  </w14:solidFill>
                </w14:textFill>
              </w:rPr>
              <w:t>勘探</w:t>
            </w:r>
            <w:r>
              <w:rPr>
                <w:rFonts w:hint="default" w:ascii="Times New Roman" w:hAnsi="Times New Roman" w:cs="Times New Roman"/>
                <w:color w:val="000000" w:themeColor="text1"/>
                <w:highlight w:val="none"/>
                <w14:textFill>
                  <w14:solidFill>
                    <w14:schemeClr w14:val="tx1"/>
                  </w14:solidFill>
                </w14:textFill>
              </w:rPr>
              <w:t>和试采工程，污染防治和环境管理严格按照本环评报告书提出要求进行落实，同时落实中原油田普光分公司日常管理要求，确保本项目各种污染物得到妥善处置，不对项目所在地环境造成影响。</w:t>
            </w:r>
          </w:p>
        </w:tc>
        <w:tc>
          <w:tcPr>
            <w:tcW w:w="48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4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宣汉县</w:t>
            </w:r>
          </w:p>
        </w:tc>
        <w:tc>
          <w:tcPr>
            <w:tcW w:w="2493"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1．加强小流域水环境保护，推动农村环保基础设施建设，全面推进农村环境综合整治、生活污水处理项目。大力开展沿河畜禽养殖污染整治，大力推广生态种植，减少农药化肥使用量；</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2．打好升级版污染防治攻坚战。持续优化调整产业布局，以PM</w:t>
            </w:r>
            <w:r>
              <w:rPr>
                <w:rFonts w:hint="default" w:ascii="Times New Roman" w:hAnsi="Times New Roman" w:cs="Times New Roman"/>
                <w:color w:val="000000" w:themeColor="text1"/>
                <w:highlight w:val="none"/>
                <w:vertAlign w:val="subscript"/>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t>和臭氧污染协同控制为重点，全面开展VOCs治理，实施移动源整治，持续推进空气质量精细化管理；</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154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本项目为天然气</w:t>
            </w:r>
            <w:r>
              <w:rPr>
                <w:rFonts w:hint="eastAsia" w:cs="Times New Roman"/>
                <w:color w:val="000000" w:themeColor="text1"/>
                <w:highlight w:val="none"/>
                <w:lang w:val="en-US" w:eastAsia="zh-CN"/>
                <w14:textFill>
                  <w14:solidFill>
                    <w14:schemeClr w14:val="tx1"/>
                  </w14:solidFill>
                </w14:textFill>
              </w:rPr>
              <w:t>勘探</w:t>
            </w:r>
            <w:r>
              <w:rPr>
                <w:rFonts w:hint="default" w:ascii="Times New Roman" w:hAnsi="Times New Roman" w:cs="Times New Roman"/>
                <w:color w:val="000000" w:themeColor="text1"/>
                <w:highlight w:val="none"/>
                <w14:textFill>
                  <w14:solidFill>
                    <w14:schemeClr w14:val="tx1"/>
                  </w14:solidFill>
                </w14:textFill>
              </w:rPr>
              <w:t>和试采工程，不涉及以上总体生态环境管控要求。</w:t>
            </w:r>
          </w:p>
        </w:tc>
        <w:tc>
          <w:tcPr>
            <w:tcW w:w="48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bl>
    <w:p>
      <w:pPr>
        <w:keepNext w:val="0"/>
        <w:keepLines w:val="0"/>
        <w:pageBreakBefore w:val="0"/>
        <w:widowControl w:val="0"/>
        <w:tabs>
          <w:tab w:val="left" w:pos="0"/>
        </w:tabs>
        <w:kinsoku/>
        <w:wordWrap/>
        <w:overflowPunct/>
        <w:topLinePunct w:val="0"/>
        <w:bidi w:val="0"/>
        <w:adjustRightInd w:val="0"/>
        <w:snapToGrid w:val="0"/>
        <w:ind w:firstLine="480"/>
        <w:textAlignment w:val="auto"/>
        <w:rPr>
          <w:rFonts w:hint="default" w:ascii="Times New Roman" w:hAnsi="Times New Roman" w:eastAsia="黑体" w:cs="Times New Roman"/>
          <w:color w:val="000000" w:themeColor="text1"/>
          <w:highlight w:val="none"/>
          <w14:textFill>
            <w14:solidFill>
              <w14:schemeClr w14:val="tx1"/>
            </w14:solidFill>
          </w14:textFill>
        </w:rPr>
      </w:pPr>
    </w:p>
    <w:p>
      <w:pPr>
        <w:keepNext w:val="0"/>
        <w:keepLines w:val="0"/>
        <w:pageBreakBefore w:val="0"/>
        <w:widowControl w:val="0"/>
        <w:tabs>
          <w:tab w:val="left" w:pos="0"/>
        </w:tabs>
        <w:kinsoku/>
        <w:wordWrap/>
        <w:overflowPunct/>
        <w:topLinePunct w:val="0"/>
        <w:bidi w:val="0"/>
        <w:adjustRightInd w:val="0"/>
        <w:snapToGrid w:val="0"/>
        <w:ind w:firstLine="480"/>
        <w:textAlignment w:val="auto"/>
        <w:rPr>
          <w:rFonts w:hint="default" w:ascii="Times New Roman" w:hAnsi="Times New Roman" w:eastAsia="黑体" w:cs="Times New Roman"/>
          <w:color w:val="000000" w:themeColor="text1"/>
          <w:highlight w:val="none"/>
          <w14:textFill>
            <w14:solidFill>
              <w14:schemeClr w14:val="tx1"/>
            </w14:solidFill>
          </w14:textFill>
        </w:rPr>
      </w:pPr>
      <w:r>
        <w:rPr>
          <w:rFonts w:hint="default" w:ascii="Times New Roman" w:hAnsi="Times New Roman" w:eastAsia="黑体" w:cs="Times New Roman"/>
          <w:color w:val="000000" w:themeColor="text1"/>
          <w:highlight w:val="none"/>
          <w14:textFill>
            <w14:solidFill>
              <w14:schemeClr w14:val="tx1"/>
            </w14:solidFill>
          </w14:textFill>
        </w:rPr>
        <w:t>4、与环境准入负面清单的符合性分析</w:t>
      </w:r>
    </w:p>
    <w:p>
      <w:pPr>
        <w:keepNext w:val="0"/>
        <w:keepLines w:val="0"/>
        <w:pageBreakBefore w:val="0"/>
        <w:widowControl w:val="0"/>
        <w:kinsoku/>
        <w:wordWrap/>
        <w:overflowPunct/>
        <w:topLinePunct w:val="0"/>
        <w:autoSpaceDE w:val="0"/>
        <w:autoSpaceDN w:val="0"/>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工程选址位于达州市宣汉县，根据《四川省人民政府关于落实生态保护红线、环境质量底线、资源利用上线，制定生态环境准入清单，实施生态环境分区管控的通知》（川府发〔2020〕9号），项目所在地属于川东北经济区，该区域总体生态环境管控要求为：①控制农村面源污染，提高污水收集处理率，加快乡镇污水处理基础设施建设。②建设流域水环境风险联防联控体系。③提高大气污染治理水平。</w:t>
      </w:r>
    </w:p>
    <w:p>
      <w:pPr>
        <w:keepNext w:val="0"/>
        <w:keepLines w:val="0"/>
        <w:pageBreakBefore w:val="0"/>
        <w:widowControl w:val="0"/>
        <w:kinsoku/>
        <w:wordWrap/>
        <w:overflowPunct/>
        <w:topLinePunct w:val="0"/>
        <w:autoSpaceDE w:val="0"/>
        <w:autoSpaceDN w:val="0"/>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本项目为天然气</w:t>
      </w:r>
      <w:r>
        <w:rPr>
          <w:rFonts w:hint="eastAsia" w:cs="Times New Roman"/>
          <w:color w:val="000000" w:themeColor="text1"/>
          <w:highlight w:val="none"/>
          <w:lang w:val="en-US" w:eastAsia="zh-CN"/>
          <w14:textFill>
            <w14:solidFill>
              <w14:schemeClr w14:val="tx1"/>
            </w14:solidFill>
          </w14:textFill>
        </w:rPr>
        <w:t>勘探</w:t>
      </w:r>
      <w:r>
        <w:rPr>
          <w:rFonts w:hint="default" w:ascii="Times New Roman" w:hAnsi="Times New Roman" w:cs="Times New Roman"/>
          <w:color w:val="000000" w:themeColor="text1"/>
          <w:szCs w:val="24"/>
          <w:highlight w:val="none"/>
          <w14:textFill>
            <w14:solidFill>
              <w14:schemeClr w14:val="tx1"/>
            </w14:solidFill>
          </w14:textFill>
        </w:rPr>
        <w:t>和试采工程，不属于《四川省人民政府关于落实生态保护红线、环境质量底线、资源利用上线，制定生态环境准入清单，实施生态环境分区管控的通知》（川府发〔2020〕9号）中所列的建材、家具、电子信息、装备制造、先进材料、食品饮料、生物医药等行业，项目施工期和试采期废水不外排，试采期水套加热炉燃烧废气经排气筒排放，放空火炬长明灯烟气通过放空火炬高空排放，污染物排放量较小。项目所在地生态环境良好，无突出环境问题，因此，项目的建设满足《四川省人民政府关于落实生态保护红线、环境质量底线、资源利用上线，制定生态环境准入清单，实施生态环境分区管控的通知》（川府发〔2020〕9号）中川东北经济区的生态环境管控要求。</w:t>
      </w:r>
    </w:p>
    <w:p>
      <w:pPr>
        <w:keepNext w:val="0"/>
        <w:keepLines w:val="0"/>
        <w:pageBreakBefore w:val="0"/>
        <w:widowControl w:val="0"/>
        <w:kinsoku/>
        <w:wordWrap/>
        <w:overflowPunct/>
        <w:topLinePunct w:val="0"/>
        <w:autoSpaceDE w:val="0"/>
        <w:autoSpaceDN w:val="0"/>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工程不涉及《四川省国家重点生态功能区产业准入负面清单（第一批）（试行）》42个市县、《四川省重点生态功能区产业准入负面清单（第二批）（试行）》15个县。因此，不属于区域环境准入负面清单行业内容。</w:t>
      </w:r>
    </w:p>
    <w:p>
      <w:pPr>
        <w:keepNext w:val="0"/>
        <w:keepLines w:val="0"/>
        <w:pageBreakBefore w:val="0"/>
        <w:widowControl w:val="0"/>
        <w:kinsoku/>
        <w:wordWrap/>
        <w:overflowPunct/>
        <w:topLinePunct w:val="0"/>
        <w:autoSpaceDE w:val="0"/>
        <w:autoSpaceDN w:val="0"/>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本项目不涉及</w:t>
      </w:r>
      <w:r>
        <w:rPr>
          <w:rFonts w:hint="default" w:ascii="Times New Roman" w:hAnsi="Times New Roman" w:cs="Times New Roman"/>
          <w:bCs/>
          <w:color w:val="000000" w:themeColor="text1"/>
          <w:szCs w:val="24"/>
          <w:highlight w:val="none"/>
          <w14:textFill>
            <w14:solidFill>
              <w14:schemeClr w14:val="tx1"/>
            </w14:solidFill>
          </w14:textFill>
        </w:rPr>
        <w:t>《四川省、重庆市长江经济带发展负面清单实施细则（试行，2022年版）》（川长江办〔2022〕17号）中限制与禁止建设的项目。</w:t>
      </w:r>
    </w:p>
    <w:p>
      <w:pPr>
        <w:keepNext w:val="0"/>
        <w:keepLines w:val="0"/>
        <w:pageBreakBefore w:val="0"/>
        <w:widowControl w:val="0"/>
        <w:kinsoku/>
        <w:wordWrap/>
        <w:overflowPunct/>
        <w:topLinePunct w:val="0"/>
        <w:autoSpaceDE w:val="0"/>
        <w:autoSpaceDN w:val="0"/>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本项目位于达州市四川省达州市</w:t>
      </w:r>
      <w:r>
        <w:rPr>
          <w:rFonts w:hint="default" w:ascii="Times New Roman" w:hAnsi="Times New Roman" w:cs="Times New Roman"/>
          <w:color w:val="000000" w:themeColor="text1"/>
          <w:highlight w:val="none"/>
          <w14:textFill>
            <w14:solidFill>
              <w14:schemeClr w14:val="tx1"/>
            </w14:solidFill>
          </w14:textFill>
        </w:rPr>
        <w:t>宣汉县普光镇北斗村</w:t>
      </w:r>
      <w:r>
        <w:rPr>
          <w:rFonts w:hint="default" w:ascii="Times New Roman" w:hAnsi="Times New Roman" w:cs="Times New Roman"/>
          <w:color w:val="000000" w:themeColor="text1"/>
          <w:szCs w:val="24"/>
          <w:highlight w:val="none"/>
          <w14:textFill>
            <w14:solidFill>
              <w14:schemeClr w14:val="tx1"/>
            </w14:solidFill>
          </w14:textFill>
        </w:rPr>
        <w:t>，查阅相关资料，项目建设区域不属于自然保护区、风景名胜区、饮用水源保护区以及生态保护红线范围等。综上，本项目的建设满足区域“三线一单”的环境管理要求。</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sz w:val="26"/>
          <w:szCs w:val="26"/>
          <w:highlight w:val="none"/>
          <w:lang w:eastAsia="zh-CN"/>
          <w14:textFill>
            <w14:solidFill>
              <w14:schemeClr w14:val="tx1"/>
            </w14:solidFill>
          </w14:textFill>
        </w:rPr>
      </w:pPr>
      <w:bookmarkStart w:id="70" w:name="_Toc2613"/>
      <w:r>
        <w:rPr>
          <w:rFonts w:hint="default" w:ascii="Times New Roman" w:hAnsi="Times New Roman" w:cs="Times New Roman"/>
          <w:color w:val="000000" w:themeColor="text1"/>
          <w:highlight w:val="none"/>
          <w:lang w:eastAsia="zh-CN"/>
          <w14:textFill>
            <w14:solidFill>
              <w14:schemeClr w14:val="tx1"/>
            </w14:solidFill>
          </w14:textFill>
        </w:rPr>
        <w:t>评价内容及时段</w:t>
      </w:r>
      <w:bookmarkEnd w:id="70"/>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1、评价内容</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（1）分析本项目建设方案与相关法律法规、环境经济技术政策、产业政策以及相关规划的协调性；</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（2）调查</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现有工程</w:t>
      </w:r>
      <w:r>
        <w:rPr>
          <w:rFonts w:hint="default" w:ascii="Times New Roman" w:hAnsi="Times New Roman" w:cs="Times New Roman"/>
          <w:bCs/>
          <w:color w:val="000000" w:themeColor="text1"/>
          <w:szCs w:val="24"/>
          <w:highlight w:val="none"/>
          <w14:textFill>
            <w14:solidFill>
              <w14:schemeClr w14:val="tx1"/>
            </w14:solidFill>
          </w14:textFill>
        </w:rPr>
        <w:t>建设现状，对污染源污染治理设施、污染物排放方式和去向进行回顾性调查，对存在的环境问题提出整改措施建议；</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（3）运用现状监测与资料收集等手段，对项目所在区域进行环境质量</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现状进行</w:t>
      </w:r>
      <w:r>
        <w:rPr>
          <w:rFonts w:hint="default" w:ascii="Times New Roman" w:hAnsi="Times New Roman" w:cs="Times New Roman"/>
          <w:bCs/>
          <w:color w:val="000000" w:themeColor="text1"/>
          <w:szCs w:val="24"/>
          <w:highlight w:val="none"/>
          <w14:textFill>
            <w14:solidFill>
              <w14:schemeClr w14:val="tx1"/>
            </w14:solidFill>
          </w14:textFill>
        </w:rPr>
        <w:t>评价；</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4）对可能会对区域内的环境空气、地表水环境、地下水环境、声环境、土壤环境、生态环境等带来的环境污染影响和环境风险影响进行全面深入的分析、预测和评价，同时结合项目选址的合理性，论证产能建设项目的环境可行性；</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（5）调查项目依托环保基础设施现状，说明污水处理设施、回注井等设施的建设地点、规模、服务范围以及运行现状，分析评价依托处置规模合理性，工艺可行性，环保设施可依托性等，论证项目的可依托性；</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（6）从天然气开发活动是否突破当地生态保护红线、环境质量底线、资源利用上线和生态环境准入清单，从环境保护角度分析建设项目区域环境的可承载性。</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bCs/>
          <w:color w:val="000000" w:themeColor="text1"/>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2、评价重点</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（1）分析本项目建设方案与相关政策、法规、规划在资源利用、环境保护要求等方面的符合性。</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调查识别区域环境敏感区和重点生态功能区等环境保护目标的分布情况及保护要求，分析资源利用和保护中存在的问题，评价区域环境质量状况，评价生态系统的组成、结构与功能状况、变化趋势和存在的主要环境问题，提出本项目建设的资源与环境制约因素。</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（3）本项目天然气试采对区域环境质量的影响，对区域生态系统完整性所造成的影响，对主要环境敏感区和重点生态功能区等环境保护目标的影响性质与程度。</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（4）分析评价区域资源与环境承载能力对本项目天然气开发的支撑状况，综合论证建设方案的环境合理性，提出项目建设方案优化调整建议。</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（5）以“三线一单”（生态保护红线、环境质量底线、资源利用上线和环境准入负面清单）为手段，强化空间、准入环境管理和总量控制。</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（6）提出预防或者减轻不良环境影响的对策和措施。</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3、评价时段</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根据《环境影响评价技术导则 陆地石油天然气开发建设项目》（</w:t>
      </w:r>
      <w:r>
        <w:rPr>
          <w:rFonts w:hint="default" w:ascii="Times New Roman" w:hAnsi="Times New Roman" w:cs="Times New Roman"/>
          <w:bCs/>
          <w:color w:val="000000" w:themeColor="text1"/>
          <w:szCs w:val="24"/>
          <w:highlight w:val="none"/>
          <w:lang w:eastAsia="zh-CN"/>
          <w14:textFill>
            <w14:solidFill>
              <w14:schemeClr w14:val="tx1"/>
            </w14:solidFill>
          </w14:textFill>
        </w:rPr>
        <w:t>HJ349-2023</w:t>
      </w:r>
      <w:r>
        <w:rPr>
          <w:rFonts w:hint="default" w:ascii="Times New Roman" w:hAnsi="Times New Roman" w:cs="Times New Roman"/>
          <w:bCs/>
          <w:color w:val="000000" w:themeColor="text1"/>
          <w:szCs w:val="24"/>
          <w:highlight w:val="none"/>
          <w14:textFill>
            <w14:solidFill>
              <w14:schemeClr w14:val="tx1"/>
            </w14:solidFill>
          </w14:textFill>
        </w:rPr>
        <w:t>）中的有关规定，</w:t>
      </w:r>
      <w:r>
        <w:rPr>
          <w:rFonts w:hint="default" w:ascii="Times New Roman" w:hAnsi="Times New Roman" w:cs="Times New Roman"/>
          <w:bCs/>
          <w:color w:val="000000" w:themeColor="text1"/>
          <w:szCs w:val="24"/>
          <w:highlight w:val="none"/>
          <w:u w:val="single"/>
          <w14:textFill>
            <w14:solidFill>
              <w14:schemeClr w14:val="tx1"/>
            </w14:solidFill>
          </w14:textFill>
        </w:rPr>
        <w:t>本次评价时段分施工期和运行期（试采期）两个时段来开展环境影响评价。</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71" w:name="_Toc14096"/>
      <w:r>
        <w:rPr>
          <w:rFonts w:hint="default" w:ascii="Times New Roman" w:hAnsi="Times New Roman" w:cs="Times New Roman"/>
          <w:color w:val="000000" w:themeColor="text1"/>
          <w:highlight w:val="none"/>
          <w:lang w:eastAsia="zh-CN"/>
          <w14:textFill>
            <w14:solidFill>
              <w14:schemeClr w14:val="tx1"/>
            </w14:solidFill>
          </w14:textFill>
        </w:rPr>
        <w:t>环境保护目标</w:t>
      </w:r>
      <w:bookmarkEnd w:id="71"/>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72" w:name="_Toc120173085"/>
      <w:r>
        <w:rPr>
          <w:rFonts w:hint="default" w:ascii="Times New Roman" w:hAnsi="Times New Roman" w:cs="Times New Roman"/>
          <w:color w:val="000000" w:themeColor="text1"/>
          <w:highlight w:val="none"/>
          <w:lang w:eastAsia="zh-CN"/>
          <w14:textFill>
            <w14:solidFill>
              <w14:schemeClr w14:val="tx1"/>
            </w14:solidFill>
          </w14:textFill>
        </w:rPr>
        <w:t>外环境关系</w:t>
      </w:r>
      <w:bookmarkEnd w:id="72"/>
    </w:p>
    <w:p>
      <w:pPr>
        <w:pageBreakBefore w:val="0"/>
        <w:tabs>
          <w:tab w:val="left" w:pos="0"/>
        </w:tabs>
        <w:kinsoku/>
        <w:wordWrap/>
        <w:overflowPunct/>
        <w:topLinePunct w:val="0"/>
        <w:autoSpaceDE/>
        <w:autoSpaceDN/>
        <w:bidi w:val="0"/>
        <w:adjustRightInd w:val="0"/>
        <w:snapToGrid w:val="0"/>
        <w:ind w:firstLine="480"/>
        <w:textAlignment w:val="auto"/>
        <w:rPr>
          <w:rFonts w:hint="eastAsia" w:ascii="宋体" w:hAnsi="宋体" w:eastAsia="宋体" w:cs="宋体"/>
          <w:b/>
          <w:bCs w:val="0"/>
          <w:color w:val="000000" w:themeColor="text1"/>
          <w:szCs w:val="24"/>
          <w:highlight w:val="none"/>
          <w14:textFill>
            <w14:solidFill>
              <w14:schemeClr w14:val="tx1"/>
            </w14:solidFill>
          </w14:textFill>
        </w:rPr>
      </w:pPr>
      <w:r>
        <w:rPr>
          <w:rFonts w:hint="eastAsia" w:ascii="宋体" w:hAnsi="宋体" w:eastAsia="宋体" w:cs="宋体"/>
          <w:b/>
          <w:bCs w:val="0"/>
          <w:color w:val="000000" w:themeColor="text1"/>
          <w:szCs w:val="24"/>
          <w:highlight w:val="none"/>
          <w14:textFill>
            <w14:solidFill>
              <w14:schemeClr w14:val="tx1"/>
            </w14:solidFill>
          </w14:textFill>
        </w:rPr>
        <w:t>1、井场外环境简况</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本工程选址位于</w:t>
      </w:r>
      <w:r>
        <w:rPr>
          <w:rFonts w:hint="default" w:ascii="Times New Roman" w:hAnsi="Times New Roman" w:cs="Times New Roman"/>
          <w:color w:val="000000" w:themeColor="text1"/>
          <w:szCs w:val="24"/>
          <w:highlight w:val="none"/>
          <w14:textFill>
            <w14:solidFill>
              <w14:schemeClr w14:val="tx1"/>
            </w14:solidFill>
          </w14:textFill>
        </w:rPr>
        <w:t>四川省达州市宣汉县普光镇北斗村</w:t>
      </w:r>
      <w:r>
        <w:rPr>
          <w:rFonts w:hint="default" w:ascii="Times New Roman" w:hAnsi="Times New Roman" w:cs="Times New Roman"/>
          <w:bCs/>
          <w:color w:val="000000" w:themeColor="text1"/>
          <w:szCs w:val="24"/>
          <w:highlight w:val="none"/>
          <w14:textFill>
            <w14:solidFill>
              <w14:schemeClr w14:val="tx1"/>
            </w14:solidFill>
          </w14:textFill>
        </w:rPr>
        <w:t>，属丘陵地形，地势较为陡峭，区域北高南低，西高东低，项目西北部约1.6</w:t>
      </w:r>
      <w:r>
        <w:rPr>
          <w:rFonts w:hint="eastAsia" w:cs="Times New Roman"/>
          <w:bCs/>
          <w:color w:val="000000" w:themeColor="text1"/>
          <w:szCs w:val="24"/>
          <w:highlight w:val="none"/>
          <w:lang w:val="en-US" w:eastAsia="zh-CN"/>
          <w14:textFill>
            <w14:solidFill>
              <w14:schemeClr w14:val="tx1"/>
            </w14:solidFill>
          </w14:textFill>
        </w:rPr>
        <w:t>8</w:t>
      </w:r>
      <w:r>
        <w:rPr>
          <w:rFonts w:hint="default" w:ascii="Times New Roman" w:hAnsi="Times New Roman" w:cs="Times New Roman"/>
          <w:bCs/>
          <w:color w:val="000000" w:themeColor="text1"/>
          <w:szCs w:val="24"/>
          <w:highlight w:val="none"/>
          <w14:textFill>
            <w14:solidFill>
              <w14:schemeClr w14:val="tx1"/>
            </w14:solidFill>
          </w14:textFill>
        </w:rPr>
        <w:t>km处为中河。项目区属于农村生态环境，耕地种植有季节性蔬菜、番薯等农作物，井口周边300m范围内无农户分布，具体分布情况见2.9.2小结。</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项目所在地道路较发达，大多为水泥路，周边铺设了电网。项目位于普光镇南侧，距离普光镇场镇约4.45km。该项目外环境关系情况见附图2。</w:t>
      </w:r>
    </w:p>
    <w:p>
      <w:pPr>
        <w:pageBreakBefore w:val="0"/>
        <w:tabs>
          <w:tab w:val="left" w:pos="0"/>
        </w:tabs>
        <w:kinsoku/>
        <w:wordWrap/>
        <w:overflowPunct/>
        <w:topLinePunct w:val="0"/>
        <w:autoSpaceDE/>
        <w:autoSpaceDN/>
        <w:bidi w:val="0"/>
        <w:adjustRightInd w:val="0"/>
        <w:snapToGrid w:val="0"/>
        <w:ind w:firstLine="480"/>
        <w:textAlignment w:val="auto"/>
        <w:rPr>
          <w:rFonts w:hint="default" w:ascii="宋体" w:hAnsi="宋体" w:eastAsia="宋体" w:cs="宋体"/>
          <w:b/>
          <w:bCs w:val="0"/>
          <w:color w:val="000000" w:themeColor="text1"/>
          <w:szCs w:val="24"/>
          <w:highlight w:val="none"/>
          <w14:textFill>
            <w14:solidFill>
              <w14:schemeClr w14:val="tx1"/>
            </w14:solidFill>
          </w14:textFill>
        </w:rPr>
      </w:pPr>
      <w:r>
        <w:rPr>
          <w:rFonts w:hint="default" w:ascii="宋体" w:hAnsi="宋体" w:eastAsia="宋体" w:cs="宋体"/>
          <w:b/>
          <w:bCs w:val="0"/>
          <w:color w:val="000000" w:themeColor="text1"/>
          <w:szCs w:val="24"/>
          <w:highlight w:val="none"/>
          <w14:textFill>
            <w14:solidFill>
              <w14:schemeClr w14:val="tx1"/>
            </w14:solidFill>
          </w14:textFill>
        </w:rPr>
        <w:t>2、井场周边人居及地下水现状</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根据现场调查，本项目位于</w:t>
      </w:r>
      <w:r>
        <w:rPr>
          <w:rFonts w:hint="default" w:ascii="Times New Roman" w:hAnsi="Times New Roman" w:cs="Times New Roman"/>
          <w:color w:val="000000" w:themeColor="text1"/>
          <w:highlight w:val="none"/>
          <w14:textFill>
            <w14:solidFill>
              <w14:schemeClr w14:val="tx1"/>
            </w14:solidFill>
          </w14:textFill>
        </w:rPr>
        <w:t>宣汉县普光镇北斗村</w:t>
      </w:r>
      <w:r>
        <w:rPr>
          <w:rFonts w:hint="default" w:ascii="Times New Roman" w:hAnsi="Times New Roman" w:cs="Times New Roman"/>
          <w:bCs/>
          <w:color w:val="000000" w:themeColor="text1"/>
          <w:szCs w:val="24"/>
          <w:highlight w:val="none"/>
          <w14:textFill>
            <w14:solidFill>
              <w14:schemeClr w14:val="tx1"/>
            </w14:solidFill>
          </w14:textFill>
        </w:rPr>
        <w:t>，井口方圆500m区域属中低山斜坡地形，周边生态环境属农村环境，井场海拔高程约800m之间，区域地下水资源较为匮乏，土地类型主要为林地与耕地，降雨补给地下水较多。井场中心（以井口为中心）方圆0m～300m范围无居民分布，井场中心（以井口为中心）300m～井场外500m范围约21户居民分布；井场外500m范围内共计21户居民分布。</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项目区域内地下水类型</w:t>
      </w:r>
      <w:r>
        <w:rPr>
          <w:rFonts w:hint="default" w:ascii="Times New Roman" w:hAnsi="Times New Roman" w:cs="Times New Roman"/>
          <w:color w:val="000000" w:themeColor="text1"/>
          <w:szCs w:val="24"/>
          <w:highlight w:val="none"/>
          <w14:textFill>
            <w14:solidFill>
              <w14:schemeClr w14:val="tx1"/>
            </w14:solidFill>
          </w14:textFill>
        </w:rPr>
        <w:t>以基岩裂隙水与碎屑岩类裂隙水为主</w:t>
      </w:r>
      <w:r>
        <w:rPr>
          <w:rFonts w:hint="default" w:ascii="Times New Roman" w:hAnsi="Times New Roman" w:cs="Times New Roman"/>
          <w:bCs/>
          <w:color w:val="000000" w:themeColor="text1"/>
          <w:szCs w:val="24"/>
          <w:highlight w:val="none"/>
          <w14:textFill>
            <w14:solidFill>
              <w14:schemeClr w14:val="tx1"/>
            </w14:solidFill>
          </w14:textFill>
        </w:rPr>
        <w:t>。根据外环境调查，井场附近居民</w:t>
      </w:r>
      <w:r>
        <w:rPr>
          <w:rFonts w:hint="eastAsia"/>
          <w:color w:val="000000" w:themeColor="text1"/>
          <w:highlight w:val="none"/>
          <w:lang w:val="en-US" w:eastAsia="zh-CN"/>
          <w14:textFill>
            <w14:solidFill>
              <w14:schemeClr w14:val="tx1"/>
            </w14:solidFill>
          </w14:textFill>
        </w:rPr>
        <w:t>大部分使用自来水，少量居民使用山泉水</w:t>
      </w:r>
      <w:r>
        <w:rPr>
          <w:rFonts w:hint="default" w:ascii="Times New Roman" w:hAnsi="Times New Roman" w:cs="Times New Roman"/>
          <w:color w:val="000000" w:themeColor="text1"/>
          <w:szCs w:val="21"/>
          <w:highlight w:val="none"/>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地下水评价范围内约有10处泉井，其中</w:t>
      </w:r>
      <w:r>
        <w:rPr>
          <w:rFonts w:hint="eastAsia" w:cs="Times New Roman"/>
          <w:bCs/>
          <w:color w:val="000000" w:themeColor="text1"/>
          <w:szCs w:val="24"/>
          <w:highlight w:val="none"/>
          <w:lang w:val="en-US" w:eastAsia="zh-CN"/>
          <w14:textFill>
            <w14:solidFill>
              <w14:schemeClr w14:val="tx1"/>
            </w14:solidFill>
          </w14:textFill>
        </w:rPr>
        <w:t>还</w:t>
      </w:r>
      <w:r>
        <w:rPr>
          <w:rFonts w:hint="default" w:ascii="Times New Roman" w:hAnsi="Times New Roman" w:cs="Times New Roman"/>
          <w:bCs/>
          <w:color w:val="000000" w:themeColor="text1"/>
          <w:szCs w:val="24"/>
          <w:highlight w:val="none"/>
          <w14:textFill>
            <w14:solidFill>
              <w14:schemeClr w14:val="tx1"/>
            </w14:solidFill>
          </w14:textFill>
        </w:rPr>
        <w:t>作为饮用功能的井泉约3处。</w:t>
      </w:r>
    </w:p>
    <w:p>
      <w:pPr>
        <w:pageBreakBefore w:val="0"/>
        <w:tabs>
          <w:tab w:val="left" w:pos="0"/>
        </w:tabs>
        <w:kinsoku/>
        <w:wordWrap/>
        <w:overflowPunct/>
        <w:topLinePunct w:val="0"/>
        <w:autoSpaceDE/>
        <w:autoSpaceDN/>
        <w:bidi w:val="0"/>
        <w:adjustRightInd w:val="0"/>
        <w:snapToGrid w:val="0"/>
        <w:ind w:firstLine="480"/>
        <w:textAlignment w:val="auto"/>
        <w:rPr>
          <w:rFonts w:hint="default" w:ascii="宋体" w:hAnsi="宋体" w:eastAsia="宋体" w:cs="宋体"/>
          <w:b/>
          <w:bCs w:val="0"/>
          <w:color w:val="000000" w:themeColor="text1"/>
          <w:szCs w:val="24"/>
          <w:highlight w:val="none"/>
          <w14:textFill>
            <w14:solidFill>
              <w14:schemeClr w14:val="tx1"/>
            </w14:solidFill>
          </w14:textFill>
        </w:rPr>
      </w:pPr>
      <w:r>
        <w:rPr>
          <w:rFonts w:hint="default" w:ascii="宋体" w:hAnsi="宋体" w:eastAsia="宋体" w:cs="宋体"/>
          <w:b/>
          <w:bCs w:val="0"/>
          <w:color w:val="000000" w:themeColor="text1"/>
          <w:szCs w:val="24"/>
          <w:highlight w:val="none"/>
          <w14:textFill>
            <w14:solidFill>
              <w14:schemeClr w14:val="tx1"/>
            </w14:solidFill>
          </w14:textFill>
        </w:rPr>
        <w:t>3、井场周边植被及地表水现状</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井场所在地及周边地貌主要为林地、耕地，中低山等较陡地段地表一般为植被覆盖，包括乔木、灌木，主要有麻栎、青冈、栓皮栎、枫香、响叶杨、马尾松、杉木、柏木为主的针叶林植被等林地等，耕地主要种植</w:t>
      </w:r>
      <w:r>
        <w:rPr>
          <w:rFonts w:hint="default" w:ascii="Times New Roman" w:hAnsi="Times New Roman" w:cs="Times New Roman"/>
          <w:color w:val="000000" w:themeColor="text1"/>
          <w:highlight w:val="none"/>
          <w14:textFill>
            <w14:solidFill>
              <w14:schemeClr w14:val="tx1"/>
            </w14:solidFill>
          </w14:textFill>
        </w:rPr>
        <w:t>玉米、红苕、棉花、花生、小麦、马铃薯、豌豆</w:t>
      </w:r>
      <w:r>
        <w:rPr>
          <w:rFonts w:hint="default" w:ascii="Times New Roman" w:hAnsi="Times New Roman" w:cs="Times New Roman"/>
          <w:bCs/>
          <w:color w:val="000000" w:themeColor="text1"/>
          <w:szCs w:val="24"/>
          <w:highlight w:val="none"/>
          <w14:textFill>
            <w14:solidFill>
              <w14:schemeClr w14:val="tx1"/>
            </w14:solidFill>
          </w14:textFill>
        </w:rPr>
        <w:t>等。项目周边外环境无珍稀动植物。</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w:t>
      </w:r>
      <w:r>
        <w:rPr>
          <w:rFonts w:hint="default" w:ascii="Times New Roman" w:hAnsi="Times New Roman" w:cs="Times New Roman"/>
          <w:bCs/>
          <w:color w:val="000000" w:themeColor="text1"/>
          <w:szCs w:val="24"/>
          <w:highlight w:val="none"/>
          <w:lang w:eastAsia="zh-CN"/>
          <w14:textFill>
            <w14:solidFill>
              <w14:schemeClr w14:val="tx1"/>
            </w14:solidFill>
          </w14:textFill>
        </w:rPr>
        <w:t>现场勘查</w:t>
      </w:r>
      <w:r>
        <w:rPr>
          <w:rFonts w:hint="default" w:ascii="Times New Roman" w:hAnsi="Times New Roman" w:cs="Times New Roman"/>
          <w:bCs/>
          <w:color w:val="000000" w:themeColor="text1"/>
          <w:szCs w:val="24"/>
          <w:highlight w:val="none"/>
          <w14:textFill>
            <w14:solidFill>
              <w14:schemeClr w14:val="tx1"/>
            </w14:solidFill>
          </w14:textFill>
        </w:rPr>
        <w:t>，本项目最近的河流为场区西北侧1.68km处中河，项目所在河段中河的主要水体功能为灌溉和行洪，南侧800m处为冲沟，冲沟自西向东汇入中河支流，最终汇入中河。</w:t>
      </w:r>
    </w:p>
    <w:p>
      <w:pPr>
        <w:pageBreakBefore w:val="0"/>
        <w:tabs>
          <w:tab w:val="left" w:pos="0"/>
        </w:tabs>
        <w:kinsoku/>
        <w:wordWrap/>
        <w:overflowPunct/>
        <w:topLinePunct w:val="0"/>
        <w:autoSpaceDE/>
        <w:autoSpaceDN/>
        <w:bidi w:val="0"/>
        <w:adjustRightInd w:val="0"/>
        <w:snapToGrid w:val="0"/>
        <w:ind w:firstLine="480"/>
        <w:textAlignment w:val="auto"/>
        <w:rPr>
          <w:rFonts w:hint="default" w:ascii="宋体" w:hAnsi="宋体" w:eastAsia="宋体" w:cs="宋体"/>
          <w:b/>
          <w:bCs w:val="0"/>
          <w:color w:val="000000" w:themeColor="text1"/>
          <w:szCs w:val="24"/>
          <w:highlight w:val="none"/>
          <w14:textFill>
            <w14:solidFill>
              <w14:schemeClr w14:val="tx1"/>
            </w14:solidFill>
          </w14:textFill>
        </w:rPr>
      </w:pPr>
      <w:r>
        <w:rPr>
          <w:rFonts w:hint="default" w:ascii="宋体" w:hAnsi="宋体" w:eastAsia="宋体" w:cs="宋体"/>
          <w:b/>
          <w:bCs w:val="0"/>
          <w:color w:val="000000" w:themeColor="text1"/>
          <w:szCs w:val="24"/>
          <w:highlight w:val="none"/>
          <w14:textFill>
            <w14:solidFill>
              <w14:schemeClr w14:val="tx1"/>
            </w14:solidFill>
          </w14:textFill>
        </w:rPr>
        <w:t>4、放喷池及放空区外环境简况</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本项目利旧的放喷池分别位于井场东</w:t>
      </w:r>
      <w:r>
        <w:rPr>
          <w:rFonts w:hint="eastAsia" w:cs="Times New Roman"/>
          <w:bCs/>
          <w:color w:val="000000" w:themeColor="text1"/>
          <w:szCs w:val="24"/>
          <w:highlight w:val="none"/>
          <w:lang w:val="en-US" w:eastAsia="zh-CN"/>
          <w14:textFill>
            <w14:solidFill>
              <w14:schemeClr w14:val="tx1"/>
            </w14:solidFill>
          </w14:textFill>
        </w:rPr>
        <w:t>北</w:t>
      </w:r>
      <w:r>
        <w:rPr>
          <w:rFonts w:hint="default" w:ascii="Times New Roman" w:hAnsi="Times New Roman" w:cs="Times New Roman"/>
          <w:bCs/>
          <w:color w:val="000000" w:themeColor="text1"/>
          <w:szCs w:val="24"/>
          <w:highlight w:val="none"/>
          <w14:textFill>
            <w14:solidFill>
              <w14:schemeClr w14:val="tx1"/>
            </w14:solidFill>
          </w14:textFill>
        </w:rPr>
        <w:t>侧约105m处及东南侧124m处。根据现场调查，放喷池周围50m范围内无民房等各类设施。放喷池四周主要以荒草地、耕地为主，放喷池在三</w:t>
      </w:r>
      <w:r>
        <w:rPr>
          <w:rFonts w:hint="default" w:ascii="Times New Roman" w:hAnsi="Times New Roman" w:cs="Times New Roman"/>
          <w:bCs/>
          <w:color w:val="000000" w:themeColor="text1"/>
          <w:szCs w:val="24"/>
          <w:highlight w:val="none"/>
          <w:lang w:eastAsia="zh-CN"/>
          <w14:textFill>
            <w14:solidFill>
              <w14:schemeClr w14:val="tx1"/>
            </w14:solidFill>
          </w14:textFill>
        </w:rPr>
        <w:t>面</w:t>
      </w:r>
      <w:r>
        <w:rPr>
          <w:rFonts w:hint="default" w:ascii="Times New Roman" w:hAnsi="Times New Roman" w:cs="Times New Roman"/>
          <w:bCs/>
          <w:color w:val="000000" w:themeColor="text1"/>
          <w:szCs w:val="24"/>
          <w:highlight w:val="none"/>
          <w14:textFill>
            <w14:solidFill>
              <w14:schemeClr w14:val="tx1"/>
            </w14:solidFill>
          </w14:textFill>
        </w:rPr>
        <w:t>均将设置挡火墙，</w:t>
      </w:r>
      <w:r>
        <w:rPr>
          <w:rFonts w:hint="default" w:ascii="Times New Roman" w:hAnsi="Times New Roman" w:cs="Times New Roman"/>
          <w:bCs/>
          <w:color w:val="000000" w:themeColor="text1"/>
          <w:highlight w:val="none"/>
          <w14:textFill>
            <w14:solidFill>
              <w14:schemeClr w14:val="tx1"/>
            </w14:solidFill>
          </w14:textFill>
        </w:rPr>
        <w:t>仅在西侧设置入口；</w:t>
      </w:r>
      <w:r>
        <w:rPr>
          <w:rFonts w:hint="default" w:ascii="Times New Roman" w:hAnsi="Times New Roman" w:cs="Times New Roman"/>
          <w:bCs/>
          <w:color w:val="000000" w:themeColor="text1"/>
          <w:szCs w:val="24"/>
          <w:highlight w:val="none"/>
          <w14:textFill>
            <w14:solidFill>
              <w14:schemeClr w14:val="tx1"/>
            </w14:solidFill>
          </w14:textFill>
        </w:rPr>
        <w:t>在放喷时临时清理树林和放喷池之间的易燃物，加强监管，树林距离是满足放喷池防火要求的。周边无珍稀动植物和环境敏感目标。其选址是符合相关规范要求的。</w:t>
      </w:r>
    </w:p>
    <w:p>
      <w:pPr>
        <w:pageBreakBefore w:val="0"/>
        <w:tabs>
          <w:tab w:val="left" w:pos="0"/>
        </w:tabs>
        <w:kinsoku/>
        <w:wordWrap/>
        <w:overflowPunct/>
        <w:topLinePunct w:val="0"/>
        <w:autoSpaceDE/>
        <w:autoSpaceDN/>
        <w:bidi w:val="0"/>
        <w:adjustRightInd w:val="0"/>
        <w:snapToGrid w:val="0"/>
        <w:ind w:firstLine="480"/>
        <w:textAlignment w:val="auto"/>
        <w:rPr>
          <w:rFonts w:hint="default" w:ascii="宋体" w:hAnsi="宋体" w:eastAsia="宋体" w:cs="宋体"/>
          <w:b/>
          <w:bCs w:val="0"/>
          <w:color w:val="000000" w:themeColor="text1"/>
          <w:szCs w:val="24"/>
          <w:highlight w:val="none"/>
          <w14:textFill>
            <w14:solidFill>
              <w14:schemeClr w14:val="tx1"/>
            </w14:solidFill>
          </w14:textFill>
        </w:rPr>
      </w:pPr>
      <w:r>
        <w:rPr>
          <w:rFonts w:hint="default" w:ascii="宋体" w:hAnsi="宋体" w:eastAsia="宋体" w:cs="宋体"/>
          <w:b/>
          <w:bCs w:val="0"/>
          <w:color w:val="000000" w:themeColor="text1"/>
          <w:szCs w:val="24"/>
          <w:highlight w:val="none"/>
          <w14:textFill>
            <w14:solidFill>
              <w14:schemeClr w14:val="tx1"/>
            </w14:solidFill>
          </w14:textFill>
        </w:rPr>
        <w:t>5、井场道路周边外环境简况</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本项目利旧进场道路，位于井场西侧，长度约160m，</w:t>
      </w:r>
      <w:r>
        <w:rPr>
          <w:rFonts w:hint="default" w:ascii="Times New Roman" w:hAnsi="Times New Roman" w:cs="Times New Roman"/>
          <w:bCs/>
          <w:color w:val="000000" w:themeColor="text1"/>
          <w:highlight w:val="none"/>
          <w14:textFill>
            <w14:solidFill>
              <w14:schemeClr w14:val="tx1"/>
            </w14:solidFill>
          </w14:textFill>
        </w:rPr>
        <w:t>周边均无珍稀动植物和保护区分布。</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pPr>
      <w:r>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t>2.9.2主要环境保护目标</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位于四川省达州市宣汉县普光镇北斗村，井口周围300m范围内无居民分布。项目拟建地不涉及自然保护区等环境敏感区域，根据前文介绍的外环境关系，本项目外环境关系简单，无环境制约因素，项目与外环境相容。</w:t>
      </w:r>
    </w:p>
    <w:p>
      <w:pPr>
        <w:pageBreakBefore w:val="0"/>
        <w:tabs>
          <w:tab w:val="left" w:pos="0"/>
        </w:tabs>
        <w:kinsoku/>
        <w:wordWrap/>
        <w:overflowPunct/>
        <w:topLinePunct w:val="0"/>
        <w:autoSpaceDE/>
        <w:autoSpaceDN/>
        <w:bidi w:val="0"/>
        <w:adjustRightInd w:val="0"/>
        <w:snapToGrid w:val="0"/>
        <w:ind w:firstLine="480"/>
        <w:textAlignment w:val="auto"/>
        <w:rPr>
          <w:rFonts w:hint="default" w:ascii="宋体" w:hAnsi="宋体" w:eastAsia="宋体" w:cs="宋体"/>
          <w:b/>
          <w:bCs w:val="0"/>
          <w:color w:val="000000" w:themeColor="text1"/>
          <w:szCs w:val="24"/>
          <w:highlight w:val="none"/>
          <w14:textFill>
            <w14:solidFill>
              <w14:schemeClr w14:val="tx1"/>
            </w14:solidFill>
          </w14:textFill>
        </w:rPr>
      </w:pPr>
      <w:bookmarkStart w:id="73" w:name="_Toc140496886"/>
      <w:r>
        <w:rPr>
          <w:rFonts w:hint="eastAsia" w:ascii="宋体" w:hAnsi="宋体" w:eastAsia="宋体" w:cs="宋体"/>
          <w:b/>
          <w:bCs w:val="0"/>
          <w:color w:val="000000" w:themeColor="text1"/>
          <w:szCs w:val="24"/>
          <w:highlight w:val="none"/>
          <w:lang w:val="en-US" w:eastAsia="zh-CN"/>
          <w14:textFill>
            <w14:solidFill>
              <w14:schemeClr w14:val="tx1"/>
            </w14:solidFill>
          </w14:textFill>
        </w:rPr>
        <w:t>1、</w:t>
      </w:r>
      <w:r>
        <w:rPr>
          <w:rFonts w:hint="default" w:ascii="宋体" w:hAnsi="宋体" w:eastAsia="宋体" w:cs="宋体"/>
          <w:b/>
          <w:bCs w:val="0"/>
          <w:color w:val="000000" w:themeColor="text1"/>
          <w:szCs w:val="24"/>
          <w:highlight w:val="none"/>
          <w14:textFill>
            <w14:solidFill>
              <w14:schemeClr w14:val="tx1"/>
            </w14:solidFill>
          </w14:textFill>
        </w:rPr>
        <w:t xml:space="preserve"> 生态环境保护目标</w:t>
      </w:r>
      <w:bookmarkEnd w:id="73"/>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本项目所在地以耕地、林地为主，评价范围内不涉及自然保护区、风景名胜区、湿地公园、集中式饮用水源保护区、生态保护红线等特殊或重要生态敏感区</w:t>
      </w:r>
      <w:r>
        <w:rPr>
          <w:rFonts w:hint="eastAsia" w:ascii="Times New Roman" w:hAnsi="Times New Roman" w:cs="Times New Roman"/>
          <w:bCs/>
          <w:color w:val="000000" w:themeColor="text1"/>
          <w:highlight w:val="none"/>
          <w:lang w:eastAsia="zh-CN"/>
          <w14:textFill>
            <w14:solidFill>
              <w14:schemeClr w14:val="tx1"/>
            </w14:solidFill>
          </w14:textFill>
        </w:rPr>
        <w:t>，</w:t>
      </w:r>
      <w:r>
        <w:rPr>
          <w:rFonts w:hint="eastAsia" w:ascii="Times New Roman" w:hAnsi="Times New Roman" w:cs="Times New Roman"/>
          <w:bCs/>
          <w:color w:val="000000" w:themeColor="text1"/>
          <w:highlight w:val="none"/>
          <w:lang w:val="en-US" w:eastAsia="zh-CN"/>
          <w14:textFill>
            <w14:solidFill>
              <w14:schemeClr w14:val="tx1"/>
            </w14:solidFill>
          </w14:textFill>
        </w:rPr>
        <w:t>也无天然林分布</w:t>
      </w:r>
      <w:r>
        <w:rPr>
          <w:rFonts w:hint="default" w:ascii="Times New Roman" w:hAnsi="Times New Roman" w:cs="Times New Roman"/>
          <w:bCs/>
          <w:color w:val="000000" w:themeColor="text1"/>
          <w:highlight w:val="none"/>
          <w14:textFill>
            <w14:solidFill>
              <w14:schemeClr w14:val="tx1"/>
            </w14:solidFill>
          </w14:textFill>
        </w:rPr>
        <w:t>。故本次评价的主要生态环境保护目标为项目周边的耕地、植被（主要是农作物与林地）、动物、永久基本农田</w:t>
      </w:r>
      <w:r>
        <w:rPr>
          <w:rFonts w:hint="eastAsia" w:ascii="Times New Roman" w:hAnsi="Times New Roman" w:cs="Times New Roman"/>
          <w:bCs/>
          <w:color w:val="000000" w:themeColor="text1"/>
          <w:highlight w:val="none"/>
          <w:lang w:val="en-US" w:eastAsia="zh-CN"/>
          <w14:textFill>
            <w14:solidFill>
              <w14:schemeClr w14:val="tx1"/>
            </w14:solidFill>
          </w14:textFill>
        </w:rPr>
        <w:t>及</w:t>
      </w:r>
      <w:r>
        <w:rPr>
          <w:rFonts w:hint="default" w:ascii="Times New Roman" w:hAnsi="Times New Roman" w:cs="Times New Roman"/>
          <w:color w:val="000000" w:themeColor="text1"/>
          <w:szCs w:val="21"/>
          <w:highlight w:val="none"/>
          <w14:textFill>
            <w14:solidFill>
              <w14:schemeClr w14:val="tx1"/>
            </w14:solidFill>
          </w14:textFill>
        </w:rPr>
        <w:t>公益林分布</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主要分布于场地西侧约102m</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bCs/>
          <w:color w:val="000000" w:themeColor="text1"/>
          <w:highlight w:val="none"/>
          <w14:textFill>
            <w14:solidFill>
              <w14:schemeClr w14:val="tx1"/>
            </w14:solidFill>
          </w14:textFill>
        </w:rPr>
        <w:t>等。</w:t>
      </w:r>
    </w:p>
    <w:p>
      <w:pPr>
        <w:pageBreakBefore w:val="0"/>
        <w:tabs>
          <w:tab w:val="left" w:pos="0"/>
        </w:tabs>
        <w:kinsoku/>
        <w:wordWrap/>
        <w:overflowPunct/>
        <w:topLinePunct w:val="0"/>
        <w:autoSpaceDE/>
        <w:autoSpaceDN/>
        <w:bidi w:val="0"/>
        <w:adjustRightInd w:val="0"/>
        <w:snapToGrid w:val="0"/>
        <w:ind w:firstLine="480"/>
        <w:textAlignment w:val="auto"/>
        <w:rPr>
          <w:rFonts w:hint="default" w:ascii="宋体" w:hAnsi="宋体" w:eastAsia="宋体" w:cs="宋体"/>
          <w:b/>
          <w:bCs w:val="0"/>
          <w:color w:val="000000" w:themeColor="text1"/>
          <w:szCs w:val="24"/>
          <w:highlight w:val="none"/>
          <w:lang w:val="en-US" w:eastAsia="zh-CN"/>
          <w14:textFill>
            <w14:solidFill>
              <w14:schemeClr w14:val="tx1"/>
            </w14:solidFill>
          </w14:textFill>
        </w:rPr>
      </w:pPr>
      <w:r>
        <w:rPr>
          <w:rFonts w:hint="eastAsia" w:ascii="宋体" w:hAnsi="宋体" w:eastAsia="宋体" w:cs="宋体"/>
          <w:b/>
          <w:bCs w:val="0"/>
          <w:color w:val="000000" w:themeColor="text1"/>
          <w:szCs w:val="24"/>
          <w:highlight w:val="none"/>
          <w:lang w:val="en-US" w:eastAsia="zh-CN"/>
          <w14:textFill>
            <w14:solidFill>
              <w14:schemeClr w14:val="tx1"/>
            </w14:solidFill>
          </w14:textFill>
        </w:rPr>
        <w:t>2、</w:t>
      </w:r>
      <w:r>
        <w:rPr>
          <w:rFonts w:hint="default" w:ascii="宋体" w:hAnsi="宋体" w:eastAsia="宋体" w:cs="宋体"/>
          <w:b/>
          <w:bCs w:val="0"/>
          <w:color w:val="000000" w:themeColor="text1"/>
          <w:szCs w:val="24"/>
          <w:highlight w:val="none"/>
          <w:lang w:val="en-US" w:eastAsia="zh-CN"/>
          <w14:textFill>
            <w14:solidFill>
              <w14:schemeClr w14:val="tx1"/>
            </w14:solidFill>
          </w14:textFill>
        </w:rPr>
        <w:t xml:space="preserve"> 地表水环境保护目标</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根据调查，本项目井场地表水评价范围内无集中式饮用水水源保护区、饮用水取水口涉水的自然保护区、风景名胜区、重要湿地、重点保护与珍稀水生生物的栖息地、重要水生生物的自然产卵场及索饵场、越冬场和洄游通道天然渔场等渔业水体以及水产种质资源保护区等。距离本项目最近的集中式饮用水水源地为宣汉县普光镇千河沟徐家梁（村级）集中式饮用水水源地（河流型），距离本项目约3.2km（本项目南侧），中间山丘，不在同一个地表水径流单元，不属于本项目地表水环境保护目标。</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本项目最近的河流为场区西北侧1.68km处中河</w:t>
      </w:r>
      <w:r>
        <w:rPr>
          <w:rFonts w:hint="default" w:ascii="Times New Roman" w:hAnsi="Times New Roman" w:cs="Times New Roman"/>
          <w:bCs/>
          <w:color w:val="000000" w:themeColor="text1"/>
          <w:highlight w:val="none"/>
          <w14:textFill>
            <w14:solidFill>
              <w14:schemeClr w14:val="tx1"/>
            </w14:solidFill>
          </w14:textFill>
        </w:rPr>
        <w:t>。项目周边地表水体分布及敏感性见表2.9-1。</w:t>
      </w:r>
    </w:p>
    <w:p>
      <w:pPr>
        <w:pStyle w:val="21"/>
        <w:keepNext w:val="0"/>
        <w:keepLines w:val="0"/>
        <w:pageBreakBefore w:val="0"/>
        <w:widowControl/>
        <w:tabs>
          <w:tab w:val="left" w:pos="3864"/>
        </w:tabs>
        <w:kinsoku/>
        <w:wordWrap/>
        <w:overflowPunct/>
        <w:topLinePunct w:val="0"/>
        <w:autoSpaceDE/>
        <w:autoSpaceDN/>
        <w:bidi w:val="0"/>
        <w:adjustRightInd w:val="0"/>
        <w:snapToGrid w:val="0"/>
        <w:spacing w:before="0" w:line="240" w:lineRule="auto"/>
        <w:ind w:left="0" w:firstLine="420"/>
        <w:jc w:val="center"/>
        <w:textAlignment w:val="auto"/>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p>
    <w:p>
      <w:pPr>
        <w:pStyle w:val="21"/>
        <w:keepNext w:val="0"/>
        <w:keepLines w:val="0"/>
        <w:pageBreakBefore w:val="0"/>
        <w:widowControl/>
        <w:tabs>
          <w:tab w:val="left" w:pos="3864"/>
        </w:tabs>
        <w:kinsoku/>
        <w:wordWrap/>
        <w:overflowPunct/>
        <w:topLinePunct w:val="0"/>
        <w:autoSpaceDE/>
        <w:autoSpaceDN/>
        <w:bidi w:val="0"/>
        <w:adjustRightInd w:val="0"/>
        <w:snapToGrid w:val="0"/>
        <w:spacing w:before="0" w:line="240" w:lineRule="auto"/>
        <w:ind w:left="0" w:firstLine="420"/>
        <w:jc w:val="center"/>
        <w:textAlignment w:val="auto"/>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表2.9-1  本项目地表水环境保护目标及环境敏感特性一览表</w:t>
      </w:r>
    </w:p>
    <w:tbl>
      <w:tblPr>
        <w:tblStyle w:val="52"/>
        <w:tblW w:w="49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26"/>
        <w:gridCol w:w="2972"/>
        <w:gridCol w:w="3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22"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eastAsia="黑体"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t>名称</w:t>
            </w:r>
          </w:p>
        </w:tc>
        <w:tc>
          <w:tcPr>
            <w:tcW w:w="2965"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eastAsia="黑体"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t>位置（m）</w:t>
            </w:r>
          </w:p>
        </w:tc>
        <w:tc>
          <w:tcPr>
            <w:tcW w:w="3953"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eastAsia="黑体"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t>环境敏感特性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22"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中河</w:t>
            </w:r>
          </w:p>
        </w:tc>
        <w:tc>
          <w:tcPr>
            <w:tcW w:w="2965"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位于场区西北侧1.68km处</w:t>
            </w:r>
          </w:p>
        </w:tc>
        <w:tc>
          <w:tcPr>
            <w:tcW w:w="3953"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项目所在河段为Ⅲ类水域，主要功能为灌溉和行洪</w:t>
            </w:r>
          </w:p>
        </w:tc>
      </w:tr>
    </w:tbl>
    <w:p>
      <w:pPr>
        <w:pStyle w:val="21"/>
        <w:tabs>
          <w:tab w:val="left" w:pos="3864"/>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p>
    <w:p>
      <w:pPr>
        <w:pageBreakBefore w:val="0"/>
        <w:tabs>
          <w:tab w:val="left" w:pos="0"/>
        </w:tabs>
        <w:kinsoku/>
        <w:wordWrap/>
        <w:overflowPunct/>
        <w:topLinePunct w:val="0"/>
        <w:autoSpaceDE/>
        <w:autoSpaceDN/>
        <w:bidi w:val="0"/>
        <w:adjustRightInd w:val="0"/>
        <w:snapToGrid w:val="0"/>
        <w:ind w:firstLine="480"/>
        <w:textAlignment w:val="auto"/>
        <w:rPr>
          <w:rFonts w:hint="default" w:ascii="宋体" w:hAnsi="宋体" w:eastAsia="宋体" w:cs="宋体"/>
          <w:b/>
          <w:bCs w:val="0"/>
          <w:color w:val="000000" w:themeColor="text1"/>
          <w:szCs w:val="24"/>
          <w:highlight w:val="none"/>
          <w:lang w:val="en-US" w:eastAsia="zh-CN"/>
          <w14:textFill>
            <w14:solidFill>
              <w14:schemeClr w14:val="tx1"/>
            </w14:solidFill>
          </w14:textFill>
        </w:rPr>
      </w:pPr>
      <w:r>
        <w:rPr>
          <w:rFonts w:hint="eastAsia" w:ascii="宋体" w:hAnsi="宋体" w:eastAsia="宋体" w:cs="宋体"/>
          <w:b/>
          <w:bCs w:val="0"/>
          <w:color w:val="000000" w:themeColor="text1"/>
          <w:szCs w:val="24"/>
          <w:highlight w:val="none"/>
          <w:lang w:val="en-US" w:eastAsia="zh-CN"/>
          <w14:textFill>
            <w14:solidFill>
              <w14:schemeClr w14:val="tx1"/>
            </w14:solidFill>
          </w14:textFill>
        </w:rPr>
        <w:t>3、</w:t>
      </w:r>
      <w:r>
        <w:rPr>
          <w:rFonts w:hint="default" w:ascii="宋体" w:hAnsi="宋体" w:eastAsia="宋体" w:cs="宋体"/>
          <w:b/>
          <w:bCs w:val="0"/>
          <w:color w:val="000000" w:themeColor="text1"/>
          <w:szCs w:val="24"/>
          <w:highlight w:val="none"/>
          <w:lang w:val="en-US" w:eastAsia="zh-CN"/>
          <w14:textFill>
            <w14:solidFill>
              <w14:schemeClr w14:val="tx1"/>
            </w14:solidFill>
          </w14:textFill>
        </w:rPr>
        <w:t xml:space="preserve"> 地下水环境保护目标</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项目区域内地下水类型</w:t>
      </w:r>
      <w:r>
        <w:rPr>
          <w:rFonts w:hint="default" w:ascii="Times New Roman" w:hAnsi="Times New Roman" w:cs="Times New Roman"/>
          <w:color w:val="000000" w:themeColor="text1"/>
          <w:szCs w:val="24"/>
          <w:highlight w:val="none"/>
          <w14:textFill>
            <w14:solidFill>
              <w14:schemeClr w14:val="tx1"/>
            </w14:solidFill>
          </w14:textFill>
        </w:rPr>
        <w:t>以基岩裂隙水与碎屑岩类裂隙水为主</w:t>
      </w:r>
      <w:r>
        <w:rPr>
          <w:rFonts w:hint="default" w:ascii="Times New Roman" w:hAnsi="Times New Roman" w:cs="Times New Roman"/>
          <w:bCs/>
          <w:color w:val="000000" w:themeColor="text1"/>
          <w:szCs w:val="24"/>
          <w:highlight w:val="none"/>
          <w14:textFill>
            <w14:solidFill>
              <w14:schemeClr w14:val="tx1"/>
            </w14:solidFill>
          </w14:textFill>
        </w:rPr>
        <w:t>。根据外环境调查，井场附近居民大部分使用自来水，少量居民使用山泉水作为饮用水源，地下水评价范围内约有10处泉井，其中</w:t>
      </w:r>
      <w:r>
        <w:rPr>
          <w:rFonts w:hint="eastAsia" w:cs="Times New Roman"/>
          <w:bCs/>
          <w:color w:val="000000" w:themeColor="text1"/>
          <w:szCs w:val="24"/>
          <w:highlight w:val="none"/>
          <w:lang w:val="en-US" w:eastAsia="zh-CN"/>
          <w14:textFill>
            <w14:solidFill>
              <w14:schemeClr w14:val="tx1"/>
            </w14:solidFill>
          </w14:textFill>
        </w:rPr>
        <w:t>还</w:t>
      </w:r>
      <w:r>
        <w:rPr>
          <w:rFonts w:hint="default" w:ascii="Times New Roman" w:hAnsi="Times New Roman" w:cs="Times New Roman"/>
          <w:bCs/>
          <w:color w:val="000000" w:themeColor="text1"/>
          <w:szCs w:val="24"/>
          <w:highlight w:val="none"/>
          <w14:textFill>
            <w14:solidFill>
              <w14:schemeClr w14:val="tx1"/>
            </w14:solidFill>
          </w14:textFill>
        </w:rPr>
        <w:t>作为饮用功能的井泉约3处。</w:t>
      </w:r>
      <w:r>
        <w:rPr>
          <w:rFonts w:hint="default" w:ascii="Times New Roman" w:hAnsi="Times New Roman" w:cs="Times New Roman"/>
          <w:bCs/>
          <w:color w:val="000000" w:themeColor="text1"/>
          <w:highlight w:val="none"/>
          <w14:textFill>
            <w14:solidFill>
              <w14:schemeClr w14:val="tx1"/>
            </w14:solidFill>
          </w14:textFill>
        </w:rPr>
        <w:t>根据调查，地下水环境保护目标见2.9-2。</w:t>
      </w:r>
    </w:p>
    <w:p>
      <w:pPr>
        <w:pStyle w:val="21"/>
        <w:keepNext w:val="0"/>
        <w:keepLines w:val="0"/>
        <w:pageBreakBefore w:val="0"/>
        <w:widowControl/>
        <w:tabs>
          <w:tab w:val="left" w:pos="3864"/>
        </w:tabs>
        <w:kinsoku/>
        <w:wordWrap/>
        <w:overflowPunct/>
        <w:topLinePunct w:val="0"/>
        <w:autoSpaceDE/>
        <w:autoSpaceDN/>
        <w:bidi w:val="0"/>
        <w:adjustRightInd w:val="0"/>
        <w:snapToGrid w:val="0"/>
        <w:spacing w:before="0" w:line="240" w:lineRule="auto"/>
        <w:ind w:left="0" w:firstLine="420"/>
        <w:jc w:val="center"/>
        <w:textAlignment w:val="auto"/>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表2.9-2  地下水环境保护目标一览表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9"/>
        <w:gridCol w:w="2379"/>
        <w:gridCol w:w="1279"/>
        <w:gridCol w:w="1420"/>
        <w:gridCol w:w="3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tblHeader/>
          <w:jc w:val="center"/>
        </w:trPr>
        <w:tc>
          <w:tcPr>
            <w:tcW w:w="598" w:type="dxa"/>
            <w:vMerge w:val="restart"/>
            <w:tcBorders>
              <w:top w:val="single" w:color="auto" w:sz="4" w:space="0"/>
              <w:left w:val="single" w:color="auto" w:sz="4" w:space="0"/>
              <w:right w:val="single" w:color="auto" w:sz="4" w:space="0"/>
            </w:tcBorders>
            <w:vAlign w:val="center"/>
          </w:tcPr>
          <w:p>
            <w:pPr>
              <w:pStyle w:val="253"/>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名称</w:t>
            </w:r>
          </w:p>
        </w:tc>
        <w:tc>
          <w:tcPr>
            <w:tcW w:w="2374" w:type="dxa"/>
            <w:vMerge w:val="restart"/>
            <w:tcBorders>
              <w:top w:val="single" w:color="auto" w:sz="4" w:space="0"/>
              <w:left w:val="single" w:color="auto" w:sz="4" w:space="0"/>
              <w:right w:val="single" w:color="auto" w:sz="4" w:space="0"/>
            </w:tcBorders>
            <w:vAlign w:val="center"/>
          </w:tcPr>
          <w:p>
            <w:pPr>
              <w:pStyle w:val="253"/>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位置（m）</w:t>
            </w:r>
          </w:p>
        </w:tc>
        <w:tc>
          <w:tcPr>
            <w:tcW w:w="2693" w:type="dxa"/>
            <w:gridSpan w:val="2"/>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坐标</w:t>
            </w:r>
          </w:p>
        </w:tc>
        <w:tc>
          <w:tcPr>
            <w:tcW w:w="3395" w:type="dxa"/>
            <w:vMerge w:val="restart"/>
            <w:tcBorders>
              <w:top w:val="single" w:color="auto" w:sz="4" w:space="0"/>
              <w:left w:val="single" w:color="auto" w:sz="4" w:space="0"/>
              <w:right w:val="single" w:color="auto" w:sz="4" w:space="0"/>
            </w:tcBorders>
            <w:vAlign w:val="center"/>
          </w:tcPr>
          <w:p>
            <w:pPr>
              <w:pStyle w:val="253"/>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环境敏感特性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tblHeader/>
          <w:jc w:val="center"/>
        </w:trPr>
        <w:tc>
          <w:tcPr>
            <w:tcW w:w="598" w:type="dxa"/>
            <w:vMerge w:val="continue"/>
            <w:tcBorders>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p>
        </w:tc>
        <w:tc>
          <w:tcPr>
            <w:tcW w:w="2374" w:type="dxa"/>
            <w:vMerge w:val="continue"/>
            <w:tcBorders>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X</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Y</w:t>
            </w:r>
          </w:p>
        </w:tc>
        <w:tc>
          <w:tcPr>
            <w:tcW w:w="3395" w:type="dxa"/>
            <w:vMerge w:val="continue"/>
            <w:tcBorders>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8"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Q1</w:t>
            </w:r>
          </w:p>
        </w:tc>
        <w:tc>
          <w:tcPr>
            <w:tcW w:w="2374"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普光P106-2H侧井西南侧303m处泉井</w:t>
            </w:r>
          </w:p>
        </w:tc>
        <w:tc>
          <w:tcPr>
            <w:tcW w:w="1276"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107.804374</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31.557673</w:t>
            </w:r>
          </w:p>
        </w:tc>
        <w:tc>
          <w:tcPr>
            <w:tcW w:w="3395"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泉水，以大气降雨补给为主，无居民使用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8"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Q2</w:t>
            </w:r>
          </w:p>
        </w:tc>
        <w:tc>
          <w:tcPr>
            <w:tcW w:w="2374" w:type="dxa"/>
            <w:tcBorders>
              <w:top w:val="single" w:color="auto" w:sz="4" w:space="0"/>
              <w:left w:val="single" w:color="auto" w:sz="4" w:space="0"/>
              <w:bottom w:val="single" w:color="auto" w:sz="4" w:space="0"/>
              <w:right w:val="single" w:color="auto" w:sz="4" w:space="0"/>
            </w:tcBorders>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普光P106-2H侧井西南侧431m处泉井</w:t>
            </w:r>
          </w:p>
        </w:tc>
        <w:tc>
          <w:tcPr>
            <w:tcW w:w="1276"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107.805549</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31.555302</w:t>
            </w:r>
          </w:p>
        </w:tc>
        <w:tc>
          <w:tcPr>
            <w:tcW w:w="3395"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井水，以大气降雨补给为主，约3户居民使用（作为洗衣等非饮用水源）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8"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Q3</w:t>
            </w:r>
          </w:p>
        </w:tc>
        <w:tc>
          <w:tcPr>
            <w:tcW w:w="2374" w:type="dxa"/>
            <w:tcBorders>
              <w:top w:val="single" w:color="auto" w:sz="4" w:space="0"/>
              <w:left w:val="single" w:color="auto" w:sz="4" w:space="0"/>
              <w:bottom w:val="single" w:color="auto" w:sz="4" w:space="0"/>
              <w:right w:val="single" w:color="auto" w:sz="4" w:space="0"/>
            </w:tcBorders>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普光P106-2H侧井南侧502m处泉井</w:t>
            </w:r>
          </w:p>
        </w:tc>
        <w:tc>
          <w:tcPr>
            <w:tcW w:w="1276"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107.816132</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31.560176</w:t>
            </w:r>
          </w:p>
        </w:tc>
        <w:tc>
          <w:tcPr>
            <w:tcW w:w="3395"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泉水， 以大气降雨补给为主，约1居民使用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8" w:hRule="atLeast"/>
          <w:jc w:val="center"/>
        </w:trPr>
        <w:tc>
          <w:tcPr>
            <w:tcW w:w="598"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Q4</w:t>
            </w:r>
          </w:p>
        </w:tc>
        <w:tc>
          <w:tcPr>
            <w:tcW w:w="2374" w:type="dxa"/>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普光P106-2H侧井东南侧420m处泉井</w:t>
            </w:r>
          </w:p>
        </w:tc>
        <w:tc>
          <w:tcPr>
            <w:tcW w:w="1276"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107.810546</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31.556173</w:t>
            </w:r>
          </w:p>
        </w:tc>
        <w:tc>
          <w:tcPr>
            <w:tcW w:w="3395"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井水，以大气降雨补给为主，约2户居民使用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8"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Q5</w:t>
            </w:r>
          </w:p>
        </w:tc>
        <w:tc>
          <w:tcPr>
            <w:tcW w:w="2374" w:type="dxa"/>
            <w:tcBorders>
              <w:top w:val="single" w:color="auto" w:sz="4" w:space="0"/>
              <w:left w:val="single" w:color="auto" w:sz="4" w:space="0"/>
              <w:bottom w:val="single" w:color="auto" w:sz="4" w:space="0"/>
              <w:right w:val="single" w:color="auto" w:sz="4" w:space="0"/>
            </w:tcBorders>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普光P106-2H侧井东北侧792m处泉井</w:t>
            </w:r>
          </w:p>
        </w:tc>
        <w:tc>
          <w:tcPr>
            <w:tcW w:w="1276"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107.806483</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31.554196</w:t>
            </w:r>
          </w:p>
        </w:tc>
        <w:tc>
          <w:tcPr>
            <w:tcW w:w="3395"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泉水，以大气降雨补给为主，约5户居民使用（作为洗衣等非饮用水源）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8"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Q6</w:t>
            </w:r>
          </w:p>
        </w:tc>
        <w:tc>
          <w:tcPr>
            <w:tcW w:w="2374" w:type="dxa"/>
            <w:tcBorders>
              <w:top w:val="single" w:color="auto" w:sz="4" w:space="0"/>
              <w:left w:val="single" w:color="auto" w:sz="4" w:space="0"/>
              <w:bottom w:val="single" w:color="auto" w:sz="4" w:space="0"/>
              <w:right w:val="single" w:color="auto" w:sz="4" w:space="0"/>
            </w:tcBorders>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普光P106-2H侧井西南侧468m处泉井</w:t>
            </w:r>
          </w:p>
        </w:tc>
        <w:tc>
          <w:tcPr>
            <w:tcW w:w="1276"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107.811013</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31.555765</w:t>
            </w:r>
          </w:p>
        </w:tc>
        <w:tc>
          <w:tcPr>
            <w:tcW w:w="3395" w:type="dxa"/>
            <w:tcBorders>
              <w:top w:val="single" w:color="auto" w:sz="4" w:space="0"/>
              <w:left w:val="single" w:color="auto" w:sz="4" w:space="0"/>
              <w:bottom w:val="single" w:color="auto" w:sz="4" w:space="0"/>
              <w:right w:val="single" w:color="auto" w:sz="4" w:space="0"/>
            </w:tcBorders>
            <w:vAlign w:val="center"/>
          </w:tcPr>
          <w:p>
            <w:pPr>
              <w:pStyle w:val="253"/>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泉水，以大气降雨补给为主，无居民使用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8"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Q7</w:t>
            </w:r>
          </w:p>
        </w:tc>
        <w:tc>
          <w:tcPr>
            <w:tcW w:w="2374" w:type="dxa"/>
            <w:tcBorders>
              <w:top w:val="single" w:color="auto" w:sz="4" w:space="0"/>
              <w:left w:val="single" w:color="auto" w:sz="4" w:space="0"/>
              <w:bottom w:val="single" w:color="auto" w:sz="4" w:space="0"/>
              <w:right w:val="single" w:color="auto" w:sz="4" w:space="0"/>
            </w:tcBorders>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普光P106-2H侧井西南侧390m处泉井</w:t>
            </w:r>
          </w:p>
        </w:tc>
        <w:tc>
          <w:tcPr>
            <w:tcW w:w="1276"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107.802691</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31.558016</w:t>
            </w:r>
          </w:p>
        </w:tc>
        <w:tc>
          <w:tcPr>
            <w:tcW w:w="3395"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井水，以大气降雨补给为主，约4户居民使用（作为洗衣等非饮用水源）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8"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Q8</w:t>
            </w:r>
          </w:p>
        </w:tc>
        <w:tc>
          <w:tcPr>
            <w:tcW w:w="2374" w:type="dxa"/>
            <w:tcBorders>
              <w:top w:val="single" w:color="auto" w:sz="4" w:space="0"/>
              <w:left w:val="single" w:color="auto" w:sz="4" w:space="0"/>
              <w:bottom w:val="single" w:color="auto" w:sz="4" w:space="0"/>
              <w:right w:val="single" w:color="auto" w:sz="4" w:space="0"/>
            </w:tcBorders>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普光P106-2H侧井西南侧633m处泉井</w:t>
            </w:r>
          </w:p>
        </w:tc>
        <w:tc>
          <w:tcPr>
            <w:tcW w:w="1276"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107.804413</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31.555490</w:t>
            </w:r>
          </w:p>
        </w:tc>
        <w:tc>
          <w:tcPr>
            <w:tcW w:w="3395"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井水，以大气降雨补给为主，约5户居民使用（作为洗衣等非饮用水源）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8"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Q9</w:t>
            </w:r>
          </w:p>
        </w:tc>
        <w:tc>
          <w:tcPr>
            <w:tcW w:w="2374" w:type="dxa"/>
            <w:tcBorders>
              <w:top w:val="single" w:color="auto" w:sz="4" w:space="0"/>
              <w:left w:val="single" w:color="auto" w:sz="4" w:space="0"/>
              <w:bottom w:val="single" w:color="auto" w:sz="4" w:space="0"/>
              <w:right w:val="single" w:color="auto" w:sz="4" w:space="0"/>
            </w:tcBorders>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普光P106-2H侧井东南侧438m处泉井</w:t>
            </w:r>
          </w:p>
        </w:tc>
        <w:tc>
          <w:tcPr>
            <w:tcW w:w="1276"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107.804967</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31.553598</w:t>
            </w:r>
          </w:p>
        </w:tc>
        <w:tc>
          <w:tcPr>
            <w:tcW w:w="3395"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井水，以大气降雨补给为主，约3户居民使用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8"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Q10</w:t>
            </w:r>
          </w:p>
        </w:tc>
        <w:tc>
          <w:tcPr>
            <w:tcW w:w="2374" w:type="dxa"/>
            <w:tcBorders>
              <w:top w:val="single" w:color="auto" w:sz="4" w:space="0"/>
              <w:left w:val="single" w:color="auto" w:sz="4" w:space="0"/>
              <w:bottom w:val="single" w:color="auto" w:sz="4" w:space="0"/>
              <w:right w:val="single" w:color="auto" w:sz="4" w:space="0"/>
            </w:tcBorders>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普光P106-2H侧井东北侧947m处泉井</w:t>
            </w:r>
          </w:p>
        </w:tc>
        <w:tc>
          <w:tcPr>
            <w:tcW w:w="1276"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107.817448</w:t>
            </w:r>
          </w:p>
        </w:tc>
        <w:tc>
          <w:tcPr>
            <w:tcW w:w="1417"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31.559209</w:t>
            </w:r>
          </w:p>
        </w:tc>
        <w:tc>
          <w:tcPr>
            <w:tcW w:w="3395" w:type="dxa"/>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泉水，以大气降雨补给为主，约7户居民使用（作为洗衣等非饮用水源）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60" w:type="dxa"/>
            <w:gridSpan w:val="5"/>
            <w:tcBorders>
              <w:top w:val="single" w:color="auto" w:sz="4" w:space="0"/>
              <w:left w:val="single" w:color="auto" w:sz="4" w:space="0"/>
              <w:bottom w:val="single" w:color="auto" w:sz="4" w:space="0"/>
              <w:right w:val="single" w:color="auto" w:sz="4" w:space="0"/>
            </w:tcBorders>
            <w:vAlign w:val="center"/>
          </w:tcPr>
          <w:p>
            <w:pPr>
              <w:pStyle w:val="253"/>
              <w:jc w:val="left"/>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地下水环境保护目标：</w:t>
            </w:r>
            <w:r>
              <w:rPr>
                <w:rFonts w:hint="default" w:ascii="Times New Roman" w:hAnsi="Times New Roman" w:cs="Times New Roman"/>
                <w:color w:val="000000" w:themeColor="text1"/>
                <w:highlight w:val="none"/>
                <w14:textFill>
                  <w14:solidFill>
                    <w14:schemeClr w14:val="tx1"/>
                  </w14:solidFill>
                </w14:textFill>
              </w:rPr>
              <w:t>地下水评价范围内具备饮用功能的浅层含水层</w:t>
            </w:r>
            <w:r>
              <w:rPr>
                <w:rFonts w:hint="eastAsia" w:cs="Times New Roman"/>
                <w:color w:val="000000" w:themeColor="text1"/>
                <w:highlight w:val="none"/>
                <w:lang w:eastAsia="zh-CN"/>
                <w14:textFill>
                  <w14:solidFill>
                    <w14:schemeClr w14:val="tx1"/>
                  </w14:solidFill>
                </w14:textFill>
              </w:rPr>
              <w:t>。</w:t>
            </w:r>
          </w:p>
        </w:tc>
      </w:tr>
    </w:tbl>
    <w:p>
      <w:pPr>
        <w:pStyle w:val="21"/>
        <w:tabs>
          <w:tab w:val="left" w:pos="3864"/>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p>
    <w:p>
      <w:pPr>
        <w:pageBreakBefore w:val="0"/>
        <w:tabs>
          <w:tab w:val="left" w:pos="0"/>
        </w:tabs>
        <w:kinsoku/>
        <w:wordWrap/>
        <w:overflowPunct/>
        <w:topLinePunct w:val="0"/>
        <w:autoSpaceDE/>
        <w:autoSpaceDN/>
        <w:bidi w:val="0"/>
        <w:adjustRightInd w:val="0"/>
        <w:snapToGrid w:val="0"/>
        <w:ind w:firstLine="480"/>
        <w:textAlignment w:val="auto"/>
        <w:rPr>
          <w:rFonts w:hint="default" w:ascii="宋体" w:hAnsi="宋体" w:eastAsia="宋体" w:cs="宋体"/>
          <w:b/>
          <w:bCs w:val="0"/>
          <w:color w:val="000000" w:themeColor="text1"/>
          <w:szCs w:val="24"/>
          <w:highlight w:val="none"/>
          <w:lang w:val="en-US" w:eastAsia="zh-CN"/>
          <w14:textFill>
            <w14:solidFill>
              <w14:schemeClr w14:val="tx1"/>
            </w14:solidFill>
          </w14:textFill>
        </w:rPr>
      </w:pPr>
      <w:bookmarkStart w:id="74" w:name="_Hlk152595855"/>
      <w:r>
        <w:rPr>
          <w:rFonts w:hint="eastAsia" w:ascii="宋体" w:hAnsi="宋体" w:eastAsia="宋体" w:cs="宋体"/>
          <w:b/>
          <w:bCs w:val="0"/>
          <w:color w:val="000000" w:themeColor="text1"/>
          <w:szCs w:val="24"/>
          <w:highlight w:val="none"/>
          <w:lang w:val="en-US" w:eastAsia="zh-CN"/>
          <w14:textFill>
            <w14:solidFill>
              <w14:schemeClr w14:val="tx1"/>
            </w14:solidFill>
          </w14:textFill>
        </w:rPr>
        <w:t>4、</w:t>
      </w:r>
      <w:r>
        <w:rPr>
          <w:rFonts w:hint="default" w:ascii="宋体" w:hAnsi="宋体" w:eastAsia="宋体" w:cs="宋体"/>
          <w:b/>
          <w:bCs w:val="0"/>
          <w:color w:val="000000" w:themeColor="text1"/>
          <w:szCs w:val="24"/>
          <w:highlight w:val="none"/>
          <w:lang w:val="en-US" w:eastAsia="zh-CN"/>
          <w14:textFill>
            <w14:solidFill>
              <w14:schemeClr w14:val="tx1"/>
            </w14:solidFill>
          </w14:textFill>
        </w:rPr>
        <w:t xml:space="preserve"> 环境空气保护目标</w:t>
      </w:r>
    </w:p>
    <w:p>
      <w:pPr>
        <w:ind w:firstLine="480"/>
        <w:rPr>
          <w:rFonts w:hint="default" w:ascii="Times New Roman" w:hAnsi="Times New Roman" w:cs="Times New Roman"/>
          <w:bCs/>
          <w:color w:val="000000" w:themeColor="text1"/>
          <w:szCs w:val="24"/>
          <w:highlight w:val="none"/>
          <w14:textFill>
            <w14:solidFill>
              <w14:schemeClr w14:val="tx1"/>
            </w14:solidFill>
          </w14:textFill>
        </w:rPr>
        <w:sectPr>
          <w:pgSz w:w="11906" w:h="16838"/>
          <w:pgMar w:top="1418" w:right="1418" w:bottom="1418" w:left="1418" w:header="851" w:footer="992"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cs="Times New Roman"/>
          <w:bCs/>
          <w:color w:val="000000" w:themeColor="text1"/>
          <w:szCs w:val="24"/>
          <w:highlight w:val="none"/>
          <w14:textFill>
            <w14:solidFill>
              <w14:schemeClr w14:val="tx1"/>
            </w14:solidFill>
          </w14:textFill>
        </w:rPr>
        <w:t>本项目井口300m范围内无居民分布。本项目井场距铁路及高速公路直线距离均远大于200m，距公共设施及城镇中心均大于500m；井场及放喷池、清水池等500m范围内的敏感点主要为散状分布的居民点，无医院、学校、城镇等特别敏感区域，本项目重点调查周边500m范围内的居民等敏感目标。环境空气保护目标见表2.9-3。</w:t>
      </w:r>
    </w:p>
    <w:p>
      <w:pPr>
        <w:pStyle w:val="21"/>
        <w:keepNext w:val="0"/>
        <w:keepLines w:val="0"/>
        <w:pageBreakBefore w:val="0"/>
        <w:widowControl/>
        <w:tabs>
          <w:tab w:val="left" w:pos="3864"/>
        </w:tabs>
        <w:kinsoku/>
        <w:wordWrap/>
        <w:overflowPunct/>
        <w:topLinePunct w:val="0"/>
        <w:autoSpaceDE/>
        <w:autoSpaceDN/>
        <w:bidi w:val="0"/>
        <w:adjustRightInd w:val="0"/>
        <w:snapToGrid w:val="0"/>
        <w:spacing w:before="0" w:line="240" w:lineRule="auto"/>
        <w:ind w:left="0" w:firstLine="420"/>
        <w:jc w:val="center"/>
        <w:textAlignment w:val="auto"/>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表2.9-3  平台（试采站）环境空气保护目标一览表</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6"/>
        <w:gridCol w:w="1162"/>
        <w:gridCol w:w="2255"/>
        <w:gridCol w:w="2119"/>
        <w:gridCol w:w="1471"/>
        <w:gridCol w:w="1199"/>
        <w:gridCol w:w="830"/>
        <w:gridCol w:w="1060"/>
        <w:gridCol w:w="1850"/>
        <w:gridCol w:w="15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tblHeader/>
        </w:trPr>
        <w:tc>
          <w:tcPr>
            <w:tcW w:w="221" w:type="pct"/>
            <w:vMerge w:val="restart"/>
            <w:tcMar>
              <w:left w:w="57" w:type="dxa"/>
              <w:right w:w="57" w:type="dxa"/>
            </w:tcMar>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bookmarkStart w:id="75" w:name="_Hlk140839415"/>
            <w:r>
              <w:rPr>
                <w:rFonts w:hint="default" w:ascii="Times New Roman" w:hAnsi="Times New Roman" w:cs="Times New Roman"/>
                <w:b/>
                <w:color w:val="000000" w:themeColor="text1"/>
                <w:kern w:val="0"/>
                <w:sz w:val="21"/>
                <w:szCs w:val="21"/>
                <w:highlight w:val="none"/>
                <w14:textFill>
                  <w14:solidFill>
                    <w14:schemeClr w14:val="tx1"/>
                  </w14:solidFill>
                </w14:textFill>
              </w:rPr>
              <w:t>序号</w:t>
            </w:r>
          </w:p>
        </w:tc>
        <w:tc>
          <w:tcPr>
            <w:tcW w:w="410" w:type="pct"/>
            <w:vMerge w:val="restart"/>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名称</w:t>
            </w:r>
          </w:p>
        </w:tc>
        <w:tc>
          <w:tcPr>
            <w:tcW w:w="1544" w:type="pct"/>
            <w:gridSpan w:val="2"/>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坐标</w:t>
            </w:r>
          </w:p>
        </w:tc>
        <w:tc>
          <w:tcPr>
            <w:tcW w:w="519" w:type="pct"/>
            <w:vMerge w:val="restart"/>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保护目标</w:t>
            </w:r>
          </w:p>
        </w:tc>
        <w:tc>
          <w:tcPr>
            <w:tcW w:w="423" w:type="pct"/>
            <w:vMerge w:val="restart"/>
            <w:tcMar>
              <w:left w:w="57" w:type="dxa"/>
              <w:right w:w="57" w:type="dxa"/>
            </w:tcMar>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保护内容</w:t>
            </w:r>
          </w:p>
        </w:tc>
        <w:tc>
          <w:tcPr>
            <w:tcW w:w="293" w:type="pct"/>
            <w:vMerge w:val="restart"/>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环境功能区</w:t>
            </w:r>
          </w:p>
        </w:tc>
        <w:tc>
          <w:tcPr>
            <w:tcW w:w="374" w:type="pct"/>
            <w:vMerge w:val="restart"/>
            <w:tcMar>
              <w:left w:w="57" w:type="dxa"/>
              <w:right w:w="57" w:type="dxa"/>
            </w:tcMar>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相对井口方位</w:t>
            </w:r>
          </w:p>
        </w:tc>
        <w:tc>
          <w:tcPr>
            <w:tcW w:w="653" w:type="pct"/>
            <w:vMerge w:val="restart"/>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相对井口距离（m）</w:t>
            </w:r>
          </w:p>
        </w:tc>
        <w:tc>
          <w:tcPr>
            <w:tcW w:w="563" w:type="pct"/>
            <w:vMerge w:val="restart"/>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敏感点特征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blHeader/>
        </w:trPr>
        <w:tc>
          <w:tcPr>
            <w:tcW w:w="221" w:type="pct"/>
            <w:vMerge w:val="continue"/>
            <w:tcMar>
              <w:left w:w="57" w:type="dxa"/>
              <w:right w:w="57" w:type="dxa"/>
            </w:tcMar>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p>
        </w:tc>
        <w:tc>
          <w:tcPr>
            <w:tcW w:w="410" w:type="pct"/>
            <w:vMerge w:val="continue"/>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p>
        </w:tc>
        <w:tc>
          <w:tcPr>
            <w:tcW w:w="796" w:type="pct"/>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经度</w:t>
            </w:r>
          </w:p>
        </w:tc>
        <w:tc>
          <w:tcPr>
            <w:tcW w:w="748" w:type="pct"/>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r>
              <w:rPr>
                <w:rFonts w:hint="default" w:ascii="Times New Roman" w:hAnsi="Times New Roman" w:cs="Times New Roman"/>
                <w:b/>
                <w:color w:val="000000" w:themeColor="text1"/>
                <w:kern w:val="0"/>
                <w:sz w:val="21"/>
                <w:szCs w:val="21"/>
                <w:highlight w:val="none"/>
                <w14:textFill>
                  <w14:solidFill>
                    <w14:schemeClr w14:val="tx1"/>
                  </w14:solidFill>
                </w14:textFill>
              </w:rPr>
              <w:t>纬度</w:t>
            </w:r>
          </w:p>
        </w:tc>
        <w:tc>
          <w:tcPr>
            <w:tcW w:w="519" w:type="pct"/>
            <w:vMerge w:val="continue"/>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p>
        </w:tc>
        <w:tc>
          <w:tcPr>
            <w:tcW w:w="423" w:type="pct"/>
            <w:vMerge w:val="continue"/>
            <w:tcMar>
              <w:left w:w="57" w:type="dxa"/>
              <w:right w:w="57" w:type="dxa"/>
            </w:tcMar>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p>
        </w:tc>
        <w:tc>
          <w:tcPr>
            <w:tcW w:w="293" w:type="pct"/>
            <w:vMerge w:val="continue"/>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p>
        </w:tc>
        <w:tc>
          <w:tcPr>
            <w:tcW w:w="374" w:type="pct"/>
            <w:vMerge w:val="continue"/>
            <w:tcMar>
              <w:left w:w="57" w:type="dxa"/>
              <w:right w:w="57" w:type="dxa"/>
            </w:tcMar>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p>
        </w:tc>
        <w:tc>
          <w:tcPr>
            <w:tcW w:w="653" w:type="pct"/>
            <w:vMerge w:val="continue"/>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p>
        </w:tc>
        <w:tc>
          <w:tcPr>
            <w:tcW w:w="563" w:type="pct"/>
            <w:vMerge w:val="continue"/>
            <w:vAlign w:val="center"/>
          </w:tcPr>
          <w:p>
            <w:pPr>
              <w:spacing w:line="240" w:lineRule="auto"/>
              <w:ind w:firstLine="0" w:firstLineChars="0"/>
              <w:jc w:val="center"/>
              <w:rPr>
                <w:rFonts w:hint="default" w:ascii="Times New Roman" w:hAnsi="Times New Roman" w:cs="Times New Roman"/>
                <w:b/>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1"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410"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96"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194.6565197</w:t>
            </w:r>
          </w:p>
        </w:tc>
        <w:tc>
          <w:tcPr>
            <w:tcW w:w="748"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31.5552891</w:t>
            </w:r>
          </w:p>
        </w:tc>
        <w:tc>
          <w:tcPr>
            <w:tcW w:w="519"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居住区</w:t>
            </w:r>
          </w:p>
        </w:tc>
        <w:tc>
          <w:tcPr>
            <w:tcW w:w="423"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大气环境</w:t>
            </w:r>
          </w:p>
        </w:tc>
        <w:tc>
          <w:tcPr>
            <w:tcW w:w="29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二类</w:t>
            </w:r>
          </w:p>
        </w:tc>
        <w:tc>
          <w:tcPr>
            <w:tcW w:w="374"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w:t>
            </w:r>
          </w:p>
        </w:tc>
        <w:tc>
          <w:tcPr>
            <w:tcW w:w="65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455~500</w:t>
            </w:r>
          </w:p>
        </w:tc>
        <w:tc>
          <w:tcPr>
            <w:tcW w:w="56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1户4人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1"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410"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96"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194.6539662</w:t>
            </w:r>
          </w:p>
        </w:tc>
        <w:tc>
          <w:tcPr>
            <w:tcW w:w="748"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31.5538994</w:t>
            </w:r>
          </w:p>
        </w:tc>
        <w:tc>
          <w:tcPr>
            <w:tcW w:w="519"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居住区</w:t>
            </w:r>
          </w:p>
        </w:tc>
        <w:tc>
          <w:tcPr>
            <w:tcW w:w="423"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大气环境</w:t>
            </w:r>
          </w:p>
        </w:tc>
        <w:tc>
          <w:tcPr>
            <w:tcW w:w="29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二类</w:t>
            </w:r>
          </w:p>
        </w:tc>
        <w:tc>
          <w:tcPr>
            <w:tcW w:w="374"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东南</w:t>
            </w:r>
          </w:p>
        </w:tc>
        <w:tc>
          <w:tcPr>
            <w:tcW w:w="65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343~475</w:t>
            </w:r>
          </w:p>
        </w:tc>
        <w:tc>
          <w:tcPr>
            <w:tcW w:w="56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7户约28人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1"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w:t>
            </w:r>
          </w:p>
        </w:tc>
        <w:tc>
          <w:tcPr>
            <w:tcW w:w="410"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96"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107.8096854</w:t>
            </w:r>
          </w:p>
        </w:tc>
        <w:tc>
          <w:tcPr>
            <w:tcW w:w="748"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31.5533966</w:t>
            </w:r>
          </w:p>
        </w:tc>
        <w:tc>
          <w:tcPr>
            <w:tcW w:w="519"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居住区</w:t>
            </w:r>
          </w:p>
        </w:tc>
        <w:tc>
          <w:tcPr>
            <w:tcW w:w="423"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大气环境</w:t>
            </w:r>
          </w:p>
        </w:tc>
        <w:tc>
          <w:tcPr>
            <w:tcW w:w="29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二类</w:t>
            </w:r>
          </w:p>
        </w:tc>
        <w:tc>
          <w:tcPr>
            <w:tcW w:w="374"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65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400~500</w:t>
            </w:r>
          </w:p>
        </w:tc>
        <w:tc>
          <w:tcPr>
            <w:tcW w:w="56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10户约40人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1"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w:t>
            </w:r>
          </w:p>
        </w:tc>
        <w:tc>
          <w:tcPr>
            <w:tcW w:w="410"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96"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107.8091543</w:t>
            </w:r>
          </w:p>
        </w:tc>
        <w:tc>
          <w:tcPr>
            <w:tcW w:w="748"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31.5553531</w:t>
            </w:r>
          </w:p>
        </w:tc>
        <w:tc>
          <w:tcPr>
            <w:tcW w:w="519"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居住区</w:t>
            </w:r>
          </w:p>
        </w:tc>
        <w:tc>
          <w:tcPr>
            <w:tcW w:w="423"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大气环境</w:t>
            </w:r>
          </w:p>
        </w:tc>
        <w:tc>
          <w:tcPr>
            <w:tcW w:w="29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二类</w:t>
            </w:r>
          </w:p>
        </w:tc>
        <w:tc>
          <w:tcPr>
            <w:tcW w:w="374"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65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304~311</w:t>
            </w:r>
          </w:p>
        </w:tc>
        <w:tc>
          <w:tcPr>
            <w:tcW w:w="56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1户4人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trPr>
        <w:tc>
          <w:tcPr>
            <w:tcW w:w="221"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w:t>
            </w:r>
          </w:p>
        </w:tc>
        <w:tc>
          <w:tcPr>
            <w:tcW w:w="410"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96"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107.8074002</w:t>
            </w:r>
          </w:p>
        </w:tc>
        <w:tc>
          <w:tcPr>
            <w:tcW w:w="748"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31.5558148</w:t>
            </w:r>
          </w:p>
        </w:tc>
        <w:tc>
          <w:tcPr>
            <w:tcW w:w="519"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居住区</w:t>
            </w:r>
          </w:p>
        </w:tc>
        <w:tc>
          <w:tcPr>
            <w:tcW w:w="423"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大气环境</w:t>
            </w:r>
          </w:p>
        </w:tc>
        <w:tc>
          <w:tcPr>
            <w:tcW w:w="29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二类</w:t>
            </w:r>
          </w:p>
        </w:tc>
        <w:tc>
          <w:tcPr>
            <w:tcW w:w="374" w:type="pct"/>
            <w:tcMar>
              <w:left w:w="57" w:type="dxa"/>
              <w:right w:w="57" w:type="dxa"/>
            </w:tcMar>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w:t>
            </w:r>
          </w:p>
        </w:tc>
        <w:tc>
          <w:tcPr>
            <w:tcW w:w="65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435~481</w:t>
            </w:r>
          </w:p>
        </w:tc>
        <w:tc>
          <w:tcPr>
            <w:tcW w:w="563" w:type="pct"/>
            <w:vAlign w:val="center"/>
          </w:tcPr>
          <w:p>
            <w:pPr>
              <w:autoSpaceDE w:val="0"/>
              <w:autoSpaceDN w:val="0"/>
              <w:snapToGrid/>
              <w:spacing w:line="240" w:lineRule="auto"/>
              <w:ind w:firstLine="0" w:firstLineChars="0"/>
              <w:jc w:val="center"/>
              <w:outlineLvl w:val="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2户8人</w:t>
            </w:r>
          </w:p>
        </w:tc>
      </w:tr>
      <w:bookmarkEnd w:id="75"/>
    </w:tbl>
    <w:p>
      <w:pPr>
        <w:pStyle w:val="21"/>
        <w:tabs>
          <w:tab w:val="left" w:pos="3864"/>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p>
    <w:p>
      <w:pPr>
        <w:pageBreakBefore w:val="0"/>
        <w:tabs>
          <w:tab w:val="left" w:pos="0"/>
        </w:tabs>
        <w:kinsoku/>
        <w:wordWrap/>
        <w:overflowPunct/>
        <w:topLinePunct w:val="0"/>
        <w:autoSpaceDE/>
        <w:autoSpaceDN/>
        <w:bidi w:val="0"/>
        <w:adjustRightInd w:val="0"/>
        <w:snapToGrid w:val="0"/>
        <w:ind w:firstLine="480"/>
        <w:textAlignment w:val="auto"/>
        <w:rPr>
          <w:rFonts w:hint="default" w:ascii="宋体" w:hAnsi="宋体" w:eastAsia="宋体" w:cs="宋体"/>
          <w:b/>
          <w:bCs w:val="0"/>
          <w:color w:val="000000" w:themeColor="text1"/>
          <w:szCs w:val="24"/>
          <w:highlight w:val="none"/>
          <w:lang w:val="en-US" w:eastAsia="zh-CN"/>
          <w14:textFill>
            <w14:solidFill>
              <w14:schemeClr w14:val="tx1"/>
            </w14:solidFill>
          </w14:textFill>
        </w:rPr>
      </w:pPr>
      <w:bookmarkStart w:id="76" w:name="_Hlk73455076"/>
      <w:r>
        <w:rPr>
          <w:rFonts w:hint="eastAsia" w:ascii="宋体" w:hAnsi="宋体" w:eastAsia="宋体" w:cs="宋体"/>
          <w:b/>
          <w:bCs w:val="0"/>
          <w:color w:val="000000" w:themeColor="text1"/>
          <w:szCs w:val="24"/>
          <w:highlight w:val="none"/>
          <w:lang w:val="en-US" w:eastAsia="zh-CN"/>
          <w14:textFill>
            <w14:solidFill>
              <w14:schemeClr w14:val="tx1"/>
            </w14:solidFill>
          </w14:textFill>
        </w:rPr>
        <w:t>5、</w:t>
      </w:r>
      <w:r>
        <w:rPr>
          <w:rFonts w:hint="default" w:ascii="宋体" w:hAnsi="宋体" w:eastAsia="宋体" w:cs="宋体"/>
          <w:b/>
          <w:bCs w:val="0"/>
          <w:color w:val="000000" w:themeColor="text1"/>
          <w:szCs w:val="24"/>
          <w:highlight w:val="none"/>
          <w:lang w:val="en-US" w:eastAsia="zh-CN"/>
          <w14:textFill>
            <w14:solidFill>
              <w14:schemeClr w14:val="tx1"/>
            </w14:solidFill>
          </w14:textFill>
        </w:rPr>
        <w:t xml:space="preserve"> 声环境保护目标</w:t>
      </w:r>
    </w:p>
    <w:p>
      <w:pPr>
        <w:pStyle w:val="21"/>
        <w:tabs>
          <w:tab w:val="left" w:pos="3864"/>
        </w:tabs>
        <w:spacing w:before="0"/>
        <w:ind w:left="0" w:firstLine="480"/>
        <w:rPr>
          <w:rFonts w:hint="default" w:ascii="Times New Roman" w:hAnsi="Times New Roman" w:cs="Times New Roman"/>
          <w:b/>
          <w:bCs/>
          <w:color w:val="000000" w:themeColor="text1"/>
          <w:highlight w:val="none"/>
          <w:lang w:eastAsia="zh-CN"/>
          <w14:textFill>
            <w14:solidFill>
              <w14:schemeClr w14:val="tx1"/>
            </w14:solidFill>
          </w14:textFill>
        </w:rPr>
        <w:sectPr>
          <w:pgSz w:w="16838" w:h="11906" w:orient="landscape"/>
          <w:pgMar w:top="1418" w:right="1418" w:bottom="1418" w:left="1418" w:header="851" w:footer="992"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cs="Times New Roman"/>
          <w:bCs/>
          <w:color w:val="000000" w:themeColor="text1"/>
          <w:highlight w:val="none"/>
          <w:lang w:eastAsia="zh-CN"/>
          <w14:textFill>
            <w14:solidFill>
              <w14:schemeClr w14:val="tx1"/>
            </w14:solidFill>
          </w14:textFill>
        </w:rPr>
        <w:t>本项目井口300m范围内无居民分布，井口周围300m范围内无声环境敏感目标。</w:t>
      </w:r>
    </w:p>
    <w:p>
      <w:pPr>
        <w:keepNext w:val="0"/>
        <w:keepLines w:val="0"/>
        <w:pageBreakBefore w:val="0"/>
        <w:widowControl w:val="0"/>
        <w:kinsoku/>
        <w:wordWrap/>
        <w:overflowPunct/>
        <w:topLinePunct w:val="0"/>
        <w:autoSpaceDE/>
        <w:autoSpaceDN/>
        <w:bidi w:val="0"/>
        <w:adjustRightInd w:val="0"/>
        <w:snapToGrid w:val="0"/>
        <w:ind w:firstLine="480"/>
        <w:textAlignment w:val="auto"/>
        <w:outlineLvl w:val="9"/>
        <w:rPr>
          <w:rFonts w:hint="default" w:ascii="Times New Roman" w:hAnsi="Times New Roman" w:eastAsia="宋体" w:cs="Times New Roman"/>
          <w:b/>
          <w:bCs/>
          <w:color w:val="000000" w:themeColor="text1"/>
          <w:szCs w:val="24"/>
          <w:highlight w:val="none"/>
          <w14:textFill>
            <w14:solidFill>
              <w14:schemeClr w14:val="tx1"/>
            </w14:solidFill>
          </w14:textFill>
        </w:rPr>
      </w:pPr>
      <w:bookmarkStart w:id="77" w:name="_Toc140496891"/>
      <w:r>
        <w:rPr>
          <w:rFonts w:hint="default" w:ascii="Times New Roman" w:hAnsi="Times New Roman" w:eastAsia="宋体" w:cs="Times New Roman"/>
          <w:b/>
          <w:bCs/>
          <w:color w:val="000000" w:themeColor="text1"/>
          <w:szCs w:val="24"/>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szCs w:val="24"/>
          <w:highlight w:val="none"/>
          <w14:textFill>
            <w14:solidFill>
              <w14:schemeClr w14:val="tx1"/>
            </w14:solidFill>
          </w14:textFill>
        </w:rPr>
        <w:t>土壤保护目标</w:t>
      </w:r>
      <w:bookmarkEnd w:id="77"/>
    </w:p>
    <w:bookmarkEnd w:id="76"/>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outlineLvl w:val="9"/>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根据本次现状监测结果，本项目所在地周边土壤以棕色土壤为主。本项目土壤环境保护目标主要为项目占地范围以及占地范围外0.2km内的耕地（含基本农田）、住宅用地等。</w:t>
      </w:r>
    </w:p>
    <w:bookmarkEnd w:id="74"/>
    <w:p>
      <w:pPr>
        <w:keepNext w:val="0"/>
        <w:keepLines w:val="0"/>
        <w:pageBreakBefore w:val="0"/>
        <w:widowControl w:val="0"/>
        <w:kinsoku/>
        <w:wordWrap/>
        <w:overflowPunct/>
        <w:topLinePunct w:val="0"/>
        <w:autoSpaceDE/>
        <w:autoSpaceDN/>
        <w:bidi w:val="0"/>
        <w:adjustRightInd w:val="0"/>
        <w:snapToGrid w:val="0"/>
        <w:ind w:firstLine="480"/>
        <w:textAlignment w:val="auto"/>
        <w:outlineLvl w:val="9"/>
        <w:rPr>
          <w:rFonts w:hint="default" w:ascii="Times New Roman" w:hAnsi="Times New Roman" w:eastAsia="宋体" w:cs="Times New Roman"/>
          <w:b/>
          <w:bCs/>
          <w:color w:val="000000" w:themeColor="text1"/>
          <w:szCs w:val="24"/>
          <w:highlight w:val="none"/>
          <w:lang w:val="en-US" w:eastAsia="zh-CN"/>
          <w14:textFill>
            <w14:solidFill>
              <w14:schemeClr w14:val="tx1"/>
            </w14:solidFill>
          </w14:textFill>
        </w:rPr>
      </w:pPr>
      <w:bookmarkStart w:id="78" w:name="_Toc140496892"/>
      <w:r>
        <w:rPr>
          <w:rFonts w:hint="eastAsia" w:ascii="Times New Roman" w:hAnsi="Times New Roman" w:eastAsia="宋体" w:cs="Times New Roman"/>
          <w:b/>
          <w:bCs/>
          <w:color w:val="000000" w:themeColor="text1"/>
          <w:szCs w:val="24"/>
          <w:highlight w:val="none"/>
          <w:lang w:val="en-US" w:eastAsia="zh-CN"/>
          <w14:textFill>
            <w14:solidFill>
              <w14:schemeClr w14:val="tx1"/>
            </w14:solidFill>
          </w14:textFill>
        </w:rPr>
        <w:t>7、</w:t>
      </w:r>
      <w:r>
        <w:rPr>
          <w:rFonts w:hint="default" w:ascii="Times New Roman" w:hAnsi="Times New Roman" w:eastAsia="宋体" w:cs="Times New Roman"/>
          <w:b/>
          <w:bCs/>
          <w:color w:val="000000" w:themeColor="text1"/>
          <w:szCs w:val="24"/>
          <w:highlight w:val="none"/>
          <w:lang w:val="en-US" w:eastAsia="zh-CN"/>
          <w14:textFill>
            <w14:solidFill>
              <w14:schemeClr w14:val="tx1"/>
            </w14:solidFill>
          </w14:textFill>
        </w:rPr>
        <w:t xml:space="preserve"> 环境风险保护目标</w:t>
      </w:r>
      <w:bookmarkEnd w:id="78"/>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outlineLvl w:val="9"/>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前文，本次评价环境风险等级按照二级进行评价，本次评价地下水环境、地表水环境不设置环境风险评价范围，只对涉及的危险物质、环境影响途径、环境危害、风险防范措施等方面给出定性的说明；大气环境风险评价范围确定为井口周边5km范围，该范围内具体见环境敏感目标分布情况后文环境风险分析章节中内容表6.4-3中内容。</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79" w:name="_Toc21770"/>
      <w:r>
        <w:rPr>
          <w:rFonts w:hint="default" w:ascii="Times New Roman" w:hAnsi="Times New Roman" w:cs="Times New Roman"/>
          <w:color w:val="000000" w:themeColor="text1"/>
          <w:highlight w:val="none"/>
          <w:lang w:eastAsia="zh-CN"/>
          <w14:textFill>
            <w14:solidFill>
              <w14:schemeClr w14:val="tx1"/>
            </w14:solidFill>
          </w14:textFill>
        </w:rPr>
        <w:t>工程方案的合理性分析</w:t>
      </w:r>
      <w:bookmarkEnd w:id="79"/>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80" w:name="_Toc120173088"/>
      <w:r>
        <w:rPr>
          <w:rFonts w:hint="default" w:ascii="Times New Roman" w:hAnsi="Times New Roman" w:cs="Times New Roman"/>
          <w:color w:val="000000" w:themeColor="text1"/>
          <w:highlight w:val="none"/>
          <w:lang w:eastAsia="zh-CN"/>
          <w14:textFill>
            <w14:solidFill>
              <w14:schemeClr w14:val="tx1"/>
            </w14:solidFill>
          </w14:textFill>
        </w:rPr>
        <w:t>项目选址合理性分析</w:t>
      </w:r>
      <w:bookmarkEnd w:id="80"/>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根据《钻前工程及井场布置技术要求SY/T5466-2013</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石油天然气钻井井控技术规范》（GB/T 31033-2014）、《钻井井控技术规程》（SY/T6426-2005）等规定：油气井井口距高压线及其他永久性设施不小于75m，距民宅不小于100m，距铁路、高速公路不小于200m，距学校、医院和大型油库等人口密集性、高危性场所不小于500m。根据现场调查，项目井口与各设施的距离及符合性分析见</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_Ref142900221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表2.10</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81" w:name="_Ref142900221"/>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2.10</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81"/>
      <w:r>
        <w:rPr>
          <w:rFonts w:hint="default" w:ascii="Times New Roman" w:hAnsi="Times New Roman" w:cs="Times New Roman"/>
          <w:color w:val="000000" w:themeColor="text1"/>
          <w:highlight w:val="none"/>
          <w14:textFill>
            <w14:solidFill>
              <w14:schemeClr w14:val="tx1"/>
            </w14:solidFill>
          </w14:textFill>
        </w:rPr>
        <w:t xml:space="preserve"> 本项目井口与各设施距离</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1275"/>
        <w:gridCol w:w="2835"/>
        <w:gridCol w:w="1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名称</w:t>
            </w:r>
          </w:p>
        </w:tc>
        <w:tc>
          <w:tcPr>
            <w:tcW w:w="1275"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钻前工程井场技术要求</w:t>
            </w:r>
          </w:p>
        </w:tc>
        <w:tc>
          <w:tcPr>
            <w:tcW w:w="2835"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本工程是否涉及居民区、铁路等，以及距井口距离</w:t>
            </w:r>
          </w:p>
        </w:tc>
        <w:tc>
          <w:tcPr>
            <w:tcW w:w="146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是否满足钻前技术要求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高压线及其他永久性设施</w:t>
            </w:r>
          </w:p>
        </w:tc>
        <w:tc>
          <w:tcPr>
            <w:tcW w:w="127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≥75m</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75m范围内不涉及</w:t>
            </w:r>
          </w:p>
        </w:tc>
        <w:tc>
          <w:tcPr>
            <w:tcW w:w="146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民宅</w:t>
            </w:r>
          </w:p>
        </w:tc>
        <w:tc>
          <w:tcPr>
            <w:tcW w:w="127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≥100m</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100m内无民房，井口周围300m范围内无居民分布</w:t>
            </w:r>
          </w:p>
        </w:tc>
        <w:tc>
          <w:tcPr>
            <w:tcW w:w="146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铁路</w:t>
            </w:r>
          </w:p>
        </w:tc>
        <w:tc>
          <w:tcPr>
            <w:tcW w:w="127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≥200m</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200m范围内不涉及</w:t>
            </w:r>
          </w:p>
        </w:tc>
        <w:tc>
          <w:tcPr>
            <w:tcW w:w="146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高速公路</w:t>
            </w:r>
          </w:p>
        </w:tc>
        <w:tc>
          <w:tcPr>
            <w:tcW w:w="127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≥200m</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200m范围内不涉及</w:t>
            </w:r>
          </w:p>
        </w:tc>
        <w:tc>
          <w:tcPr>
            <w:tcW w:w="146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学校</w:t>
            </w:r>
          </w:p>
        </w:tc>
        <w:tc>
          <w:tcPr>
            <w:tcW w:w="127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≥500m</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500m范围内不涉及</w:t>
            </w:r>
          </w:p>
        </w:tc>
        <w:tc>
          <w:tcPr>
            <w:tcW w:w="146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医院</w:t>
            </w:r>
          </w:p>
        </w:tc>
        <w:tc>
          <w:tcPr>
            <w:tcW w:w="127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≥500m</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500m范围内不涉及</w:t>
            </w:r>
          </w:p>
        </w:tc>
        <w:tc>
          <w:tcPr>
            <w:tcW w:w="146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油库等高危险场所</w:t>
            </w:r>
          </w:p>
        </w:tc>
        <w:tc>
          <w:tcPr>
            <w:tcW w:w="127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≥500m</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500m范围内不涉及</w:t>
            </w:r>
          </w:p>
        </w:tc>
        <w:tc>
          <w:tcPr>
            <w:tcW w:w="146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集中居住地等人口密集区</w:t>
            </w:r>
          </w:p>
        </w:tc>
        <w:tc>
          <w:tcPr>
            <w:tcW w:w="127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≥500m</w:t>
            </w:r>
          </w:p>
        </w:tc>
        <w:tc>
          <w:tcPr>
            <w:tcW w:w="283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500m范围内不涉及</w:t>
            </w:r>
          </w:p>
        </w:tc>
        <w:tc>
          <w:tcPr>
            <w:tcW w:w="146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满足要求</w:t>
            </w:r>
          </w:p>
        </w:tc>
      </w:tr>
    </w:tbl>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由上表可知，项目井口与各项设施的距离均满足《钻前工程及井场布置技术要求SY/T5466-2013</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石油天然气钻井井控技术规范》（GB/T31033-2014）、《钻井井控技术规程》（SY/T6426-2005）等规定的要求。</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现场调查，本项目处于农村环境，本项目试采期井站为五级站场，周围50m范围内无100人以下的散居房屋和100人以上的居住区、厂矿企业、35kV及以上独立变电所、无林地、无高速公路和铁路、无架空电力线路，300m范围内无爆炸作业场地，满足《石油天然气工程设计防火规范》（GB50183-2004）等要求。</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拟建项目选址内无泉眼、地下暗河等控制性水点分布，不涉及各类保护区</w:t>
      </w:r>
      <w:r>
        <w:rPr>
          <w:rFonts w:hint="default" w:ascii="Times New Roman" w:hAnsi="Times New Roman" w:cs="Times New Roman"/>
          <w:bCs/>
          <w:color w:val="000000" w:themeColor="text1"/>
          <w:szCs w:val="24"/>
          <w:highlight w:val="none"/>
          <w:lang w:eastAsia="zh-CN"/>
          <w14:textFill>
            <w14:solidFill>
              <w14:schemeClr w14:val="tx1"/>
            </w14:solidFill>
          </w14:textFill>
        </w:rPr>
        <w:t>及</w:t>
      </w:r>
      <w:r>
        <w:rPr>
          <w:rFonts w:hint="default" w:ascii="Times New Roman" w:hAnsi="Times New Roman" w:cs="Times New Roman"/>
          <w:bCs/>
          <w:color w:val="000000" w:themeColor="text1"/>
          <w:szCs w:val="24"/>
          <w:highlight w:val="none"/>
          <w14:textFill>
            <w14:solidFill>
              <w14:schemeClr w14:val="tx1"/>
            </w14:solidFill>
          </w14:textFill>
        </w:rPr>
        <w:t>环境敏感区，符合规划和国土管理方面的规定，其选址比较理想。本项目为利用P106-2井已建井场进行建设，本项目运营期不涉及新增占地（施工期仅新增施工期生活区临时占地，施工结束后复垦），在采取补偿等措施后，对</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土地所有者产生的</w:t>
      </w:r>
      <w:r>
        <w:rPr>
          <w:rFonts w:hint="default" w:ascii="Times New Roman" w:hAnsi="Times New Roman" w:cs="Times New Roman"/>
          <w:bCs/>
          <w:color w:val="000000" w:themeColor="text1"/>
          <w:szCs w:val="24"/>
          <w:highlight w:val="none"/>
          <w14:textFill>
            <w14:solidFill>
              <w14:schemeClr w14:val="tx1"/>
            </w14:solidFill>
          </w14:textFill>
        </w:rPr>
        <w:t>影响较小。选址位于当地城镇规划区外，不涉及环境敏感区，符合“三线一单”管控要求，因此项目选址合理。</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82" w:name="_Toc120173089"/>
      <w:bookmarkStart w:id="83" w:name="_Hlk49360744"/>
      <w:r>
        <w:rPr>
          <w:rFonts w:hint="default" w:ascii="Times New Roman" w:hAnsi="Times New Roman" w:cs="Times New Roman"/>
          <w:color w:val="000000" w:themeColor="text1"/>
          <w:highlight w:val="none"/>
          <w:lang w:eastAsia="zh-CN"/>
          <w14:textFill>
            <w14:solidFill>
              <w14:schemeClr w14:val="tx1"/>
            </w14:solidFill>
          </w14:textFill>
        </w:rPr>
        <w:t>平面布置合理性分析</w:t>
      </w:r>
      <w:bookmarkEnd w:id="82"/>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
          <w:bCs w:val="0"/>
          <w:color w:val="000000" w:themeColor="text1"/>
          <w:szCs w:val="24"/>
          <w:highlight w:val="none"/>
          <w14:textFill>
            <w14:solidFill>
              <w14:schemeClr w14:val="tx1"/>
            </w14:solidFill>
          </w14:textFill>
        </w:rPr>
      </w:pPr>
      <w:r>
        <w:rPr>
          <w:rFonts w:hint="default" w:ascii="Times New Roman" w:hAnsi="Times New Roman" w:cs="Times New Roman"/>
          <w:b/>
          <w:bCs w:val="0"/>
          <w:color w:val="000000" w:themeColor="text1"/>
          <w:szCs w:val="24"/>
          <w:highlight w:val="none"/>
          <w14:textFill>
            <w14:solidFill>
              <w14:schemeClr w14:val="tx1"/>
            </w14:solidFill>
          </w14:textFill>
        </w:rPr>
        <w:t>1、钻井工程平面布局合理性分析</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本项目钻井井场沿西南</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东北方向布置，井场长约130m，宽约60m；利旧的放喷池分别位于井场东侧约105m处及东南侧124m处，放喷池容积均为300m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，开口朝向井口方向设置；进场道路</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利旧</w:t>
      </w:r>
      <w:r>
        <w:rPr>
          <w:rFonts w:hint="default" w:ascii="Times New Roman" w:hAnsi="Times New Roman" w:cs="Times New Roman"/>
          <w:bCs/>
          <w:color w:val="000000" w:themeColor="text1"/>
          <w:szCs w:val="24"/>
          <w:highlight w:val="none"/>
          <w14:textFill>
            <w14:solidFill>
              <w14:schemeClr w14:val="tx1"/>
            </w14:solidFill>
          </w14:textFill>
        </w:rPr>
        <w:t>，从</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西</w:t>
      </w:r>
      <w:r>
        <w:rPr>
          <w:rFonts w:hint="default" w:ascii="Times New Roman" w:hAnsi="Times New Roman" w:cs="Times New Roman"/>
          <w:bCs/>
          <w:color w:val="000000" w:themeColor="text1"/>
          <w:szCs w:val="24"/>
          <w:highlight w:val="none"/>
          <w14:textFill>
            <w14:solidFill>
              <w14:schemeClr w14:val="tx1"/>
            </w14:solidFill>
          </w14:textFill>
        </w:rPr>
        <w:t>侧乡村道路接入，路基宽4.5m，总长度约160m。</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总的来说，本项目钻井施工期平面布置按照《钻前工程及井场布置技术要求》（SY/T5466-2013）、《石油与天然气钻井、开发、储运防火防爆安全生产管理规定》（SY5225-2019）、《石油天然气工程设计防火规范》（GB50183-2004）等石油和天然气行业标准的要求进行，钻井井场主要包括井控台、柴油发电机组、泥浆循环系统、泥浆泵、泥浆不落地装置、值班室、技术房、油罐区等。井场外设置有放喷池等。井场平面布置满足防火、安全间距要求，各工程连通顺畅，尽量降低了占地，降低了钻前工程工程量，施工期钻井工程布局是合理的。</w:t>
      </w:r>
    </w:p>
    <w:p>
      <w:pPr>
        <w:pageBreakBefore w:val="0"/>
        <w:widowControl w:val="0"/>
        <w:tabs>
          <w:tab w:val="left" w:pos="0"/>
        </w:tabs>
        <w:kinsoku/>
        <w:wordWrap/>
        <w:overflowPunct/>
        <w:topLinePunct w:val="0"/>
        <w:autoSpaceDE/>
        <w:autoSpaceDN/>
        <w:bidi w:val="0"/>
        <w:adjustRightInd w:val="0"/>
        <w:snapToGrid w:val="0"/>
        <w:ind w:firstLine="482"/>
        <w:textAlignment w:val="auto"/>
        <w:rPr>
          <w:rFonts w:hint="default" w:ascii="Times New Roman" w:hAnsi="Times New Roman" w:cs="Times New Roman"/>
          <w:b w:val="0"/>
          <w:bCs/>
          <w:color w:val="000000" w:themeColor="text1"/>
          <w:szCs w:val="24"/>
          <w:highlight w:val="none"/>
          <w14:textFill>
            <w14:solidFill>
              <w14:schemeClr w14:val="tx1"/>
            </w14:solidFill>
          </w14:textFill>
        </w:rPr>
      </w:pPr>
      <w:r>
        <w:rPr>
          <w:rFonts w:hint="default" w:ascii="Times New Roman" w:hAnsi="Times New Roman" w:cs="Times New Roman"/>
          <w:b w:val="0"/>
          <w:bCs/>
          <w:color w:val="000000" w:themeColor="text1"/>
          <w:szCs w:val="24"/>
          <w:highlight w:val="none"/>
          <w14:textFill>
            <w14:solidFill>
              <w14:schemeClr w14:val="tx1"/>
            </w14:solidFill>
          </w14:textFill>
        </w:rPr>
        <w:t>（1）噪声源布局合理性分析</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本工程井场噪声源布置与《钻前工程及井场布置技术要求》（SY/T5466-2013）等相关要求的符合性见</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_Ref142900231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表2.10</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84" w:name="_Ref142900231"/>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2.10</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bookmarkEnd w:id="84"/>
      <w:r>
        <w:rPr>
          <w:rFonts w:hint="default" w:ascii="Times New Roman" w:hAnsi="Times New Roman" w:cs="Times New Roman"/>
          <w:color w:val="000000" w:themeColor="text1"/>
          <w:highlight w:val="none"/>
          <w14:textFill>
            <w14:solidFill>
              <w14:schemeClr w14:val="tx1"/>
            </w14:solidFill>
          </w14:textFill>
        </w:rPr>
        <w:t xml:space="preserve"> 噪声源布局合理性</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81"/>
        <w:gridCol w:w="3003"/>
        <w:gridCol w:w="1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3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标准及规范要求</w:t>
            </w:r>
          </w:p>
        </w:tc>
        <w:tc>
          <w:tcPr>
            <w:tcW w:w="1761"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本工程噪声源布置</w:t>
            </w:r>
          </w:p>
        </w:tc>
        <w:tc>
          <w:tcPr>
            <w:tcW w:w="90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35"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《钻前工程及井场布置技术要求》（SY/T5466-2013）中的第4.3.2条规定：电动钻机发电机组和电控房应布置并排置于井场的后方。尽量远离敏感点或受噪声影响农户最少</w:t>
            </w:r>
          </w:p>
        </w:tc>
        <w:tc>
          <w:tcPr>
            <w:tcW w:w="1761"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柴油机、泥浆泵布置在中后场（东侧）。散居农户主要分布在井口200m外。</w:t>
            </w:r>
          </w:p>
        </w:tc>
        <w:tc>
          <w:tcPr>
            <w:tcW w:w="90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符合要求</w:t>
            </w: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2"/>
        <w:textAlignment w:val="auto"/>
        <w:rPr>
          <w:rFonts w:hint="default" w:ascii="Times New Roman" w:hAnsi="Times New Roman" w:cs="Times New Roman"/>
          <w:b w:val="0"/>
          <w:bCs/>
          <w:color w:val="000000" w:themeColor="text1"/>
          <w:szCs w:val="24"/>
          <w:highlight w:val="none"/>
          <w14:textFill>
            <w14:solidFill>
              <w14:schemeClr w14:val="tx1"/>
            </w14:solidFill>
          </w14:textFill>
        </w:rPr>
      </w:pPr>
      <w:r>
        <w:rPr>
          <w:rFonts w:hint="default" w:ascii="Times New Roman" w:hAnsi="Times New Roman" w:cs="Times New Roman"/>
          <w:b w:val="0"/>
          <w:bCs/>
          <w:color w:val="000000" w:themeColor="text1"/>
          <w:szCs w:val="24"/>
          <w:highlight w:val="none"/>
          <w14:textFill>
            <w14:solidFill>
              <w14:schemeClr w14:val="tx1"/>
            </w14:solidFill>
          </w14:textFill>
        </w:rPr>
        <w:t>（2）放喷池布置合理性分析</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本项目井场放喷池布置与《钻井井控技术规程》（SY/T6426-2005）等相关要求及规程的符合性见</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_Ref142900247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表2.10</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85" w:name="_Ref142900247"/>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2.10</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bookmarkEnd w:id="85"/>
      <w:r>
        <w:rPr>
          <w:rFonts w:hint="default" w:ascii="Times New Roman" w:hAnsi="Times New Roman" w:cs="Times New Roman"/>
          <w:color w:val="000000" w:themeColor="text1"/>
          <w:highlight w:val="none"/>
          <w14:textFill>
            <w14:solidFill>
              <w14:schemeClr w14:val="tx1"/>
            </w14:solidFill>
          </w14:textFill>
        </w:rPr>
        <w:t xml:space="preserve"> 放喷池布置合理性</w:t>
      </w:r>
    </w:p>
    <w:tbl>
      <w:tblPr>
        <w:tblStyle w:val="5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97"/>
        <w:gridCol w:w="3969"/>
        <w:gridCol w:w="9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39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标准及规范要求</w:t>
            </w:r>
          </w:p>
        </w:tc>
        <w:tc>
          <w:tcPr>
            <w:tcW w:w="396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本工程放喷池布置</w:t>
            </w:r>
          </w:p>
        </w:tc>
        <w:tc>
          <w:tcPr>
            <w:tcW w:w="934"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《钻井井控技术规程》（SY/T6426-2005）中的第4.1.2.3条规定：放喷管线应接至距井口75m以上的安全地带，距各种设施不小于50m。</w:t>
            </w:r>
          </w:p>
        </w:tc>
        <w:tc>
          <w:tcPr>
            <w:tcW w:w="39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利旧的放喷池分别位于井场东侧约105m处及东南侧124m处</w:t>
            </w:r>
            <w:r>
              <w:rPr>
                <w:rFonts w:hint="default" w:ascii="Times New Roman" w:hAnsi="Times New Roman" w:cs="Times New Roman"/>
                <w:bCs/>
                <w:color w:val="000000" w:themeColor="text1"/>
                <w:highlight w:val="none"/>
                <w14:textFill>
                  <w14:solidFill>
                    <w14:schemeClr w14:val="tx1"/>
                  </w14:solidFill>
                </w14:textFill>
              </w:rPr>
              <w:t>，放喷池周边150m范围内均无居民等敏感目标分布</w:t>
            </w:r>
            <w:r>
              <w:rPr>
                <w:rFonts w:hint="default" w:ascii="Times New Roman" w:hAnsi="Times New Roman" w:cs="Times New Roman"/>
                <w:color w:val="000000" w:themeColor="text1"/>
                <w:highlight w:val="none"/>
                <w14:textFill>
                  <w14:solidFill>
                    <w14:schemeClr w14:val="tx1"/>
                  </w14:solidFill>
                </w14:textFill>
              </w:rPr>
              <w:t>，位于井场侧风向。</w:t>
            </w:r>
          </w:p>
        </w:tc>
        <w:tc>
          <w:tcPr>
            <w:tcW w:w="93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符合要求</w:t>
            </w: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综上所述，本工程钻井期井场布置合理，钻井期间平面布置图见附图3。</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
          <w:bCs w:val="0"/>
          <w:color w:val="000000" w:themeColor="text1"/>
          <w:szCs w:val="24"/>
          <w:highlight w:val="none"/>
          <w14:textFill>
            <w14:solidFill>
              <w14:schemeClr w14:val="tx1"/>
            </w14:solidFill>
          </w14:textFill>
        </w:rPr>
      </w:pPr>
      <w:bookmarkStart w:id="86" w:name="_Toc8802"/>
      <w:r>
        <w:rPr>
          <w:rFonts w:hint="default" w:ascii="Times New Roman" w:hAnsi="Times New Roman" w:cs="Times New Roman"/>
          <w:b/>
          <w:bCs w:val="0"/>
          <w:color w:val="000000" w:themeColor="text1"/>
          <w:szCs w:val="24"/>
          <w:highlight w:val="none"/>
          <w14:textFill>
            <w14:solidFill>
              <w14:schemeClr w14:val="tx1"/>
            </w14:solidFill>
          </w14:textFill>
        </w:rPr>
        <w:t>2、试采工程平面布局合理性分析</w:t>
      </w:r>
      <w:bookmarkEnd w:id="86"/>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本项目井口所产天然气依托复建后</w:t>
      </w:r>
      <w:r>
        <w:rPr>
          <w:rFonts w:hint="default" w:ascii="Times New Roman" w:hAnsi="Times New Roman" w:cs="Times New Roman"/>
          <w:color w:val="000000" w:themeColor="text1"/>
          <w:szCs w:val="20"/>
          <w:highlight w:val="none"/>
          <w:lang w:eastAsia="zh-CN"/>
          <w14:textFill>
            <w14:solidFill>
              <w14:schemeClr w14:val="tx1"/>
            </w14:solidFill>
          </w14:textFill>
        </w:rPr>
        <w:t>的</w:t>
      </w:r>
      <w:r>
        <w:rPr>
          <w:rFonts w:hint="default" w:ascii="Times New Roman" w:hAnsi="Times New Roman" w:cs="Times New Roman"/>
          <w:color w:val="000000" w:themeColor="text1"/>
          <w:szCs w:val="20"/>
          <w:highlight w:val="none"/>
          <w14:textFill>
            <w14:solidFill>
              <w14:schemeClr w14:val="tx1"/>
            </w14:solidFill>
          </w14:textFill>
        </w:rPr>
        <w:t>P106集气站（</w:t>
      </w:r>
      <w:r>
        <w:rPr>
          <w:rFonts w:hint="eastAsia" w:cs="Times New Roman"/>
          <w:color w:val="000000" w:themeColor="text1"/>
          <w:szCs w:val="20"/>
          <w:highlight w:val="none"/>
          <w:lang w:val="en-US" w:eastAsia="zh-CN"/>
          <w14:textFill>
            <w14:solidFill>
              <w14:schemeClr w14:val="tx1"/>
            </w14:solidFill>
          </w14:textFill>
        </w:rPr>
        <w:t>工艺流程</w:t>
      </w:r>
      <w:r>
        <w:rPr>
          <w:rFonts w:hint="default" w:ascii="Times New Roman" w:hAnsi="Times New Roman" w:cs="Times New Roman"/>
          <w:color w:val="000000" w:themeColor="text1"/>
          <w:szCs w:val="20"/>
          <w:highlight w:val="none"/>
          <w14:textFill>
            <w14:solidFill>
              <w14:schemeClr w14:val="tx1"/>
            </w14:solidFill>
          </w14:textFill>
        </w:rPr>
        <w:t>与复建前基本一致）</w:t>
      </w:r>
      <w:r>
        <w:rPr>
          <w:rFonts w:hint="eastAsia" w:cs="Times New Roman"/>
          <w:color w:val="000000" w:themeColor="text1"/>
          <w:szCs w:val="20"/>
          <w:highlight w:val="none"/>
          <w:lang w:val="en-US" w:eastAsia="zh-CN"/>
          <w14:textFill>
            <w14:solidFill>
              <w14:schemeClr w14:val="tx1"/>
            </w14:solidFill>
          </w14:textFill>
        </w:rPr>
        <w:t>经</w:t>
      </w:r>
      <w:r>
        <w:rPr>
          <w:rFonts w:hint="default" w:ascii="Times New Roman" w:hAnsi="Times New Roman" w:cs="Times New Roman"/>
          <w:color w:val="000000" w:themeColor="text1"/>
          <w:szCs w:val="20"/>
          <w:highlight w:val="none"/>
          <w14:textFill>
            <w14:solidFill>
              <w14:schemeClr w14:val="tx1"/>
            </w14:solidFill>
          </w14:textFill>
        </w:rPr>
        <w:t>分酸、加热、节流</w:t>
      </w:r>
      <w:r>
        <w:rPr>
          <w:rFonts w:hint="eastAsia" w:cs="Times New Roman"/>
          <w:color w:val="000000" w:themeColor="text1"/>
          <w:szCs w:val="20"/>
          <w:highlight w:val="none"/>
          <w:lang w:eastAsia="zh-CN"/>
          <w14:textFill>
            <w14:solidFill>
              <w14:schemeClr w14:val="tx1"/>
            </w14:solidFill>
          </w14:textFill>
        </w:rPr>
        <w:t>、</w:t>
      </w:r>
      <w:r>
        <w:rPr>
          <w:rFonts w:hint="default" w:ascii="Times New Roman" w:hAnsi="Times New Roman" w:cs="Times New Roman"/>
          <w:color w:val="000000" w:themeColor="text1"/>
          <w:szCs w:val="20"/>
          <w:highlight w:val="none"/>
          <w14:textFill>
            <w14:solidFill>
              <w14:schemeClr w14:val="tx1"/>
            </w14:solidFill>
          </w14:textFill>
        </w:rPr>
        <w:t>计量后依托原有已建管线外输至天然气净化厂</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t>针对</w:t>
      </w:r>
      <w:r>
        <w:rPr>
          <w:rFonts w:hint="default" w:ascii="Times New Roman" w:hAnsi="Times New Roman" w:cs="Times New Roman"/>
          <w:color w:val="000000" w:themeColor="text1"/>
          <w:highlight w:val="none"/>
          <w14:textFill>
            <w14:solidFill>
              <w14:schemeClr w14:val="tx1"/>
            </w14:solidFill>
          </w14:textFill>
        </w:rPr>
        <w:t>本项目而言，</w:t>
      </w:r>
      <w:r>
        <w:rPr>
          <w:rFonts w:hint="eastAsia" w:cs="Times New Roman"/>
          <w:color w:val="000000" w:themeColor="text1"/>
          <w:highlight w:val="none"/>
          <w:lang w:val="en-US" w:eastAsia="zh-CN"/>
          <w14:textFill>
            <w14:solidFill>
              <w14:schemeClr w14:val="tx1"/>
            </w14:solidFill>
          </w14:textFill>
        </w:rPr>
        <w:t>试采期大部分工艺装置均在原位置复建，仅新建临时分酸分离器、移动式乙二醇加注撬车各1套，</w:t>
      </w:r>
      <w:r>
        <w:rPr>
          <w:rFonts w:hint="default" w:ascii="Times New Roman" w:hAnsi="Times New Roman" w:cs="Times New Roman"/>
          <w:color w:val="000000" w:themeColor="text1"/>
          <w:highlight w:val="none"/>
          <w14:textFill>
            <w14:solidFill>
              <w14:schemeClr w14:val="tx1"/>
            </w14:solidFill>
          </w14:textFill>
        </w:rPr>
        <w:t>试采期</w:t>
      </w:r>
      <w:r>
        <w:rPr>
          <w:rFonts w:hint="default" w:ascii="Times New Roman" w:hAnsi="Times New Roman" w:cs="Times New Roman"/>
          <w:color w:val="000000" w:themeColor="text1"/>
          <w:highlight w:val="none"/>
          <w:lang w:eastAsia="zh-CN"/>
          <w14:textFill>
            <w14:solidFill>
              <w14:schemeClr w14:val="tx1"/>
            </w14:solidFill>
          </w14:textFill>
        </w:rPr>
        <w:t>总平面布置</w:t>
      </w:r>
      <w:r>
        <w:rPr>
          <w:rFonts w:hint="default" w:ascii="Times New Roman" w:hAnsi="Times New Roman" w:cs="Times New Roman"/>
          <w:color w:val="000000" w:themeColor="text1"/>
          <w:highlight w:val="none"/>
          <w14:textFill>
            <w14:solidFill>
              <w14:schemeClr w14:val="tx1"/>
            </w14:solidFill>
          </w14:textFill>
        </w:rPr>
        <w:t>简单合理，</w:t>
      </w:r>
      <w:r>
        <w:rPr>
          <w:rFonts w:hint="default" w:ascii="Times New Roman" w:hAnsi="Times New Roman" w:cs="Times New Roman"/>
          <w:bCs/>
          <w:color w:val="000000" w:themeColor="text1"/>
          <w:szCs w:val="24"/>
          <w:highlight w:val="none"/>
          <w14:textFill>
            <w14:solidFill>
              <w14:schemeClr w14:val="tx1"/>
            </w14:solidFill>
          </w14:textFill>
        </w:rPr>
        <w:t>试采期间平面布置图见附图4</w:t>
      </w:r>
      <w:r>
        <w:rPr>
          <w:rFonts w:hint="default" w:ascii="Times New Roman" w:hAnsi="Times New Roman" w:cs="Times New Roman"/>
          <w:bCs/>
          <w:color w:val="000000" w:themeColor="text1"/>
          <w:szCs w:val="24"/>
          <w:highlight w:val="none"/>
          <w:lang w:eastAsia="zh-CN"/>
          <w14:textFill>
            <w14:solidFill>
              <w14:schemeClr w14:val="tx1"/>
            </w14:solidFill>
          </w14:textFill>
        </w:rPr>
        <w:t>。</w:t>
      </w:r>
    </w:p>
    <w:bookmarkEnd w:id="83"/>
    <w:p>
      <w:pPr>
        <w:tabs>
          <w:tab w:val="left" w:pos="0"/>
        </w:tabs>
        <w:spacing w:before="120" w:beforeLines="50"/>
        <w:ind w:firstLine="480"/>
        <w:rPr>
          <w:rFonts w:hint="default" w:ascii="Times New Roman" w:hAnsi="Times New Roman" w:cs="Times New Roman"/>
          <w:bCs/>
          <w:color w:val="000000" w:themeColor="text1"/>
          <w:szCs w:val="24"/>
          <w:highlight w:val="none"/>
          <w14:textFill>
            <w14:solidFill>
              <w14:schemeClr w14:val="tx1"/>
            </w14:solidFill>
          </w14:textFill>
        </w:rPr>
      </w:pPr>
    </w:p>
    <w:p>
      <w:pPr>
        <w:ind w:firstLine="480"/>
        <w:rPr>
          <w:rFonts w:hint="default" w:ascii="Times New Roman" w:hAnsi="Times New Roman" w:cs="Times New Roman"/>
          <w:color w:val="000000" w:themeColor="text1"/>
          <w:highlight w:val="none"/>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p>
    <w:p>
      <w:pPr>
        <w:pStyle w:val="2"/>
        <w:rPr>
          <w:rFonts w:hint="default" w:ascii="Times New Roman" w:hAnsi="Times New Roman" w:cs="Times New Roman"/>
          <w:b/>
          <w:color w:val="000000" w:themeColor="text1"/>
          <w:highlight w:val="none"/>
          <w:lang w:eastAsia="zh-CN"/>
          <w14:textFill>
            <w14:solidFill>
              <w14:schemeClr w14:val="tx1"/>
            </w14:solidFill>
          </w14:textFill>
        </w:rPr>
      </w:pPr>
      <w:bookmarkStart w:id="87" w:name="_Toc1704"/>
      <w:r>
        <w:rPr>
          <w:rFonts w:hint="default" w:ascii="Times New Roman" w:hAnsi="Times New Roman" w:cs="Times New Roman"/>
          <w:color w:val="000000" w:themeColor="text1"/>
          <w:highlight w:val="none"/>
          <w:lang w:eastAsia="zh-CN"/>
          <w14:textFill>
            <w14:solidFill>
              <w14:schemeClr w14:val="tx1"/>
            </w14:solidFill>
          </w14:textFill>
        </w:rPr>
        <w:t>工程分析</w:t>
      </w:r>
      <w:bookmarkEnd w:id="87"/>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88" w:name="_Toc9118"/>
      <w:r>
        <w:rPr>
          <w:rFonts w:hint="default" w:ascii="Times New Roman" w:hAnsi="Times New Roman" w:cs="Times New Roman"/>
          <w:color w:val="000000" w:themeColor="text1"/>
          <w:szCs w:val="24"/>
          <w:highlight w:val="none"/>
          <w:lang w:eastAsia="zh-CN"/>
          <w14:textFill>
            <w14:solidFill>
              <w14:schemeClr w14:val="tx1"/>
            </w14:solidFill>
          </w14:textFill>
        </w:rPr>
        <w:t>现有工程建设情况</w:t>
      </w:r>
      <w:bookmarkEnd w:id="88"/>
    </w:p>
    <w:p>
      <w:pPr>
        <w:pStyle w:val="4"/>
        <w:keepNext/>
        <w:keepLines/>
        <w:pageBreakBefore w:val="0"/>
        <w:widowControl w:val="0"/>
        <w:kinsoku/>
        <w:wordWrap/>
        <w:overflowPunct/>
        <w:topLinePunct w:val="0"/>
        <w:autoSpaceDE/>
        <w:autoSpaceDN/>
        <w:bidi w:val="0"/>
        <w:adjustRightInd w:val="0"/>
        <w:snapToGrid w:val="0"/>
        <w:spacing w:before="0" w:beforeLines="0" w:line="360" w:lineRule="auto"/>
        <w:ind w:left="0" w:leftChars="0"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现有工程基本情况介绍</w:t>
      </w:r>
    </w:p>
    <w:p>
      <w:pPr>
        <w:pStyle w:val="123"/>
        <w:pageBreakBefore w:val="0"/>
        <w:widowControl w:val="0"/>
        <w:kinsoku/>
        <w:wordWrap/>
        <w:overflowPunct/>
        <w:topLinePunct w:val="0"/>
        <w:bidi w:val="0"/>
        <w:adjustRightInd w:val="0"/>
        <w:snapToGrid w:val="0"/>
        <w:spacing w:line="360" w:lineRule="auto"/>
        <w:ind w:left="0"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（1）P106-2井（含P106集气站）</w:t>
      </w:r>
    </w:p>
    <w:p>
      <w:pPr>
        <w:pageBreakBefore w:val="0"/>
        <w:widowControl w:val="0"/>
        <w:kinsoku/>
        <w:wordWrap/>
        <w:overflowPunct/>
        <w:topLinePunct w:val="0"/>
        <w:bidi w:val="0"/>
        <w:adjustRightInd w:val="0"/>
        <w:snapToGrid w:val="0"/>
        <w:spacing w:line="360" w:lineRule="auto"/>
        <w:ind w:left="0" w:firstLine="480"/>
        <w:textAlignment w:val="auto"/>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P106-2井位于</w:t>
      </w:r>
      <w:r>
        <w:rPr>
          <w:rFonts w:hint="default" w:ascii="Times New Roman" w:hAnsi="Times New Roman" w:cs="Times New Roman"/>
          <w:color w:val="000000" w:themeColor="text1"/>
          <w:szCs w:val="21"/>
          <w:highlight w:val="none"/>
          <w14:textFill>
            <w14:solidFill>
              <w14:schemeClr w14:val="tx1"/>
            </w14:solidFill>
          </w14:textFill>
        </w:rPr>
        <w:t>达州市宣汉县普光镇北斗村</w:t>
      </w:r>
      <w:r>
        <w:rPr>
          <w:rFonts w:hint="default" w:ascii="Times New Roman" w:hAnsi="Times New Roman" w:cs="Times New Roman"/>
          <w:color w:val="000000" w:themeColor="text1"/>
          <w:szCs w:val="20"/>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P106-2井于2008年12月开始建设，2009</w:t>
      </w:r>
      <w:r>
        <w:rPr>
          <w:rFonts w:hint="default" w:ascii="Times New Roman" w:hAnsi="Times New Roman" w:cs="Times New Roman"/>
          <w:color w:val="000000" w:themeColor="text1"/>
          <w:highlight w:val="none"/>
          <w:lang w:eastAsia="zh-CN"/>
          <w14:textFill>
            <w14:solidFill>
              <w14:schemeClr w14:val="tx1"/>
            </w14:solidFill>
          </w14:textFill>
        </w:rPr>
        <w:t>年11月</w:t>
      </w:r>
      <w:r>
        <w:rPr>
          <w:rFonts w:hint="default" w:ascii="Times New Roman" w:hAnsi="Times New Roman" w:cs="Times New Roman"/>
          <w:color w:val="000000" w:themeColor="text1"/>
          <w:highlight w:val="none"/>
          <w14:textFill>
            <w14:solidFill>
              <w14:schemeClr w14:val="tx1"/>
            </w14:solidFill>
          </w14:textFill>
        </w:rPr>
        <w:t>建成投产，经钻井后油气测试，获工业气流，普光106-2井平均油压8.5Mpa，日产水平13.3×10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，累产气9.43×10</w:t>
      </w:r>
      <w:r>
        <w:rPr>
          <w:rFonts w:hint="default" w:ascii="Times New Roman" w:hAnsi="Times New Roman" w:cs="Times New Roman"/>
          <w:color w:val="000000" w:themeColor="text1"/>
          <w:highlight w:val="none"/>
          <w:vertAlign w:val="superscript"/>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，目前开发进入递减阶段。</w:t>
      </w:r>
      <w:r>
        <w:rPr>
          <w:rFonts w:hint="default" w:ascii="Times New Roman" w:hAnsi="Times New Roman" w:cs="Times New Roman"/>
          <w:color w:val="000000" w:themeColor="text1"/>
          <w:szCs w:val="20"/>
          <w:highlight w:val="none"/>
          <w14:textFill>
            <w14:solidFill>
              <w14:schemeClr w14:val="tx1"/>
            </w14:solidFill>
          </w14:textFill>
        </w:rPr>
        <w:t>井场占地面积约9926m</w:t>
      </w:r>
      <w:r>
        <w:rPr>
          <w:rFonts w:hint="default" w:ascii="Times New Roman" w:hAnsi="Times New Roman" w:cs="Times New Roman"/>
          <w:color w:val="000000" w:themeColor="text1"/>
          <w:szCs w:val="20"/>
          <w:highlight w:val="none"/>
          <w:vertAlign w:val="superscript"/>
          <w14:textFill>
            <w14:solidFill>
              <w14:schemeClr w14:val="tx1"/>
            </w14:solidFill>
          </w14:textFill>
        </w:rPr>
        <w:t>2</w:t>
      </w:r>
      <w:r>
        <w:rPr>
          <w:rFonts w:hint="default" w:ascii="Times New Roman" w:hAnsi="Times New Roman" w:cs="Times New Roman"/>
          <w:color w:val="000000" w:themeColor="text1"/>
          <w:szCs w:val="20"/>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P106-2井井场规格为130m×60m的井场，后场部分为集气站集输工艺区，</w:t>
      </w:r>
      <w:r>
        <w:rPr>
          <w:rFonts w:hint="default" w:ascii="Times New Roman" w:hAnsi="Times New Roman" w:cs="Times New Roman"/>
          <w:color w:val="000000" w:themeColor="text1"/>
          <w:szCs w:val="20"/>
          <w:highlight w:val="none"/>
          <w14:textFill>
            <w14:solidFill>
              <w14:schemeClr w14:val="tx1"/>
            </w14:solidFill>
          </w14:textFill>
        </w:rPr>
        <w:t xml:space="preserve"> P106-2井</w:t>
      </w:r>
      <w:r>
        <w:rPr>
          <w:rFonts w:hint="default" w:ascii="Times New Roman" w:hAnsi="Times New Roman" w:cs="Times New Roman"/>
          <w:color w:val="000000" w:themeColor="text1"/>
          <w:szCs w:val="21"/>
          <w:highlight w:val="none"/>
          <w:shd w:val="clear" w:color="auto" w:fill="FFFFFF"/>
          <w14:textFill>
            <w14:solidFill>
              <w14:schemeClr w14:val="tx1"/>
            </w14:solidFill>
          </w14:textFill>
        </w:rPr>
        <w:t>老井目的层为</w:t>
      </w:r>
      <w:r>
        <w:rPr>
          <w:rFonts w:hint="default" w:ascii="Times New Roman" w:hAnsi="Times New Roman" w:cs="Times New Roman"/>
          <w:color w:val="000000" w:themeColor="text1"/>
          <w:highlight w:val="none"/>
          <w14:textFill>
            <w14:solidFill>
              <w14:schemeClr w14:val="tx1"/>
            </w14:solidFill>
          </w14:textFill>
        </w:rPr>
        <w:t>下三叠统飞仙关组</w:t>
      </w:r>
      <w:r>
        <w:rPr>
          <w:rFonts w:hint="default" w:ascii="Times New Roman" w:hAnsi="Times New Roman" w:cs="Times New Roman"/>
          <w:color w:val="000000" w:themeColor="text1"/>
          <w:szCs w:val="21"/>
          <w:highlight w:val="none"/>
          <w:shd w:val="clear" w:color="auto" w:fill="FFFFFF"/>
          <w14:textFill>
            <w14:solidFill>
              <w14:schemeClr w14:val="tx1"/>
            </w14:solidFill>
          </w14:textFill>
        </w:rPr>
        <w:t>储层，设计井深6479m，井型/井别： 直井。</w:t>
      </w:r>
      <w:r>
        <w:rPr>
          <w:rFonts w:hint="default" w:ascii="Times New Roman" w:hAnsi="Times New Roman" w:cs="Times New Roman"/>
          <w:color w:val="000000" w:themeColor="text1"/>
          <w:szCs w:val="20"/>
          <w:highlight w:val="none"/>
          <w14:textFill>
            <w14:solidFill>
              <w14:schemeClr w14:val="tx1"/>
            </w14:solidFill>
          </w14:textFill>
        </w:rPr>
        <w:t>建设了160m进场道路，并配套建设了1200m</w:t>
      </w:r>
      <w:r>
        <w:rPr>
          <w:rFonts w:hint="default" w:ascii="Times New Roman" w:hAnsi="Times New Roman" w:cs="Times New Roman"/>
          <w:color w:val="000000" w:themeColor="text1"/>
          <w:szCs w:val="20"/>
          <w:highlight w:val="none"/>
          <w:vertAlign w:val="superscript"/>
          <w14:textFill>
            <w14:solidFill>
              <w14:schemeClr w14:val="tx1"/>
            </w14:solidFill>
          </w14:textFill>
        </w:rPr>
        <w:t>3</w:t>
      </w:r>
      <w:r>
        <w:rPr>
          <w:rFonts w:hint="default" w:ascii="Times New Roman" w:hAnsi="Times New Roman" w:cs="Times New Roman"/>
          <w:color w:val="000000" w:themeColor="text1"/>
          <w:szCs w:val="20"/>
          <w:highlight w:val="none"/>
          <w14:textFill>
            <w14:solidFill>
              <w14:schemeClr w14:val="tx1"/>
            </w14:solidFill>
          </w14:textFill>
        </w:rPr>
        <w:t>的钻井岩屑、钻井泥浆储存池（目前已拆除），保留了清水池1座600m</w:t>
      </w:r>
      <w:r>
        <w:rPr>
          <w:rFonts w:hint="default" w:ascii="Times New Roman" w:hAnsi="Times New Roman" w:cs="Times New Roman"/>
          <w:color w:val="000000" w:themeColor="text1"/>
          <w:szCs w:val="20"/>
          <w:highlight w:val="none"/>
          <w:vertAlign w:val="superscript"/>
          <w14:textFill>
            <w14:solidFill>
              <w14:schemeClr w14:val="tx1"/>
            </w14:solidFill>
          </w14:textFill>
        </w:rPr>
        <w:t>3</w:t>
      </w:r>
      <w:r>
        <w:rPr>
          <w:rFonts w:hint="default" w:ascii="Times New Roman" w:hAnsi="Times New Roman" w:cs="Times New Roman"/>
          <w:color w:val="000000" w:themeColor="text1"/>
          <w:szCs w:val="20"/>
          <w:highlight w:val="none"/>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20×10m放喷池2座</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容积为300m</w:t>
      </w:r>
      <w:r>
        <w:rPr>
          <w:rFonts w:hint="default" w:ascii="Times New Roman" w:hAnsi="Times New Roman" w:cs="Times New Roman"/>
          <w:color w:val="000000" w:themeColor="text1"/>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szCs w:val="20"/>
          <w:highlight w:val="none"/>
          <w14:textFill>
            <w14:solidFill>
              <w14:schemeClr w14:val="tx1"/>
            </w14:solidFill>
          </w14:textFill>
        </w:rPr>
        <w:t>及井场清污分流水沟等辅助设施。根据现场踏勘，P106-2井工程污染物均得到了有效处置，现场进行了有效的生态恢复，不涉及与项目有关的原有环境污染和生态破坏问题。</w:t>
      </w:r>
    </w:p>
    <w:p>
      <w:pPr>
        <w:pageBreakBefore w:val="0"/>
        <w:widowControl w:val="0"/>
        <w:kinsoku/>
        <w:wordWrap/>
        <w:overflowPunct/>
        <w:topLinePunct w:val="0"/>
        <w:autoSpaceDE w:val="0"/>
        <w:autoSpaceDN w:val="0"/>
        <w:bidi w:val="0"/>
        <w:adjustRightInd w:val="0"/>
        <w:snapToGrid w:val="0"/>
        <w:spacing w:line="360" w:lineRule="auto"/>
        <w:ind w:left="0"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次拟侧钻的老井P106-2井位于P106集气站内，属于普光主体区域内的普光3区块，查阅了《中国石化普光气田开发及川气东送管道工程环境影响报告书》（以下称“报告书”），本项目所涉及的老井场老井P106-2井（含P106集气站）属于《报告书》评价内容。</w:t>
      </w:r>
    </w:p>
    <w:p>
      <w:pPr>
        <w:pStyle w:val="65"/>
        <w:pageBreakBefore w:val="0"/>
        <w:widowControl w:val="0"/>
        <w:kinsoku/>
        <w:wordWrap/>
        <w:overflowPunct/>
        <w:topLinePunct w:val="0"/>
        <w:bidi w:val="0"/>
        <w:adjustRightInd w:val="0"/>
        <w:snapToGrid w:val="0"/>
        <w:spacing w:line="360" w:lineRule="auto"/>
        <w:ind w:left="0"/>
        <w:textAlignment w:val="auto"/>
        <w:rPr>
          <w:rFonts w:hint="default"/>
          <w:color w:val="000000" w:themeColor="text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drawing>
          <wp:inline distT="0" distB="0" distL="0" distR="0">
            <wp:extent cx="5214620" cy="2435860"/>
            <wp:effectExtent l="0" t="0" r="5080" b="2540"/>
            <wp:docPr id="20857805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80519" name="图片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14620" cy="2435860"/>
                    </a:xfrm>
                    <a:prstGeom prst="rect">
                      <a:avLst/>
                    </a:prstGeom>
                    <a:noFill/>
                    <a:ln>
                      <a:noFill/>
                    </a:ln>
                  </pic:spPr>
                </pic:pic>
              </a:graphicData>
            </a:graphic>
          </wp:inline>
        </w:drawing>
      </w:r>
    </w:p>
    <w:p>
      <w:pPr>
        <w:pStyle w:val="21"/>
        <w:tabs>
          <w:tab w:val="left" w:pos="3864"/>
        </w:tabs>
        <w:spacing w:before="0"/>
        <w:ind w:left="0" w:firstLine="420"/>
        <w:jc w:val="center"/>
        <w:rPr>
          <w:rFonts w:hint="default" w:ascii="Times New Roman" w:hAnsi="Times New Roman" w:eastAsia="黑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图</w:t>
      </w:r>
      <w:r>
        <w:rPr>
          <w:rFonts w:hint="eastAsia" w:ascii="Times New Roman" w:hAnsi="Times New Roman" w:eastAsia="黑体" w:cs="Times New Roman"/>
          <w:color w:val="000000" w:themeColor="text1"/>
          <w:sz w:val="21"/>
          <w:szCs w:val="21"/>
          <w:highlight w:val="none"/>
          <w:lang w:val="en-US" w:eastAsia="zh-CN"/>
          <w14:textFill>
            <w14:solidFill>
              <w14:schemeClr w14:val="tx1"/>
            </w14:solidFill>
          </w14:textFill>
        </w:rPr>
        <w:t>3.1</w:t>
      </w: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-1 P106-2井（含P106集气站）</w:t>
      </w:r>
      <w:r>
        <w:rPr>
          <w:rFonts w:hint="eastAsia" w:ascii="Times New Roman" w:hAnsi="Times New Roman" w:eastAsia="黑体" w:cs="Times New Roman"/>
          <w:color w:val="000000" w:themeColor="text1"/>
          <w:sz w:val="21"/>
          <w:szCs w:val="21"/>
          <w:highlight w:val="none"/>
          <w:lang w:val="en-US" w:eastAsia="zh-CN"/>
          <w14:textFill>
            <w14:solidFill>
              <w14:schemeClr w14:val="tx1"/>
            </w14:solidFill>
          </w14:textFill>
        </w:rPr>
        <w:t>现状</w:t>
      </w:r>
    </w:p>
    <w:p>
      <w:pPr>
        <w:pStyle w:val="123"/>
        <w:pageBreakBefore w:val="0"/>
        <w:widowControl w:val="0"/>
        <w:kinsoku/>
        <w:wordWrap/>
        <w:overflowPunct/>
        <w:topLinePunct w:val="0"/>
        <w:bidi w:val="0"/>
        <w:adjustRightInd w:val="0"/>
        <w:snapToGrid w:val="0"/>
        <w:spacing w:line="360" w:lineRule="auto"/>
        <w:ind w:left="0"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（2）赵家坝污水处理站</w:t>
      </w:r>
    </w:p>
    <w:p>
      <w:pPr>
        <w:pStyle w:val="123"/>
        <w:pageBreakBefore w:val="0"/>
        <w:widowControl w:val="0"/>
        <w:kinsoku/>
        <w:wordWrap/>
        <w:overflowPunct/>
        <w:topLinePunct w:val="0"/>
        <w:bidi w:val="0"/>
        <w:adjustRightInd w:val="0"/>
        <w:snapToGrid w:val="0"/>
        <w:spacing w:line="360" w:lineRule="auto"/>
        <w:ind w:left="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w:t>
      </w:r>
      <w:r>
        <w:rPr>
          <w:rFonts w:hint="default" w:ascii="Times New Roman" w:hAnsi="Times New Roman" w:cs="Times New Roman"/>
          <w:color w:val="000000" w:themeColor="text1"/>
          <w:highlight w:val="none"/>
          <w:lang w:val="en-US" w:eastAsia="zh-CN"/>
          <w14:textFill>
            <w14:solidFill>
              <w14:schemeClr w14:val="tx1"/>
            </w14:solidFill>
          </w14:textFill>
        </w:rPr>
        <w:t>产生的钻井废水、场地初期雨水、</w:t>
      </w:r>
      <w:r>
        <w:rPr>
          <w:rFonts w:hint="default" w:ascii="Times New Roman" w:hAnsi="Times New Roman" w:cs="Times New Roman"/>
          <w:color w:val="000000" w:themeColor="text1"/>
          <w:highlight w:val="none"/>
          <w14:textFill>
            <w14:solidFill>
              <w14:schemeClr w14:val="tx1"/>
            </w14:solidFill>
          </w14:textFill>
        </w:rPr>
        <w:t>洗井废水、压裂返排液</w:t>
      </w:r>
      <w:r>
        <w:rPr>
          <w:rFonts w:hint="default" w:ascii="Times New Roman" w:hAnsi="Times New Roman" w:cs="Times New Roman"/>
          <w:color w:val="000000" w:themeColor="text1"/>
          <w:highlight w:val="none"/>
          <w:lang w:val="en-US" w:eastAsia="zh-CN"/>
          <w14:textFill>
            <w14:solidFill>
              <w14:schemeClr w14:val="tx1"/>
            </w14:solidFill>
          </w14:textFill>
        </w:rPr>
        <w:t>等尽量回用，剩余不能回用时用</w:t>
      </w:r>
      <w:r>
        <w:rPr>
          <w:rFonts w:hint="default" w:ascii="Times New Roman" w:hAnsi="Times New Roman" w:cs="Times New Roman"/>
          <w:color w:val="000000" w:themeColor="text1"/>
          <w:highlight w:val="none"/>
          <w14:textFill>
            <w14:solidFill>
              <w14:schemeClr w14:val="tx1"/>
            </w14:solidFill>
          </w14:textFill>
        </w:rPr>
        <w:t>密闭罐车拉运至赵家坝污水处理站达到《气田水回注方法》（SY/T 6596-2016）中注入水基本要求后管输至普光11井回注站回注处理，不外排。</w:t>
      </w:r>
    </w:p>
    <w:p>
      <w:pPr>
        <w:pStyle w:val="123"/>
        <w:pageBreakBefore w:val="0"/>
        <w:widowControl w:val="0"/>
        <w:kinsoku/>
        <w:wordWrap/>
        <w:overflowPunct/>
        <w:topLinePunct w:val="0"/>
        <w:bidi w:val="0"/>
        <w:adjustRightInd w:val="0"/>
        <w:snapToGrid w:val="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赵家坝污水处理站位于普光天然气净化厂内，属于普光主体工程，赵家坝污水处理站设计处理能力800m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/d，目前实际处理污水量为350m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/d，处理后的污水进入普光11井</w:t>
      </w:r>
      <w:r>
        <w:rPr>
          <w:rFonts w:hint="default" w:ascii="Times New Roman" w:hAnsi="Times New Roman" w:eastAsia="新宋体" w:cs="Times New Roman"/>
          <w:color w:val="000000" w:themeColor="text1"/>
          <w:highlight w:val="none"/>
          <w14:textFill>
            <w14:solidFill>
              <w14:schemeClr w14:val="tx1"/>
            </w14:solidFill>
          </w14:textFill>
        </w:rPr>
        <w:t>回注站回注处理</w:t>
      </w:r>
      <w:r>
        <w:rPr>
          <w:rFonts w:hint="default" w:ascii="Times New Roman" w:hAnsi="Times New Roman" w:cs="Times New Roman"/>
          <w:color w:val="000000" w:themeColor="text1"/>
          <w:highlight w:val="none"/>
          <w14:textFill>
            <w14:solidFill>
              <w14:schemeClr w14:val="tx1"/>
            </w14:solidFill>
          </w14:textFill>
        </w:rPr>
        <w:t>，污水处理系统采用“氧化除硫+混凝沉降+过滤”工艺，出水水质能够满足《气田水回注方法》（SY/T6596-2004）表1中标准。</w:t>
      </w:r>
    </w:p>
    <w:p>
      <w:pPr>
        <w:pStyle w:val="123"/>
        <w:pageBreakBefore w:val="0"/>
        <w:widowControl w:val="0"/>
        <w:kinsoku/>
        <w:wordWrap/>
        <w:overflowPunct/>
        <w:topLinePunct w:val="0"/>
        <w:bidi w:val="0"/>
        <w:adjustRightInd w:val="0"/>
        <w:snapToGrid w:val="0"/>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赵家坝污水处理站目前剩余处理能力为450m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/d，根据周边</w:t>
      </w:r>
      <w:r>
        <w:rPr>
          <w:rFonts w:hint="eastAsia" w:cs="Times New Roman"/>
          <w:color w:val="000000" w:themeColor="text1"/>
          <w:highlight w:val="none"/>
          <w:lang w:val="en-US" w:eastAsia="zh-CN"/>
          <w14:textFill>
            <w14:solidFill>
              <w14:schemeClr w14:val="tx1"/>
            </w14:solidFill>
          </w14:textFill>
        </w:rPr>
        <w:t>其他</w:t>
      </w:r>
      <w:r>
        <w:rPr>
          <w:rFonts w:hint="default" w:ascii="Times New Roman" w:hAnsi="Times New Roman" w:cs="Times New Roman"/>
          <w:color w:val="000000" w:themeColor="text1"/>
          <w:highlight w:val="none"/>
          <w14:textFill>
            <w14:solidFill>
              <w14:schemeClr w14:val="tx1"/>
            </w14:solidFill>
          </w14:textFill>
        </w:rPr>
        <w:t>钻井作业废水产生情况，钻井期日运输量不超过50m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/d，同时在建项目处理量按照100m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/d计算，故赵家坝污水处理站完全有能力处理本项目钻井期未能回用的作业废水。</w:t>
      </w:r>
    </w:p>
    <w:p>
      <w:pPr>
        <w:pStyle w:val="123"/>
        <w:pageBreakBefore w:val="0"/>
        <w:widowControl w:val="0"/>
        <w:kinsoku/>
        <w:wordWrap/>
        <w:overflowPunct/>
        <w:topLinePunct w:val="0"/>
        <w:bidi w:val="0"/>
        <w:adjustRightInd w:val="0"/>
        <w:snapToGrid w:val="0"/>
        <w:ind w:firstLine="482"/>
        <w:textAlignment w:val="auto"/>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（3）普光11井污水回注站</w:t>
      </w:r>
    </w:p>
    <w:p>
      <w:pPr>
        <w:pStyle w:val="123"/>
        <w:pageBreakBefore w:val="0"/>
        <w:widowControl w:val="0"/>
        <w:kinsoku/>
        <w:wordWrap/>
        <w:overflowPunct/>
        <w:topLinePunct w:val="0"/>
        <w:bidi w:val="0"/>
        <w:adjustRightInd w:val="0"/>
        <w:snapToGrid w:val="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经赵家坝污水处理站处理后的作业废水经处理达标后均通过普光11井回注地层。普光11井位于达州市宣汉县普光镇，天然气净化厂东1.6km处，属于普光主体工程，普光11井主要接收赵家坝污水站来水。该井站回注层位为飞仙关组（井段5552m～5716m），回注水量储集空间为132×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，井口高压管线设计压力为35MPa，目前回注压力4.5MPa，污水回注设计规模为800m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目前回注量为350m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累计注水65×10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，剩余回注空间67×10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本项目钻井期间普光11井有</w:t>
      </w:r>
      <w:r>
        <w:rPr>
          <w:rFonts w:hint="eastAsia" w:cs="Times New Roman"/>
          <w:color w:val="000000" w:themeColor="text1"/>
          <w:highlight w:val="none"/>
          <w:lang w:val="en-US" w:eastAsia="zh-CN"/>
          <w14:textFill>
            <w14:solidFill>
              <w14:schemeClr w14:val="tx1"/>
            </w14:solidFill>
          </w14:textFill>
        </w:rPr>
        <w:t>足够</w:t>
      </w:r>
      <w:r>
        <w:rPr>
          <w:rFonts w:hint="default" w:ascii="Times New Roman" w:hAnsi="Times New Roman" w:cs="Times New Roman"/>
          <w:color w:val="000000" w:themeColor="text1"/>
          <w:highlight w:val="none"/>
          <w14:textFill>
            <w14:solidFill>
              <w14:schemeClr w14:val="tx1"/>
            </w14:solidFill>
          </w14:textFill>
        </w:rPr>
        <w:t>的回注能力及空间</w:t>
      </w:r>
      <w:r>
        <w:rPr>
          <w:rFonts w:hint="eastAsia" w:cs="Times New Roman"/>
          <w:color w:val="000000" w:themeColor="text1"/>
          <w:highlight w:val="none"/>
          <w:lang w:val="en-US" w:eastAsia="zh-CN"/>
          <w14:textFill>
            <w14:solidFill>
              <w14:schemeClr w14:val="tx1"/>
            </w14:solidFill>
          </w14:textFill>
        </w:rPr>
        <w:t>接纳本项目废水</w:t>
      </w:r>
      <w:r>
        <w:rPr>
          <w:rFonts w:hint="default" w:ascii="Times New Roman" w:hAnsi="Times New Roman" w:cs="Times New Roman"/>
          <w:color w:val="000000" w:themeColor="text1"/>
          <w:highlight w:val="none"/>
          <w14:textFill>
            <w14:solidFill>
              <w14:schemeClr w14:val="tx1"/>
            </w14:solidFill>
          </w14:textFill>
        </w:rPr>
        <w:t>。因此，本项目未能回用完的作业废水可由赵家坝污水处理站通过“氧化除硫+混凝沉降+过 滤”工艺处理本项目废水，处理后能够满足《气田水回注方法》（SY/T6596-2004）表1中标准</w:t>
      </w:r>
      <w:r>
        <w:rPr>
          <w:rFonts w:hint="eastAsia" w:cs="Times New Roman"/>
          <w:color w:val="000000" w:themeColor="text1"/>
          <w:highlight w:val="none"/>
          <w:lang w:val="en-US" w:eastAsia="zh-CN"/>
          <w14:textFill>
            <w14:solidFill>
              <w14:schemeClr w14:val="tx1"/>
            </w14:solidFill>
          </w14:textFill>
        </w:rPr>
        <w:t>，并</w:t>
      </w:r>
      <w:r>
        <w:rPr>
          <w:rFonts w:hint="default" w:ascii="Times New Roman" w:hAnsi="Times New Roman" w:cs="Times New Roman"/>
          <w:color w:val="000000" w:themeColor="text1"/>
          <w:highlight w:val="none"/>
          <w14:textFill>
            <w14:solidFill>
              <w14:schemeClr w14:val="tx1"/>
            </w14:solidFill>
          </w14:textFill>
        </w:rPr>
        <w:t>通过普光11井回注地层</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同时普光11井已稳定运行十余年，地下空间结构稳定，运行期间未检测到地下空间发生结构变化，剩余日回注量远大于本项目钻井作业废水产生量，剩余储集空间较大，满足回注要求。</w:t>
      </w:r>
    </w:p>
    <w:p>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br w:type="page"/>
      </w:r>
    </w:p>
    <w:p>
      <w:pPr>
        <w:pStyle w:val="123"/>
        <w:pageBreakBefore w:val="0"/>
        <w:widowControl w:val="0"/>
        <w:kinsoku/>
        <w:wordWrap/>
        <w:overflowPunct/>
        <w:topLinePunct w:val="0"/>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（4）现有</w:t>
      </w:r>
      <w:r>
        <w:rPr>
          <w:rFonts w:hint="eastAsia" w:cs="Times New Roman"/>
          <w:b/>
          <w:bCs/>
          <w:color w:val="000000" w:themeColor="text1"/>
          <w:highlight w:val="none"/>
          <w:lang w:val="en-US" w:eastAsia="zh-CN"/>
          <w14:textFill>
            <w14:solidFill>
              <w14:schemeClr w14:val="tx1"/>
            </w14:solidFill>
          </w14:textFill>
        </w:rPr>
        <w:t>及依托</w:t>
      </w:r>
      <w:r>
        <w:rPr>
          <w:rFonts w:hint="default" w:ascii="Times New Roman" w:hAnsi="Times New Roman" w:cs="Times New Roman"/>
          <w:b/>
          <w:bCs/>
          <w:color w:val="000000" w:themeColor="text1"/>
          <w:highlight w:val="none"/>
          <w14:textFill>
            <w14:solidFill>
              <w14:schemeClr w14:val="tx1"/>
            </w14:solidFill>
          </w14:textFill>
        </w:rPr>
        <w:t>工程 “三同时”情况</w:t>
      </w:r>
    </w:p>
    <w:p>
      <w:pPr>
        <w:pStyle w:val="123"/>
        <w:pageBreakBefore w:val="0"/>
        <w:widowControl w:val="0"/>
        <w:kinsoku/>
        <w:wordWrap/>
        <w:overflowPunct/>
        <w:topLinePunct w:val="0"/>
        <w:bidi w:val="0"/>
        <w:adjustRightInd w:val="0"/>
        <w:snapToGrid w:val="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项目</w:t>
      </w:r>
      <w:r>
        <w:rPr>
          <w:rFonts w:hint="default" w:ascii="Times New Roman" w:hAnsi="Times New Roman" w:cs="Times New Roman"/>
          <w:color w:val="000000" w:themeColor="text1"/>
          <w:highlight w:val="none"/>
          <w14:textFill>
            <w14:solidFill>
              <w14:schemeClr w14:val="tx1"/>
            </w14:solidFill>
          </w14:textFill>
        </w:rPr>
        <w:t>拟侧钻的老井</w:t>
      </w:r>
      <w:r>
        <w:rPr>
          <w:rFonts w:hint="eastAsia" w:cs="Times New Roman"/>
          <w:color w:val="000000" w:themeColor="text1"/>
          <w:highlight w:val="none"/>
          <w:lang w:val="en-US" w:eastAsia="zh-CN"/>
          <w14:textFill>
            <w14:solidFill>
              <w14:schemeClr w14:val="tx1"/>
            </w14:solidFill>
          </w14:textFill>
        </w:rPr>
        <w:t>为</w:t>
      </w:r>
      <w:r>
        <w:rPr>
          <w:rFonts w:hint="default" w:ascii="Times New Roman" w:hAnsi="Times New Roman" w:cs="Times New Roman"/>
          <w:color w:val="000000" w:themeColor="text1"/>
          <w:highlight w:val="none"/>
          <w14:textFill>
            <w14:solidFill>
              <w14:schemeClr w14:val="tx1"/>
            </w14:solidFill>
          </w14:textFill>
        </w:rPr>
        <w:t>P106-2井</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拟依托的污水处理站为赵家坝污水处理站，拟依托的回注井为普光11井污水回注井，现有工程及</w:t>
      </w:r>
      <w:r>
        <w:rPr>
          <w:rFonts w:hint="default" w:ascii="Times New Roman" w:hAnsi="Times New Roman" w:cs="Times New Roman"/>
          <w:color w:val="000000" w:themeColor="text1"/>
          <w:highlight w:val="none"/>
          <w14:textFill>
            <w14:solidFill>
              <w14:schemeClr w14:val="tx1"/>
            </w14:solidFill>
          </w14:textFill>
        </w:rPr>
        <w:t>依托工程“三同时”情况</w:t>
      </w:r>
      <w:r>
        <w:rPr>
          <w:rFonts w:hint="eastAsia" w:cs="Times New Roman"/>
          <w:color w:val="000000" w:themeColor="text1"/>
          <w:highlight w:val="none"/>
          <w:lang w:val="en-US" w:eastAsia="zh-CN"/>
          <w14:textFill>
            <w14:solidFill>
              <w14:schemeClr w14:val="tx1"/>
            </w14:solidFill>
          </w14:textFill>
        </w:rPr>
        <w:t>总结见下表</w:t>
      </w:r>
      <w:r>
        <w:rPr>
          <w:rFonts w:hint="default" w:ascii="Times New Roman" w:hAnsi="Times New Roman" w:cs="Times New Roman"/>
          <w:color w:val="000000" w:themeColor="text1"/>
          <w:highlight w:val="none"/>
          <w14:textFill>
            <w14:solidFill>
              <w14:schemeClr w14:val="tx1"/>
            </w14:solidFill>
          </w14:textFill>
        </w:rPr>
        <w:t>。</w:t>
      </w:r>
      <w:bookmarkStart w:id="89" w:name="_Ref496034542"/>
    </w:p>
    <w:p>
      <w:pPr>
        <w:pStyle w:val="258"/>
        <w:keepNext w:val="0"/>
        <w:keepLines w:val="0"/>
        <w:pageBreakBefore w:val="0"/>
        <w:widowControl w:val="0"/>
        <w:kinsoku/>
        <w:wordWrap/>
        <w:overflowPunct/>
        <w:topLinePunct w:val="0"/>
        <w:autoSpaceDE/>
        <w:autoSpaceDN/>
        <w:bidi w:val="0"/>
        <w:adjustRightInd w:val="0"/>
        <w:snapToGrid w:val="0"/>
        <w:spacing w:line="240" w:lineRule="auto"/>
        <w:ind w:firstLine="480"/>
        <w:textAlignment w:val="auto"/>
        <w:rPr>
          <w:rFonts w:hint="default" w:ascii="Times New Roman" w:hAnsi="Times New Roman" w:eastAsia="黑体" w:cs="Times New Roman"/>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bCs w:val="0"/>
          <w:color w:val="000000" w:themeColor="text1"/>
          <w:kern w:val="2"/>
          <w:sz w:val="21"/>
          <w:szCs w:val="21"/>
          <w:highlight w:val="none"/>
          <w:lang w:val="en-US" w:eastAsia="zh-CN" w:bidi="ar-SA"/>
          <w14:textFill>
            <w14:solidFill>
              <w14:schemeClr w14:val="tx1"/>
            </w14:solidFill>
          </w14:textFill>
        </w:rPr>
        <w:t>表</w:t>
      </w:r>
      <w:bookmarkEnd w:id="89"/>
      <w:r>
        <w:rPr>
          <w:rFonts w:hint="eastAsia" w:eastAsia="黑体" w:cs="Times New Roman"/>
          <w:bCs w:val="0"/>
          <w:color w:val="000000" w:themeColor="text1"/>
          <w:kern w:val="2"/>
          <w:sz w:val="21"/>
          <w:szCs w:val="21"/>
          <w:highlight w:val="none"/>
          <w:lang w:val="en-US" w:eastAsia="zh-CN" w:bidi="ar-SA"/>
          <w14:textFill>
            <w14:solidFill>
              <w14:schemeClr w14:val="tx1"/>
            </w14:solidFill>
          </w14:textFill>
        </w:rPr>
        <w:t>3.1-1</w:t>
      </w:r>
      <w:r>
        <w:rPr>
          <w:rFonts w:hint="default" w:ascii="Times New Roman" w:hAnsi="Times New Roman" w:eastAsia="黑体" w:cs="Times New Roman"/>
          <w:bCs w:val="0"/>
          <w:color w:val="000000" w:themeColor="text1"/>
          <w:kern w:val="2"/>
          <w:sz w:val="21"/>
          <w:szCs w:val="21"/>
          <w:highlight w:val="none"/>
          <w:lang w:val="en-US" w:eastAsia="zh-CN" w:bidi="ar-SA"/>
          <w14:textFill>
            <w14:solidFill>
              <w14:schemeClr w14:val="tx1"/>
            </w14:solidFill>
          </w14:textFill>
        </w:rPr>
        <w:t xml:space="preserve">  </w:t>
      </w:r>
      <w:r>
        <w:rPr>
          <w:rFonts w:hint="eastAsia" w:eastAsia="黑体" w:cs="Times New Roman"/>
          <w:bCs w:val="0"/>
          <w:color w:val="000000" w:themeColor="text1"/>
          <w:kern w:val="2"/>
          <w:sz w:val="21"/>
          <w:szCs w:val="21"/>
          <w:highlight w:val="none"/>
          <w:lang w:val="en-US" w:eastAsia="zh-CN" w:bidi="ar-SA"/>
          <w14:textFill>
            <w14:solidFill>
              <w14:schemeClr w14:val="tx1"/>
            </w14:solidFill>
          </w14:textFill>
        </w:rPr>
        <w:t>现有及</w:t>
      </w:r>
      <w:r>
        <w:rPr>
          <w:rFonts w:hint="default" w:ascii="Times New Roman" w:hAnsi="Times New Roman" w:eastAsia="黑体" w:cs="Times New Roman"/>
          <w:bCs w:val="0"/>
          <w:color w:val="000000" w:themeColor="text1"/>
          <w:kern w:val="2"/>
          <w:sz w:val="21"/>
          <w:szCs w:val="21"/>
          <w:highlight w:val="none"/>
          <w:lang w:val="en-US" w:eastAsia="zh-CN" w:bidi="ar-SA"/>
          <w14:textFill>
            <w14:solidFill>
              <w14:schemeClr w14:val="tx1"/>
            </w14:solidFill>
          </w14:textFill>
        </w:rPr>
        <w:t>依托工程“三同时”情况一览表</w:t>
      </w:r>
    </w:p>
    <w:tbl>
      <w:tblPr>
        <w:tblStyle w:val="52"/>
        <w:tblW w:w="81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98"/>
        <w:gridCol w:w="1052"/>
        <w:gridCol w:w="2822"/>
        <w:gridCol w:w="1833"/>
        <w:gridCol w:w="2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2" w:hRule="atLeast"/>
          <w:jc w:val="center"/>
        </w:trPr>
        <w:tc>
          <w:tcPr>
            <w:tcW w:w="398" w:type="dxa"/>
            <w:vAlign w:val="center"/>
          </w:tcPr>
          <w:p>
            <w:pPr>
              <w:adjustRightInd/>
              <w:spacing w:line="240" w:lineRule="auto"/>
              <w:ind w:firstLine="0" w:firstLineChars="0"/>
              <w:jc w:val="center"/>
              <w:textAlignment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序号</w:t>
            </w:r>
          </w:p>
        </w:tc>
        <w:tc>
          <w:tcPr>
            <w:tcW w:w="1052" w:type="dxa"/>
            <w:vAlign w:val="center"/>
          </w:tcPr>
          <w:p>
            <w:pPr>
              <w:adjustRightInd/>
              <w:spacing w:line="240" w:lineRule="auto"/>
              <w:ind w:firstLine="0" w:firstLineChars="0"/>
              <w:jc w:val="center"/>
              <w:textAlignment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项目名称</w:t>
            </w:r>
          </w:p>
        </w:tc>
        <w:tc>
          <w:tcPr>
            <w:tcW w:w="2822" w:type="dxa"/>
            <w:vAlign w:val="center"/>
          </w:tcPr>
          <w:p>
            <w:pPr>
              <w:adjustRightInd/>
              <w:spacing w:line="240" w:lineRule="auto"/>
              <w:ind w:firstLine="0" w:firstLineChars="0"/>
              <w:jc w:val="center"/>
              <w:textAlignment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工程内容</w:t>
            </w:r>
          </w:p>
        </w:tc>
        <w:tc>
          <w:tcPr>
            <w:tcW w:w="1833" w:type="dxa"/>
            <w:vAlign w:val="center"/>
          </w:tcPr>
          <w:p>
            <w:pPr>
              <w:adjustRightInd/>
              <w:spacing w:line="240" w:lineRule="auto"/>
              <w:ind w:firstLine="0" w:firstLineChars="0"/>
              <w:jc w:val="center"/>
              <w:textAlignment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环评批复时间、文号及批复部门</w:t>
            </w:r>
          </w:p>
        </w:tc>
        <w:tc>
          <w:tcPr>
            <w:tcW w:w="2083" w:type="dxa"/>
            <w:vAlign w:val="center"/>
          </w:tcPr>
          <w:p>
            <w:pPr>
              <w:adjustRightInd/>
              <w:spacing w:line="240" w:lineRule="auto"/>
              <w:ind w:firstLine="0" w:firstLineChars="0"/>
              <w:jc w:val="center"/>
              <w:textAlignment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竣工环保验收时间、文号及验收部门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5" w:hRule="atLeast"/>
          <w:jc w:val="center"/>
        </w:trPr>
        <w:tc>
          <w:tcPr>
            <w:tcW w:w="398"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052"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P106-2井（含P106集气站）</w:t>
            </w:r>
          </w:p>
        </w:tc>
        <w:tc>
          <w:tcPr>
            <w:tcW w:w="2822"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P106-2井及P106集气站相关工程设施</w:t>
            </w:r>
          </w:p>
        </w:tc>
        <w:tc>
          <w:tcPr>
            <w:tcW w:w="1833"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2007年12月14日，</w:t>
            </w:r>
            <w:r>
              <w:rPr>
                <w:rFonts w:hint="default" w:ascii="Times New Roman" w:hAnsi="Times New Roman" w:cs="Times New Roman"/>
                <w:color w:val="000000" w:themeColor="text1"/>
                <w:sz w:val="21"/>
                <w:szCs w:val="24"/>
                <w:highlight w:val="none"/>
                <w14:textFill>
                  <w14:solidFill>
                    <w14:schemeClr w14:val="tx1"/>
                  </w14:solidFill>
                </w14:textFill>
              </w:rPr>
              <w:t>环审〔2007〕76号</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4"/>
                <w:highlight w:val="none"/>
                <w14:textFill>
                  <w14:solidFill>
                    <w14:schemeClr w14:val="tx1"/>
                  </w14:solidFill>
                </w14:textFill>
              </w:rPr>
              <w:t>原国家环境保护总局</w:t>
            </w:r>
          </w:p>
        </w:tc>
        <w:tc>
          <w:tcPr>
            <w:tcW w:w="2083"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2013年5月3日，</w:t>
            </w:r>
            <w:r>
              <w:rPr>
                <w:rFonts w:hint="default" w:ascii="Times New Roman" w:hAnsi="Times New Roman" w:cs="Times New Roman"/>
                <w:color w:val="000000" w:themeColor="text1"/>
                <w:sz w:val="21"/>
                <w:szCs w:val="24"/>
                <w:highlight w:val="none"/>
                <w14:textFill>
                  <w14:solidFill>
                    <w14:schemeClr w14:val="tx1"/>
                  </w14:solidFill>
                </w14:textFill>
              </w:rPr>
              <w:t>环验〔2013〕92号，原中华人民共和国环境保护部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5" w:hRule="atLeast"/>
          <w:jc w:val="center"/>
        </w:trPr>
        <w:tc>
          <w:tcPr>
            <w:tcW w:w="398"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1052"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赵家坝污水处理站及回注站工程</w:t>
            </w:r>
          </w:p>
        </w:tc>
        <w:tc>
          <w:tcPr>
            <w:tcW w:w="2822" w:type="dxa"/>
            <w:vMerge w:val="restart"/>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赵家坝污水处理站；</w:t>
            </w:r>
          </w:p>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普光11井回注站；</w:t>
            </w:r>
          </w:p>
          <w:p>
            <w:pPr>
              <w:spacing w:line="240" w:lineRule="auto"/>
              <w:ind w:firstLine="42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赵家坝污水处理站至普光11井回注站污水回注外输管线。</w:t>
            </w:r>
          </w:p>
        </w:tc>
        <w:tc>
          <w:tcPr>
            <w:tcW w:w="1833"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2015年4月20日，宣环审〔2015〕33号，宣汉县环境保护局</w:t>
            </w:r>
          </w:p>
        </w:tc>
        <w:tc>
          <w:tcPr>
            <w:tcW w:w="2083"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2016年3月4日，宣环验〔2016〕1号，宣汉县环境保护局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5" w:hRule="atLeast"/>
          <w:jc w:val="center"/>
        </w:trPr>
        <w:tc>
          <w:tcPr>
            <w:tcW w:w="398"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w:t>
            </w:r>
          </w:p>
        </w:tc>
        <w:tc>
          <w:tcPr>
            <w:tcW w:w="1052"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普光11井污水回注井</w:t>
            </w:r>
          </w:p>
        </w:tc>
        <w:tc>
          <w:tcPr>
            <w:tcW w:w="2822" w:type="dxa"/>
            <w:vMerge w:val="continue"/>
            <w:vAlign w:val="center"/>
          </w:tcPr>
          <w:p>
            <w:pPr>
              <w:widowControl/>
              <w:adjustRightInd/>
              <w:snapToGrid/>
              <w:spacing w:line="240" w:lineRule="auto"/>
              <w:ind w:firstLine="0" w:firstLineChars="0"/>
              <w:jc w:val="left"/>
              <w:rPr>
                <w:rFonts w:hint="default" w:ascii="Times New Roman" w:hAnsi="Times New Roman" w:cs="Times New Roman"/>
                <w:color w:val="000000" w:themeColor="text1"/>
                <w:sz w:val="21"/>
                <w:szCs w:val="21"/>
                <w:highlight w:val="none"/>
                <w14:textFill>
                  <w14:solidFill>
                    <w14:schemeClr w14:val="tx1"/>
                  </w14:solidFill>
                </w14:textFill>
              </w:rPr>
            </w:pPr>
          </w:p>
        </w:tc>
        <w:tc>
          <w:tcPr>
            <w:tcW w:w="1833"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2008年8月5日，宣环函〔2008〕149号，宣汉县环境保护局</w:t>
            </w:r>
          </w:p>
        </w:tc>
        <w:tc>
          <w:tcPr>
            <w:tcW w:w="2083" w:type="dxa"/>
            <w:vAlign w:val="center"/>
          </w:tcPr>
          <w:p>
            <w:pPr>
              <w:adjustRightInd/>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2010年2月1日，宣环函〔2010〕23号，宣汉县环境保护局</w:t>
            </w:r>
          </w:p>
        </w:tc>
      </w:tr>
    </w:tbl>
    <w:p>
      <w:pPr>
        <w:pStyle w:val="258"/>
        <w:ind w:firstLine="480"/>
        <w:rPr>
          <w:rFonts w:hint="default" w:ascii="Times New Roman" w:hAnsi="Times New Roman" w:eastAsia="黑体" w:cs="Times New Roman"/>
          <w:bCs w:val="0"/>
          <w:color w:val="000000" w:themeColor="text1"/>
          <w:kern w:val="2"/>
          <w:sz w:val="21"/>
          <w:szCs w:val="21"/>
          <w:highlight w:val="none"/>
          <w:lang w:val="en-US" w:eastAsia="zh-CN" w:bidi="ar-SA"/>
          <w14:textFill>
            <w14:solidFill>
              <w14:schemeClr w14:val="tx1"/>
            </w14:solidFill>
          </w14:textFill>
        </w:rPr>
      </w:pP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现有工程设施依托</w:t>
      </w:r>
      <w:r>
        <w:rPr>
          <w:rFonts w:hint="default" w:ascii="Times New Roman" w:hAnsi="Times New Roman" w:cs="Times New Roman"/>
          <w:color w:val="000000" w:themeColor="text1"/>
          <w:highlight w:val="none"/>
          <w14:textFill>
            <w14:solidFill>
              <w14:schemeClr w14:val="tx1"/>
            </w14:solidFill>
          </w14:textFill>
        </w:rPr>
        <w:t>可行性</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（1）集气站</w:t>
      </w:r>
      <w:r>
        <w:rPr>
          <w:rFonts w:hint="eastAsia" w:cs="Times New Roman"/>
          <w:b/>
          <w:bCs/>
          <w:color w:val="000000" w:themeColor="text1"/>
          <w:szCs w:val="24"/>
          <w:highlight w:val="none"/>
          <w:lang w:val="en-US" w:eastAsia="zh-CN"/>
          <w14:textFill>
            <w14:solidFill>
              <w14:schemeClr w14:val="tx1"/>
            </w14:solidFill>
          </w14:textFill>
        </w:rPr>
        <w:t>依托可行性</w:t>
      </w:r>
      <w:r>
        <w:rPr>
          <w:rFonts w:hint="default" w:ascii="Times New Roman" w:hAnsi="Times New Roman" w:cs="Times New Roman"/>
          <w:b/>
          <w:bCs/>
          <w:color w:val="000000" w:themeColor="text1"/>
          <w:szCs w:val="24"/>
          <w:highlight w:val="none"/>
          <w:lang w:eastAsia="zh-CN"/>
          <w14:textFill>
            <w14:solidFill>
              <w14:schemeClr w14:val="tx1"/>
            </w14:solidFill>
          </w14:textFill>
        </w:rPr>
        <w:t>分析</w:t>
      </w:r>
    </w:p>
    <w:p>
      <w:pPr>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 w:val="0"/>
          <w:bCs w:val="0"/>
          <w:color w:val="000000" w:themeColor="text1"/>
          <w:highlight w:val="none"/>
          <w:u w:val="single"/>
          <w14:textFill>
            <w14:solidFill>
              <w14:schemeClr w14:val="tx1"/>
            </w14:solidFill>
          </w14:textFill>
        </w:rPr>
        <w:t>生产规模</w:t>
      </w:r>
      <w:r>
        <w:rPr>
          <w:rFonts w:hint="eastAsia" w:cs="Times New Roman"/>
          <w:b w:val="0"/>
          <w:bCs w:val="0"/>
          <w:color w:val="000000" w:themeColor="text1"/>
          <w:highlight w:val="none"/>
          <w:u w:val="single"/>
          <w:lang w:val="en-US" w:eastAsia="zh-CN"/>
          <w14:textFill>
            <w14:solidFill>
              <w14:schemeClr w14:val="tx1"/>
            </w14:solidFill>
          </w14:textFill>
        </w:rPr>
        <w:t>依托</w:t>
      </w:r>
      <w:r>
        <w:rPr>
          <w:rFonts w:hint="default" w:ascii="Times New Roman" w:hAnsi="Times New Roman" w:cs="Times New Roman"/>
          <w:b w:val="0"/>
          <w:bCs w:val="0"/>
          <w:color w:val="000000" w:themeColor="text1"/>
          <w:highlight w:val="none"/>
          <w:u w:val="single"/>
          <w14:textFill>
            <w14:solidFill>
              <w14:schemeClr w14:val="tx1"/>
            </w14:solidFill>
          </w14:textFill>
        </w:rPr>
        <w:t>可行性分析：</w:t>
      </w:r>
      <w:r>
        <w:rPr>
          <w:rFonts w:hint="default" w:ascii="Times New Roman" w:hAnsi="Times New Roman" w:cs="Times New Roman"/>
          <w:color w:val="000000" w:themeColor="text1"/>
          <w:highlight w:val="none"/>
          <w14:textFill>
            <w14:solidFill>
              <w14:schemeClr w14:val="tx1"/>
            </w14:solidFill>
          </w14:textFill>
        </w:rPr>
        <w:t>P106 集气站原始设计包含1口井，设计规模为40×10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/d，目前处于生产状态， 产量为22×10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/d，本工程实施侧井之后，单井配产为15×10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/d，小于设计规模，P106集气站的生产规模可满足本项目的生产需求</w:t>
      </w:r>
      <w:r>
        <w:rPr>
          <w:rFonts w:hint="default" w:ascii="Times New Roman" w:hAnsi="Times New Roman" w:cs="Times New Roman"/>
          <w:color w:val="000000" w:themeColor="text1"/>
          <w:szCs w:val="24"/>
          <w:highlight w:val="none"/>
          <w14:textFill>
            <w14:solidFill>
              <w14:schemeClr w14:val="tx1"/>
            </w14:solidFill>
          </w14:textFill>
        </w:rPr>
        <w:t>。</w:t>
      </w:r>
    </w:p>
    <w:p>
      <w:pPr>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val="0"/>
          <w:bCs w:val="0"/>
          <w:color w:val="000000" w:themeColor="text1"/>
          <w:highlight w:val="none"/>
          <w:u w:val="single"/>
          <w14:textFill>
            <w14:solidFill>
              <w14:schemeClr w14:val="tx1"/>
            </w14:solidFill>
          </w14:textFill>
        </w:rPr>
        <w:t>水套炉</w:t>
      </w:r>
      <w:r>
        <w:rPr>
          <w:rFonts w:hint="eastAsia" w:cs="Times New Roman"/>
          <w:b w:val="0"/>
          <w:bCs w:val="0"/>
          <w:color w:val="000000" w:themeColor="text1"/>
          <w:highlight w:val="none"/>
          <w:u w:val="single"/>
          <w:lang w:val="en-US" w:eastAsia="zh-CN"/>
          <w14:textFill>
            <w14:solidFill>
              <w14:schemeClr w14:val="tx1"/>
            </w14:solidFill>
          </w14:textFill>
        </w:rPr>
        <w:t>依托</w:t>
      </w:r>
      <w:r>
        <w:rPr>
          <w:rFonts w:hint="default" w:ascii="Times New Roman" w:hAnsi="Times New Roman" w:cs="Times New Roman"/>
          <w:b w:val="0"/>
          <w:bCs w:val="0"/>
          <w:color w:val="000000" w:themeColor="text1"/>
          <w:highlight w:val="none"/>
          <w:u w:val="single"/>
          <w14:textFill>
            <w14:solidFill>
              <w14:schemeClr w14:val="tx1"/>
            </w14:solidFill>
          </w14:textFill>
        </w:rPr>
        <w:t>可行性分析：</w:t>
      </w:r>
      <w:r>
        <w:rPr>
          <w:rFonts w:hint="default" w:ascii="Times New Roman" w:hAnsi="Times New Roman" w:cs="Times New Roman"/>
          <w:color w:val="000000" w:themeColor="text1"/>
          <w:highlight w:val="none"/>
          <w14:textFill>
            <w14:solidFill>
              <w14:schemeClr w14:val="tx1"/>
            </w14:solidFill>
          </w14:textFill>
        </w:rPr>
        <w:t>普光106-2H侧井水套炉所需负荷151.7kW，加热炉热负荷按照86%计算，合计所需水套加热炉负荷176.4kW，站内已建800kW水套加热炉（目前停用状态），满足新井接入 的使用要求。</w:t>
      </w:r>
    </w:p>
    <w:p>
      <w:pPr>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 w:val="0"/>
          <w:bCs w:val="0"/>
          <w:color w:val="000000" w:themeColor="text1"/>
          <w:highlight w:val="none"/>
          <w:u w:val="single"/>
          <w14:textFill>
            <w14:solidFill>
              <w14:schemeClr w14:val="tx1"/>
            </w14:solidFill>
          </w14:textFill>
        </w:rPr>
        <w:t>放空系统</w:t>
      </w:r>
      <w:r>
        <w:rPr>
          <w:rFonts w:hint="eastAsia" w:cs="Times New Roman"/>
          <w:b w:val="0"/>
          <w:bCs w:val="0"/>
          <w:color w:val="000000" w:themeColor="text1"/>
          <w:highlight w:val="none"/>
          <w:u w:val="single"/>
          <w:lang w:val="en-US" w:eastAsia="zh-CN"/>
          <w14:textFill>
            <w14:solidFill>
              <w14:schemeClr w14:val="tx1"/>
            </w14:solidFill>
          </w14:textFill>
        </w:rPr>
        <w:t>依托</w:t>
      </w:r>
      <w:r>
        <w:rPr>
          <w:rFonts w:hint="default" w:ascii="Times New Roman" w:hAnsi="Times New Roman" w:cs="Times New Roman"/>
          <w:b w:val="0"/>
          <w:bCs w:val="0"/>
          <w:color w:val="000000" w:themeColor="text1"/>
          <w:highlight w:val="none"/>
          <w:u w:val="single"/>
          <w14:textFill>
            <w14:solidFill>
              <w14:schemeClr w14:val="tx1"/>
            </w14:solidFill>
          </w14:textFill>
        </w:rPr>
        <w:t>可行性分析：</w:t>
      </w:r>
      <w:r>
        <w:rPr>
          <w:rFonts w:hint="default" w:ascii="Times New Roman" w:hAnsi="Times New Roman" w:cs="Times New Roman"/>
          <w:color w:val="000000" w:themeColor="text1"/>
          <w:highlight w:val="none"/>
          <w14:textFill>
            <w14:solidFill>
              <w14:schemeClr w14:val="tx1"/>
            </w14:solidFill>
          </w14:textFill>
        </w:rPr>
        <w:t>新建普光106-2H侧钻井经新建采气管道输至P106集气站内</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加热炉入口设计压力均为20MPa，流程上在临时分酸分离器设备和加热炉入口管道均设置了安全阀，安全阀规格为DN50×80，整定压力为20MPa，已建DN50×80安全阀满足超压泄放要求。</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（2）外输管线</w:t>
      </w:r>
      <w:r>
        <w:rPr>
          <w:rFonts w:hint="eastAsia" w:cs="Times New Roman"/>
          <w:b/>
          <w:bCs/>
          <w:color w:val="000000" w:themeColor="text1"/>
          <w:szCs w:val="24"/>
          <w:highlight w:val="none"/>
          <w:lang w:val="en-US" w:eastAsia="zh-CN"/>
          <w14:textFill>
            <w14:solidFill>
              <w14:schemeClr w14:val="tx1"/>
            </w14:solidFill>
          </w14:textFill>
        </w:rPr>
        <w:t>依托可行性</w:t>
      </w:r>
      <w:r>
        <w:rPr>
          <w:rFonts w:hint="default" w:ascii="Times New Roman" w:hAnsi="Times New Roman" w:cs="Times New Roman"/>
          <w:b/>
          <w:bCs/>
          <w:color w:val="000000" w:themeColor="text1"/>
          <w:szCs w:val="24"/>
          <w:highlight w:val="none"/>
          <w:lang w:eastAsia="zh-CN"/>
          <w14:textFill>
            <w14:solidFill>
              <w14:schemeClr w14:val="tx1"/>
            </w14:solidFill>
          </w14:textFill>
        </w:rPr>
        <w:t>分析</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P106 集气站原始设计包含1口井，设计规模为40×10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/d，目前处于生产状态， 产量为22×10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/d，本工程实施侧井之后，单井配产为15×10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/d，小于设计规模，且普光106-2H侧井位于的1#线实际输量为878×10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/d，远低于设计输量1110×10</w:t>
      </w:r>
      <w:r>
        <w:rPr>
          <w:rFonts w:hint="default" w:ascii="Times New Roman" w:hAnsi="Times New Roman" w:cs="Times New Roman"/>
          <w:color w:val="000000" w:themeColor="text1"/>
          <w:highlight w:val="none"/>
          <w:vertAlign w:val="super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 经核算，已建外输管道满足普光106-2H侧井投产后天然气外输要求</w:t>
      </w:r>
      <w:r>
        <w:rPr>
          <w:rFonts w:hint="default" w:ascii="Times New Roman" w:hAnsi="Times New Roman" w:cs="Times New Roman"/>
          <w:color w:val="000000" w:themeColor="text1"/>
          <w:szCs w:val="24"/>
          <w:highlight w:val="none"/>
          <w14:textFill>
            <w14:solidFill>
              <w14:schemeClr w14:val="tx1"/>
            </w14:solidFill>
          </w14:textFill>
        </w:rPr>
        <w:t>。</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2474595</wp:posOffset>
                </wp:positionH>
                <wp:positionV relativeFrom="paragraph">
                  <wp:posOffset>897890</wp:posOffset>
                </wp:positionV>
                <wp:extent cx="182880" cy="198755"/>
                <wp:effectExtent l="0" t="38100" r="64770" b="29845"/>
                <wp:wrapNone/>
                <wp:docPr id="476880484" name="直接箭头连接符 9"/>
                <wp:cNvGraphicFramePr/>
                <a:graphic xmlns:a="http://schemas.openxmlformats.org/drawingml/2006/main">
                  <a:graphicData uri="http://schemas.microsoft.com/office/word/2010/wordprocessingShape">
                    <wps:wsp>
                      <wps:cNvCnPr/>
                      <wps:spPr>
                        <a:xfrm flipV="1">
                          <a:off x="0" y="0"/>
                          <a:ext cx="182880" cy="19878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9" o:spid="_x0000_s1026" o:spt="32" type="#_x0000_t32" style="position:absolute;left:0pt;flip:y;margin-left:194.85pt;margin-top:70.7pt;height:15.65pt;width:14.4pt;z-index:251709440;mso-width-relative:page;mso-height-relative:page;" filled="f" stroked="t" coordsize="21600,21600" o:gfxdata="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wNmZ+twAAAAL&#10;AQAADwAAAAAAAAABACAAAAAiAAAAZHJzL2Rvd25yZXYueG1sUEsBAhQAFAAAAAgAh07iQMQSIvMY&#10;AgAA9wMAAA4AAAAAAAAAAQAgAAAAKwEAAGRycy9lMm9Eb2MueG1sUEsFBgAAAAAGAAYAWQEAALUF&#10;AAAAAA==&#10;">
                <v:fill on="f" focussize="0,0"/>
                <v:stroke weight="0.5pt" color="#FFFFFF [3212]" miterlimit="8" joinstyle="miter" endarrow="block"/>
                <v:imagedata o:title=""/>
                <o:lock v:ext="edit" aspectratio="f"/>
              </v:shape>
            </w:pict>
          </mc:Fallback>
        </mc:AlternateContent>
      </w:r>
      <w:r>
        <w:rPr>
          <w:rFonts w:hint="eastAsia" w:cs="Times New Roman"/>
          <w:bCs/>
          <w:color w:val="000000" w:themeColor="text1"/>
          <w:highlight w:val="none"/>
          <w:lang w:val="en-US" w:eastAsia="zh-CN"/>
          <w14:textFill>
            <w14:solidFill>
              <w14:schemeClr w14:val="tx1"/>
            </w14:solidFill>
          </w14:textFill>
        </w:rPr>
        <w:t>**</w:t>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普光气田管网分布图</w:t>
      </w:r>
    </w:p>
    <w:p>
      <w:pPr>
        <w:pStyle w:val="3"/>
        <w:keepNext/>
        <w:keepLines/>
        <w:pageBreakBefore w:val="0"/>
        <w:widowControl w:val="0"/>
        <w:kinsoku/>
        <w:wordWrap/>
        <w:overflowPunct/>
        <w:topLinePunct w:val="0"/>
        <w:autoSpaceDE/>
        <w:autoSpaceDN/>
        <w:bidi w:val="0"/>
        <w:adjustRightInd w:val="0"/>
        <w:snapToGrid w:val="0"/>
        <w:ind w:firstLineChars="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90" w:name="_Toc31227"/>
      <w:r>
        <w:rPr>
          <w:rFonts w:hint="default" w:ascii="Times New Roman" w:hAnsi="Times New Roman" w:cs="Times New Roman"/>
          <w:color w:val="000000" w:themeColor="text1"/>
          <w:highlight w:val="none"/>
          <w:lang w:eastAsia="zh-CN"/>
          <w14:textFill>
            <w14:solidFill>
              <w14:schemeClr w14:val="tx1"/>
            </w14:solidFill>
          </w14:textFill>
        </w:rPr>
        <w:t>项目概况</w:t>
      </w:r>
      <w:bookmarkEnd w:id="90"/>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91" w:name="_Toc120173099"/>
      <w:r>
        <w:rPr>
          <w:rFonts w:hint="default" w:ascii="Times New Roman" w:hAnsi="Times New Roman" w:cs="Times New Roman"/>
          <w:color w:val="000000" w:themeColor="text1"/>
          <w:highlight w:val="none"/>
          <w:lang w:eastAsia="zh-CN"/>
          <w14:textFill>
            <w14:solidFill>
              <w14:schemeClr w14:val="tx1"/>
            </w14:solidFill>
          </w14:textFill>
        </w:rPr>
        <w:t>建设项目基本情况</w:t>
      </w:r>
      <w:bookmarkEnd w:id="91"/>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项目名称：普光气田P106-2H侧井钻井及试采工程；</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建设单位：中国石油化工股份有限公司中原油田普光分公司；</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建设性质：</w:t>
      </w:r>
      <w:r>
        <w:rPr>
          <w:rFonts w:hint="eastAsia" w:cs="Times New Roman"/>
          <w:bCs/>
          <w:color w:val="000000" w:themeColor="text1"/>
          <w:szCs w:val="24"/>
          <w:highlight w:val="none"/>
          <w:lang w:val="en-US" w:eastAsia="zh-CN"/>
          <w14:textFill>
            <w14:solidFill>
              <w14:schemeClr w14:val="tx1"/>
            </w14:solidFill>
          </w14:textFill>
        </w:rPr>
        <w:t>改扩建</w:t>
      </w:r>
      <w:r>
        <w:rPr>
          <w:rFonts w:hint="default" w:ascii="Times New Roman" w:hAnsi="Times New Roman" w:cs="Times New Roman"/>
          <w:bCs/>
          <w:color w:val="000000" w:themeColor="text1"/>
          <w:szCs w:val="24"/>
          <w:highlight w:val="none"/>
          <w14:textFill>
            <w14:solidFill>
              <w14:schemeClr w14:val="tx1"/>
            </w14:solidFill>
          </w14:textFill>
        </w:rPr>
        <w:t>；</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建设地点：宣汉县普光镇北斗村；</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建设规模：项目投产后普光106-2H侧钻井配产15×10</w:t>
      </w:r>
      <w:r>
        <w:rPr>
          <w:rFonts w:hint="default" w:ascii="Times New Roman" w:hAnsi="Times New Roman" w:cs="Times New Roman"/>
          <w:color w:val="000000" w:themeColor="text1"/>
          <w:szCs w:val="24"/>
          <w:highlight w:val="none"/>
          <w:vertAlign w:val="superscript"/>
          <w14:textFill>
            <w14:solidFill>
              <w14:schemeClr w14:val="tx1"/>
            </w14:solidFill>
          </w14:textFill>
        </w:rPr>
        <w:t>4</w:t>
      </w:r>
      <w:r>
        <w:rPr>
          <w:rFonts w:hint="default" w:ascii="Times New Roman" w:hAnsi="Times New Roman" w:cs="Times New Roman"/>
          <w:color w:val="000000" w:themeColor="text1"/>
          <w:szCs w:val="24"/>
          <w:highlight w:val="none"/>
          <w14:textFill>
            <w14:solidFill>
              <w14:schemeClr w14:val="tx1"/>
            </w14:solidFill>
          </w14:textFill>
        </w:rPr>
        <w:t>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/d；</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项目投资：</w:t>
      </w:r>
      <w:r>
        <w:rPr>
          <w:rFonts w:hint="eastAsia"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w:t>
      </w:r>
    </w:p>
    <w:p>
      <w:pPr>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构造位置：四川盆地川东断褶带黄金口构造带普光构造；</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井型：井型为侧钻水平井；</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设计井深：普光106-2H侧钻井：6643.58米（斜深），垂深5511.43米，</w:t>
      </w:r>
      <w:r>
        <w:rPr>
          <w:rFonts w:hint="default" w:ascii="Times New Roman" w:hAnsi="Times New Roman" w:cs="Times New Roman"/>
          <w:bCs/>
          <w:color w:val="000000" w:themeColor="text1"/>
          <w:highlight w:val="none"/>
          <w14:textFill>
            <w14:solidFill>
              <w14:schemeClr w14:val="tx1"/>
            </w14:solidFill>
          </w14:textFill>
        </w:rPr>
        <w:t>侧钻井眼长1756.58米，侧钻水平段长度781米</w:t>
      </w:r>
      <w:r>
        <w:rPr>
          <w:rFonts w:hint="default" w:ascii="Times New Roman" w:hAnsi="Times New Roman" w:cs="Times New Roman"/>
          <w:color w:val="000000" w:themeColor="text1"/>
          <w:szCs w:val="24"/>
          <w:highlight w:val="none"/>
          <w14:textFill>
            <w14:solidFill>
              <w14:schemeClr w14:val="tx1"/>
            </w14:solidFill>
          </w14:textFill>
        </w:rPr>
        <w:t>；</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目的层位：飞仙关组一二段；</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bookmarkStart w:id="92" w:name="_Hlk97284111"/>
      <w:r>
        <w:rPr>
          <w:rFonts w:hint="default" w:ascii="Times New Roman" w:hAnsi="Times New Roman" w:cs="Times New Roman"/>
          <w:color w:val="000000" w:themeColor="text1"/>
          <w:szCs w:val="24"/>
          <w:highlight w:val="none"/>
          <w14:textFill>
            <w14:solidFill>
              <w14:schemeClr w14:val="tx1"/>
            </w14:solidFill>
          </w14:textFill>
        </w:rPr>
        <w:t>完钻层</w:t>
      </w:r>
      <w:bookmarkEnd w:id="92"/>
      <w:r>
        <w:rPr>
          <w:rFonts w:hint="default" w:ascii="Times New Roman" w:hAnsi="Times New Roman" w:cs="Times New Roman"/>
          <w:color w:val="000000" w:themeColor="text1"/>
          <w:szCs w:val="24"/>
          <w:highlight w:val="none"/>
          <w14:textFill>
            <w14:solidFill>
              <w14:schemeClr w14:val="tx1"/>
            </w14:solidFill>
          </w14:textFill>
        </w:rPr>
        <w:t>位：飞仙关组一二段；</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完井方式：裸眼完井；</w:t>
      </w:r>
    </w:p>
    <w:p>
      <w:pPr>
        <w:pStyle w:val="123"/>
        <w:pageBreakBefore w:val="0"/>
        <w:kinsoku/>
        <w:wordWrap/>
        <w:overflowPunct/>
        <w:topLinePunct w:val="0"/>
        <w:autoSpaceDE/>
        <w:autoSpaceDN/>
        <w:bidi w:val="0"/>
        <w:adjustRightInd w:val="0"/>
        <w:snapToGrid w:val="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项目基本情况：建设内容包括施工期钻前工程、钻完井工程及</w:t>
      </w:r>
      <w:bookmarkStart w:id="93" w:name="_Hlk152579607"/>
      <w:r>
        <w:rPr>
          <w:rFonts w:hint="default" w:ascii="Times New Roman" w:hAnsi="Times New Roman" w:cs="Times New Roman"/>
          <w:color w:val="000000" w:themeColor="text1"/>
          <w:szCs w:val="24"/>
          <w:highlight w:val="none"/>
          <w14:textFill>
            <w14:solidFill>
              <w14:schemeClr w14:val="tx1"/>
            </w14:solidFill>
          </w14:textFill>
        </w:rPr>
        <w:t>储层改造工程</w:t>
      </w:r>
      <w:bookmarkEnd w:id="93"/>
      <w:r>
        <w:rPr>
          <w:rFonts w:hint="default" w:ascii="Times New Roman" w:hAnsi="Times New Roman" w:cs="Times New Roman"/>
          <w:color w:val="000000" w:themeColor="text1"/>
          <w:szCs w:val="24"/>
          <w:highlight w:val="none"/>
          <w14:textFill>
            <w14:solidFill>
              <w14:schemeClr w14:val="tx1"/>
            </w14:solidFill>
          </w14:textFill>
        </w:rPr>
        <w:t>和试采期的油气集输工程。</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94" w:name="_Toc120173100"/>
      <w:r>
        <w:rPr>
          <w:rFonts w:hint="default" w:ascii="Times New Roman" w:hAnsi="Times New Roman" w:cs="Times New Roman"/>
          <w:color w:val="000000" w:themeColor="text1"/>
          <w:highlight w:val="none"/>
          <w:lang w:eastAsia="zh-CN"/>
          <w14:textFill>
            <w14:solidFill>
              <w14:schemeClr w14:val="tx1"/>
            </w14:solidFill>
          </w14:textFill>
        </w:rPr>
        <w:t>气藏地质特征</w:t>
      </w:r>
      <w:bookmarkEnd w:id="94"/>
    </w:p>
    <w:p>
      <w:pPr>
        <w:pStyle w:val="5"/>
        <w:pageBreakBefore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气藏地质概况</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普光气田主体位于四川省宣汉县境内，构造上介于大巴山推覆带前缘褶断带与川中平缓褶皱带之间，属于川东断褶带东北段双石庙—普光北东向构造带上的一个鼻状构造。地层南西高北东低、主要呈单斜特征。断裂系统以北东向断层为主，主要包括东岳寨—普光断层、普光7断层、老君庙南断层及普光3等4条断层。其中，普光3断层将主体构造分为普光2块、普光3块。</w:t>
      </w:r>
      <w:r>
        <w:rPr>
          <w:rFonts w:hint="default" w:ascii="Times New Roman" w:hAnsi="Times New Roman" w:cs="Times New Roman"/>
          <w:color w:val="000000" w:themeColor="text1"/>
          <w:highlight w:val="none"/>
          <w14:textFill>
            <w14:solidFill>
              <w14:schemeClr w14:val="tx1"/>
            </w14:solidFill>
          </w14:textFill>
        </w:rPr>
        <w:t>普光主体位于四川省宣汉县境内，构造上介于大巴山推覆带前缘褶断带与川中平缓褶皱带之间，属于川东断褶带东北段双石庙—普光北东向构造带上的一个鼻状构造</w:t>
      </w:r>
      <w:r>
        <w:rPr>
          <w:rFonts w:hint="default" w:ascii="Times New Roman" w:hAnsi="Times New Roman" w:cs="Times New Roman"/>
          <w:color w:val="000000" w:themeColor="text1"/>
          <w:szCs w:val="24"/>
          <w:highlight w:val="none"/>
          <w14:textFill>
            <w14:solidFill>
              <w14:schemeClr w14:val="tx1"/>
            </w14:solidFill>
          </w14:textFill>
        </w:rPr>
        <w:t>。为构造</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岩性控制的、高含HS、带边水的裂缝-孔隙型气藏。</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普光气田主体探明含气层系为下三叠统飞仙关组和上二叠统长兴组，储层岩性为溶孔白云岩、鲕粒白云岩等，储集空间类型以孔隙为主，裂缝发育较少。储层物性总体较好，平均孔隙度8.2%，以中</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高孔隙储层为主；平均渗透率1.11mD，以中</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低渗储层为主。其中，飞一二段储层物性较好，平均孔隙度9.1%，平均渗透率1.77mD。飞一二段储层呈现强非均质性特征，水平井开发方式致使部分井区储量动用不充分。</w:t>
      </w:r>
    </w:p>
    <w:p>
      <w:pPr>
        <w:pStyle w:val="5"/>
        <w:pageBreakBefore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地层特征</w:t>
      </w:r>
    </w:p>
    <w:p>
      <w:pPr>
        <w:pageBreakBefore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钻井揭示及地表露头，普光地区下古生界地层较完整，仅缺失志留系上统；上古生界缺失了泥盆系全部和石炭系大部，仅残留中石炭统黄龙组，二叠系齐全；中生界三叠系、侏罗系保留较全，早白垩世地层保留较好，上白垩统缺失；新生界基本没有沉积保留。受构造运动的影响，地层间发育较多不整合面，在海相地层中，志留系与石炭系、石炭系与二叠系、上、下二叠统之间皆为平行不整合接触关系。晚三叠世末期的印支运动，四川盆地整体抬升成陆，古特提斯海海水彻底退出扬子地台，接受以陆相碎屑岩为主的湖泊～三角洲～河流沉积。普光地区已探明含气层系主要为二叠系上统的长兴组及三叠系下统飞仙关组。普光2-普光301-4-普光302-1井区飞仙关组地层较厚，向边部地层减薄。</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川东北宣汉～达县地区地层岩性特征（普光构造）表</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气藏构造特征</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综合研究表明，宣汉－达县三维区内上、中构造层的断层系统有明显差异，上构造层断层较多，但是规摸较小，断层走向以NW为主。同时，存在NE向调节断层；中构造层断层发育数量较上层的少，中构造层断层规模较大，断层走向主要以NE向为主，局部地区发育了部分NW向断层。纵向上，由于嘉陵江组膏岩层的存在而形成滑脱分界面。因此，上、中构造层的断层互不相通。</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依据其发育特征，中构造层断层又可分为燕山晚期与早喜山期高角度逆冲断层两种类型。采用井震结合、相干体、倾角导向滤波等技术，对区域内断裂系统进行精细构造解释。其中，对三维区内普光主体构造形成演化起到控制作用的Ⅱ级断层有2条，为普光东岳寨断层和普光7断层，对三级构造单元有影响的Ⅲ级断层主要有1条，即普光3断层。这3条断层与普光主体构造的形成有密切的关系。同时综合台缘滩体储层叠置发育特征识别普光主体南部及构造翼部多条低序级断层。</w:t>
      </w:r>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地层层序及压力系数</w:t>
      </w:r>
    </w:p>
    <w:p>
      <w:pPr>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本项目拟建两口井地层剖面及压力系数如下：</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设计地层剖面</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压力系数预测表</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pStyle w:val="202"/>
        <w:pageBreakBefore w:val="0"/>
        <w:widowControl w:val="0"/>
        <w:kinsoku/>
        <w:wordWrap/>
        <w:overflowPunct/>
        <w:topLinePunct w:val="0"/>
        <w:bidi w:val="0"/>
        <w:adjustRightInd w:val="0"/>
        <w:snapToGrid w:val="0"/>
        <w:spacing w:before="0" w:after="0"/>
        <w:rPr>
          <w:rFonts w:hint="default" w:ascii="Times New Roman" w:hAnsi="Times New Roman" w:cs="Times New Roman"/>
          <w:color w:val="000000" w:themeColor="text1"/>
          <w:highlight w:val="none"/>
          <w14:textFill>
            <w14:solidFill>
              <w14:schemeClr w14:val="tx1"/>
            </w14:solidFill>
          </w14:textFill>
        </w:rPr>
      </w:pPr>
    </w:p>
    <w:p>
      <w:pPr>
        <w:pStyle w:val="5"/>
        <w:pageBreakBefore w:val="0"/>
        <w:widowControl w:val="0"/>
        <w:kinsoku/>
        <w:wordWrap/>
        <w:overflowPunct/>
        <w:topLinePunct w:val="0"/>
        <w:bidi w:val="0"/>
        <w:adjustRightInd w:val="0"/>
        <w:snapToGrid w:val="0"/>
        <w:spacing w:before="0" w:beforeLines="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井身结构</w:t>
      </w:r>
    </w:p>
    <w:p>
      <w:pPr>
        <w:pageBreakBefore w:val="0"/>
        <w:widowControl w:val="0"/>
        <w:tabs>
          <w:tab w:val="left" w:pos="0"/>
        </w:tabs>
        <w:kinsoku/>
        <w:wordWrap/>
        <w:overflowPunct/>
        <w:topLinePunct w:val="0"/>
        <w:bidi w:val="0"/>
        <w:adjustRightInd w:val="0"/>
        <w:snapToGrid w:val="0"/>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1、井身结构设计</w:t>
      </w:r>
    </w:p>
    <w:p>
      <w:pPr>
        <w:pageBreakBefore w:val="0"/>
        <w:widowControl w:val="0"/>
        <w:kinsoku/>
        <w:wordWrap/>
        <w:overflowPunct/>
        <w:topLinePunct w:val="0"/>
        <w:bidi w:val="0"/>
        <w:adjustRightInd w:val="0"/>
        <w:snapToGrid w:val="0"/>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（1）老井眼井身结构：</w:t>
      </w:r>
    </w:p>
    <w:p>
      <w:pPr>
        <w:pageBreakBefore w:val="0"/>
        <w:widowControl w:val="0"/>
        <w:kinsoku/>
        <w:wordWrap/>
        <w:overflowPunct/>
        <w:topLinePunct w:val="0"/>
        <w:bidi w:val="0"/>
        <w:adjustRightInd w:val="0"/>
        <w:snapToGrid w:val="0"/>
        <w:ind w:firstLine="48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钻头程序：Φ660.40mm×45.45m+Φ444.50mm×910.18m+Φ314.10mm×4313.66m+Φ241. 3 mm×6805.00m</w:t>
      </w:r>
    </w:p>
    <w:p>
      <w:pPr>
        <w:ind w:firstLine="480"/>
        <w:jc w:val="left"/>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套管程序：Φ508.00mm×45.45m+Φ346.08mm×910.08m+Φ273.05mm×4310m+Φ177.80 mm×6479.58m</w:t>
      </w:r>
    </w:p>
    <w:p>
      <w:pPr>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⑸侧钻井眼井身结构：</w:t>
      </w:r>
    </w:p>
    <w:p>
      <w:pPr>
        <w:ind w:firstLine="480"/>
        <w:jc w:val="left"/>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钻头程序：Φ149.2mm钻头×（4887~6643.58）m</w:t>
      </w:r>
    </w:p>
    <w:p>
      <w:pPr>
        <w:pStyle w:val="27"/>
        <w:ind w:firstLine="48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套管程序：Φ127mm套管×（4587-5400</w:t>
      </w:r>
      <w:r>
        <w:rPr>
          <w:rFonts w:hint="default" w:ascii="Times New Roman" w:hAnsi="Times New Roman" w:cs="Times New Roman"/>
          <w:color w:val="000000" w:themeColor="text1"/>
          <w:sz w:val="20"/>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m+Φ114.3mm套管×（5400-6640</w:t>
      </w:r>
      <w:r>
        <w:rPr>
          <w:rFonts w:hint="default" w:ascii="Times New Roman" w:hAnsi="Times New Roman" w:cs="Times New Roman"/>
          <w:color w:val="000000" w:themeColor="text1"/>
          <w:sz w:val="20"/>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m</w:t>
      </w:r>
    </w:p>
    <w:p>
      <w:pPr>
        <w:ind w:left="480" w:firstLine="0" w:firstLineChars="0"/>
        <w:jc w:val="left"/>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水泥返高：悬挂器</w:t>
      </w:r>
      <w:r>
        <w:rPr>
          <w:rFonts w:hint="default" w:ascii="Times New Roman" w:hAnsi="Times New Roman" w:cs="Times New Roman"/>
          <w:color w:val="000000" w:themeColor="text1"/>
          <w:szCs w:val="24"/>
          <w:highlight w:val="none"/>
          <w14:textFill>
            <w14:solidFill>
              <w14:schemeClr w14:val="tx1"/>
            </w14:solidFill>
          </w14:textFill>
        </w:rPr>
        <w:t>。</w:t>
      </w:r>
    </w:p>
    <w:p>
      <w:pPr>
        <w:tabs>
          <w:tab w:val="left" w:pos="0"/>
        </w:tabs>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2、井身结构</w:t>
      </w:r>
    </w:p>
    <w:p>
      <w:pPr>
        <w:pStyle w:val="201"/>
        <w:pageBreakBefore/>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普光</w:t>
      </w:r>
      <w:r>
        <w:rPr>
          <w:rFonts w:hint="eastAsia" w:ascii="Times New Roman" w:hAnsi="Times New Roman" w:cs="Times New Roman"/>
          <w:color w:val="000000" w:themeColor="text1"/>
          <w:highlight w:val="none"/>
          <w:lang w:eastAsia="zh-CN"/>
          <w14:textFill>
            <w14:solidFill>
              <w14:schemeClr w14:val="tx1"/>
            </w14:solidFill>
          </w14:textFill>
        </w:rPr>
        <w:t>106-2</w:t>
      </w:r>
      <w:r>
        <w:rPr>
          <w:rFonts w:hint="default" w:ascii="Times New Roman" w:hAnsi="Times New Roman" w:cs="Times New Roman"/>
          <w:color w:val="000000" w:themeColor="text1"/>
          <w:highlight w:val="none"/>
          <w14:textFill>
            <w14:solidFill>
              <w14:schemeClr w14:val="tx1"/>
            </w14:solidFill>
          </w14:textFill>
        </w:rPr>
        <w:t>H侧钻井井身结构设计</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pStyle w:val="202"/>
        <w:ind w:firstLine="480"/>
        <w:rPr>
          <w:rFonts w:hint="default" w:ascii="Times New Roman" w:hAnsi="Times New Roman" w:cs="Times New Roman"/>
          <w:color w:val="000000" w:themeColor="text1"/>
          <w:highlight w:val="none"/>
          <w14:textFill>
            <w14:solidFill>
              <w14:schemeClr w14:val="tx1"/>
            </w14:solidFill>
          </w14:textFill>
        </w:rPr>
      </w:pP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pStyle w:val="93"/>
        <w:rPr>
          <w:rFonts w:hint="default" w:ascii="Times New Roman" w:hAnsi="Times New Roman" w:cs="Times New Roman"/>
          <w:color w:val="000000" w:themeColor="text1"/>
          <w:highlight w:val="none"/>
          <w14:textFill>
            <w14:solidFill>
              <w14:schemeClr w14:val="tx1"/>
            </w14:solidFill>
          </w14:textFill>
        </w:rPr>
      </w:pP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井身结构示意图</w:t>
      </w:r>
    </w:p>
    <w:p>
      <w:pPr>
        <w:pStyle w:val="5"/>
        <w:spacing w:before="12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地层产量预测</w:t>
      </w:r>
    </w:p>
    <w:p>
      <w:pPr>
        <w:ind w:firstLine="480"/>
        <w:rPr>
          <w:rFonts w:hint="default" w:ascii="Times New Roman" w:hAnsi="Times New Roman" w:cs="Times New Roman"/>
          <w:color w:val="000000" w:themeColor="text1"/>
          <w:szCs w:val="24"/>
          <w:highlight w:val="none"/>
          <w14:textFill>
            <w14:solidFill>
              <w14:schemeClr w14:val="tx1"/>
            </w14:solidFill>
          </w14:textFill>
        </w:rPr>
      </w:pPr>
      <w:bookmarkStart w:id="95" w:name="_Hlk142465119"/>
      <w:r>
        <w:rPr>
          <w:rFonts w:hint="default" w:ascii="Times New Roman" w:hAnsi="Times New Roman" w:cs="Times New Roman"/>
          <w:color w:val="000000" w:themeColor="text1"/>
          <w:szCs w:val="24"/>
          <w:highlight w:val="none"/>
          <w14:textFill>
            <w14:solidFill>
              <w14:schemeClr w14:val="tx1"/>
            </w14:solidFill>
          </w14:textFill>
        </w:rPr>
        <w:t>根据地质方案，普光106-2H侧钻井井配产日产气15×10</w:t>
      </w:r>
      <w:r>
        <w:rPr>
          <w:rFonts w:hint="default" w:ascii="Times New Roman" w:hAnsi="Times New Roman" w:cs="Times New Roman"/>
          <w:color w:val="000000" w:themeColor="text1"/>
          <w:szCs w:val="24"/>
          <w:highlight w:val="none"/>
          <w:vertAlign w:val="superscript"/>
          <w14:textFill>
            <w14:solidFill>
              <w14:schemeClr w14:val="tx1"/>
            </w14:solidFill>
          </w14:textFill>
        </w:rPr>
        <w:t>4</w:t>
      </w:r>
      <w:r>
        <w:rPr>
          <w:rFonts w:hint="default" w:ascii="Times New Roman" w:hAnsi="Times New Roman" w:cs="Times New Roman"/>
          <w:color w:val="000000" w:themeColor="text1"/>
          <w:szCs w:val="24"/>
          <w:highlight w:val="none"/>
          <w14:textFill>
            <w14:solidFill>
              <w14:schemeClr w14:val="tx1"/>
            </w14:solidFill>
          </w14:textFill>
        </w:rPr>
        <w:t>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/d</w:t>
      </w:r>
      <w:bookmarkEnd w:id="95"/>
      <w:r>
        <w:rPr>
          <w:rFonts w:hint="default" w:ascii="Times New Roman" w:hAnsi="Times New Roman" w:cs="Times New Roman"/>
          <w:color w:val="000000" w:themeColor="text1"/>
          <w:szCs w:val="24"/>
          <w:highlight w:val="none"/>
          <w14:textFill>
            <w14:solidFill>
              <w14:schemeClr w14:val="tx1"/>
            </w14:solidFill>
          </w14:textFill>
        </w:rPr>
        <w:t>。</w:t>
      </w:r>
    </w:p>
    <w:p>
      <w:pPr>
        <w:tabs>
          <w:tab w:val="left" w:pos="0"/>
        </w:tabs>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（1）井口主要参数（预测）</w:t>
      </w:r>
    </w:p>
    <w:p>
      <w:pPr>
        <w:tabs>
          <w:tab w:val="left" w:pos="0"/>
        </w:tabs>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关井压力：15.3Mpa</w:t>
      </w:r>
    </w:p>
    <w:p>
      <w:pPr>
        <w:tabs>
          <w:tab w:val="left" w:pos="0"/>
        </w:tabs>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井口流动压力：10.7MPa</w:t>
      </w:r>
    </w:p>
    <w:p>
      <w:pPr>
        <w:tabs>
          <w:tab w:val="left" w:pos="0"/>
        </w:tabs>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井口油温：30.0℃</w:t>
      </w:r>
    </w:p>
    <w:p>
      <w:pPr>
        <w:tabs>
          <w:tab w:val="left" w:pos="0"/>
        </w:tabs>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单井产量：15×10</w:t>
      </w:r>
      <w:r>
        <w:rPr>
          <w:rFonts w:hint="default" w:ascii="Times New Roman" w:hAnsi="Times New Roman" w:cs="Times New Roman"/>
          <w:color w:val="000000" w:themeColor="text1"/>
          <w:szCs w:val="24"/>
          <w:highlight w:val="none"/>
          <w:vertAlign w:val="superscript"/>
          <w14:textFill>
            <w14:solidFill>
              <w14:schemeClr w14:val="tx1"/>
            </w14:solidFill>
          </w14:textFill>
        </w:rPr>
        <w:t>4</w:t>
      </w:r>
      <w:r>
        <w:rPr>
          <w:rFonts w:hint="default" w:ascii="Times New Roman" w:hAnsi="Times New Roman" w:cs="Times New Roman"/>
          <w:color w:val="000000" w:themeColor="text1"/>
          <w:szCs w:val="24"/>
          <w:highlight w:val="none"/>
          <w14:textFill>
            <w14:solidFill>
              <w14:schemeClr w14:val="tx1"/>
            </w14:solidFill>
          </w14:textFill>
        </w:rPr>
        <w:t>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/d</w:t>
      </w:r>
    </w:p>
    <w:p>
      <w:pPr>
        <w:tabs>
          <w:tab w:val="left" w:pos="0"/>
        </w:tabs>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（2）原料气组成及物性</w:t>
      </w:r>
    </w:p>
    <w:p>
      <w:pPr>
        <w:tabs>
          <w:tab w:val="left" w:pos="0"/>
        </w:tabs>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根据普光分公司天然气技术管理部提供的相关资料，</w:t>
      </w:r>
      <w:r>
        <w:rPr>
          <w:rFonts w:hint="default" w:ascii="Times New Roman" w:hAnsi="Times New Roman" w:cs="Times New Roman"/>
          <w:color w:val="000000" w:themeColor="text1"/>
          <w:highlight w:val="none"/>
          <w14:textFill>
            <w14:solidFill>
              <w14:schemeClr w14:val="tx1"/>
            </w14:solidFill>
          </w14:textFill>
        </w:rPr>
        <w:t>参考普光106-2老井组分，</w:t>
      </w:r>
      <w:r>
        <w:rPr>
          <w:rFonts w:hint="default" w:ascii="Times New Roman" w:hAnsi="Times New Roman" w:cs="Times New Roman"/>
          <w:color w:val="000000" w:themeColor="text1"/>
          <w:szCs w:val="24"/>
          <w:highlight w:val="none"/>
          <w14:textFill>
            <w14:solidFill>
              <w14:schemeClr w14:val="tx1"/>
            </w14:solidFill>
          </w14:textFill>
        </w:rPr>
        <w:t>本项目所产的酸性天然气组分预测见</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_Ref142593258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表3.2</w:t>
      </w:r>
      <w:r>
        <w:rPr>
          <w:rFonts w:hint="default" w:ascii="Times New Roman" w:hAnsi="Times New Roman" w:cs="Times New Roman"/>
          <w:color w:val="000000" w:themeColor="text1"/>
          <w:highlight w:val="none"/>
          <w14:textFill>
            <w14:solidFill>
              <w14:schemeClr w14:val="tx1"/>
            </w14:solidFill>
          </w14:textFill>
        </w:rPr>
        <w:noBreakHyphen/>
      </w:r>
      <w:r>
        <w:rPr>
          <w:rFonts w:hint="eastAsia" w:ascii="Times New Roman" w:hAnsi="Times New Roman" w:cs="Times New Roman"/>
          <w:color w:val="000000" w:themeColor="text1"/>
          <w:highlight w:val="none"/>
          <w:lang w:val="en-US" w:eastAsia="zh-CN"/>
          <w14:textFill>
            <w14:solidFill>
              <w14:schemeClr w14:val="tx1"/>
            </w14:solidFill>
          </w14:textFill>
        </w:rPr>
        <w:t>5</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96" w:name="_Ref142593258"/>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bookmarkEnd w:id="96"/>
      <w:r>
        <w:rPr>
          <w:rFonts w:hint="eastAsia" w:ascii="Times New Roman" w:hAnsi="Times New Roman" w:cs="Times New Roman"/>
          <w:color w:val="000000" w:themeColor="text1"/>
          <w:highlight w:val="none"/>
          <w:lang w:val="en-US" w:eastAsia="zh-CN"/>
          <w14:textFill>
            <w14:solidFill>
              <w14:schemeClr w14:val="tx1"/>
            </w14:solidFill>
          </w14:textFill>
        </w:rPr>
        <w:t xml:space="preserve">5  </w:t>
      </w:r>
      <w:r>
        <w:rPr>
          <w:rFonts w:hint="default" w:ascii="Times New Roman" w:hAnsi="Times New Roman" w:cs="Times New Roman"/>
          <w:color w:val="000000" w:themeColor="text1"/>
          <w:highlight w:val="none"/>
          <w14:textFill>
            <w14:solidFill>
              <w14:schemeClr w14:val="tx1"/>
            </w14:solidFill>
          </w14:textFill>
        </w:rPr>
        <w:t xml:space="preserve"> 本项目酸性天然气组分预测</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1095"/>
        <w:gridCol w:w="1310"/>
        <w:gridCol w:w="1310"/>
        <w:gridCol w:w="1310"/>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组分</w:t>
            </w:r>
          </w:p>
        </w:tc>
        <w:tc>
          <w:tcPr>
            <w:tcW w:w="64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CO</w:t>
            </w:r>
            <w:r>
              <w:rPr>
                <w:rFonts w:hint="default" w:ascii="Times New Roman" w:hAnsi="Times New Roman" w:cs="Times New Roman"/>
                <w:b/>
                <w:bCs/>
                <w:color w:val="000000" w:themeColor="text1"/>
                <w:highlight w:val="none"/>
                <w:vertAlign w:val="subscript"/>
                <w14:textFill>
                  <w14:solidFill>
                    <w14:schemeClr w14:val="tx1"/>
                  </w14:solidFill>
                </w14:textFill>
              </w:rPr>
              <w:t>2</w:t>
            </w:r>
          </w:p>
        </w:tc>
        <w:tc>
          <w:tcPr>
            <w:tcW w:w="76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H</w:t>
            </w:r>
            <w:r>
              <w:rPr>
                <w:rFonts w:hint="default" w:ascii="Times New Roman" w:hAnsi="Times New Roman" w:cs="Times New Roman"/>
                <w:b/>
                <w:bCs/>
                <w:color w:val="000000" w:themeColor="text1"/>
                <w:highlight w:val="none"/>
                <w:vertAlign w:val="subscript"/>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S</w:t>
            </w:r>
          </w:p>
        </w:tc>
        <w:tc>
          <w:tcPr>
            <w:tcW w:w="76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CH</w:t>
            </w:r>
            <w:r>
              <w:rPr>
                <w:rFonts w:hint="default" w:ascii="Times New Roman" w:hAnsi="Times New Roman" w:cs="Times New Roman"/>
                <w:b/>
                <w:bCs/>
                <w:color w:val="000000" w:themeColor="text1"/>
                <w:highlight w:val="none"/>
                <w:vertAlign w:val="subscript"/>
                <w14:textFill>
                  <w14:solidFill>
                    <w14:schemeClr w14:val="tx1"/>
                  </w14:solidFill>
                </w14:textFill>
              </w:rPr>
              <w:t>4</w:t>
            </w:r>
          </w:p>
        </w:tc>
        <w:tc>
          <w:tcPr>
            <w:tcW w:w="76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C</w:t>
            </w:r>
            <w:r>
              <w:rPr>
                <w:rFonts w:hint="default" w:ascii="Times New Roman" w:hAnsi="Times New Roman" w:cs="Times New Roman"/>
                <w:b/>
                <w:bCs/>
                <w:color w:val="000000" w:themeColor="text1"/>
                <w:highlight w:val="none"/>
                <w:vertAlign w:val="subscript"/>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H</w:t>
            </w:r>
            <w:r>
              <w:rPr>
                <w:rFonts w:hint="default" w:ascii="Times New Roman" w:hAnsi="Times New Roman" w:cs="Times New Roman"/>
                <w:b/>
                <w:bCs/>
                <w:color w:val="000000" w:themeColor="text1"/>
                <w:highlight w:val="none"/>
                <w:vertAlign w:val="subscript"/>
                <w14:textFill>
                  <w14:solidFill>
                    <w14:schemeClr w14:val="tx1"/>
                  </w14:solidFill>
                </w14:textFill>
              </w:rPr>
              <w:t>6</w:t>
            </w:r>
          </w:p>
        </w:tc>
        <w:tc>
          <w:tcPr>
            <w:tcW w:w="569"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N</w:t>
            </w:r>
            <w:r>
              <w:rPr>
                <w:rFonts w:hint="default" w:ascii="Times New Roman" w:hAnsi="Times New Roman" w:cs="Times New Roman"/>
                <w:b/>
                <w:bCs/>
                <w:color w:val="000000" w:themeColor="text1"/>
                <w:highlight w:val="none"/>
                <w:vertAlign w:val="subscript"/>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含量（mol%）</w:t>
            </w:r>
          </w:p>
        </w:tc>
        <w:tc>
          <w:tcPr>
            <w:tcW w:w="64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8.64</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15.16</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75.52</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0.12</w:t>
            </w:r>
          </w:p>
        </w:tc>
        <w:tc>
          <w:tcPr>
            <w:tcW w:w="5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组分</w:t>
            </w:r>
          </w:p>
        </w:tc>
        <w:tc>
          <w:tcPr>
            <w:tcW w:w="64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H</w:t>
            </w:r>
            <w:r>
              <w:rPr>
                <w:rFonts w:hint="default" w:ascii="Times New Roman" w:hAnsi="Times New Roman" w:cs="Times New Roman"/>
                <w:b/>
                <w:bCs/>
                <w:color w:val="000000" w:themeColor="text1"/>
                <w:highlight w:val="none"/>
                <w:vertAlign w:val="subscript"/>
                <w14:textFill>
                  <w14:solidFill>
                    <w14:schemeClr w14:val="tx1"/>
                  </w14:solidFill>
                </w14:textFill>
              </w:rPr>
              <w:t>2</w:t>
            </w:r>
          </w:p>
        </w:tc>
        <w:tc>
          <w:tcPr>
            <w:tcW w:w="76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He</w:t>
            </w:r>
          </w:p>
        </w:tc>
        <w:tc>
          <w:tcPr>
            <w:tcW w:w="76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含量（mol%）</w:t>
            </w:r>
          </w:p>
        </w:tc>
        <w:tc>
          <w:tcPr>
            <w:tcW w:w="64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0.028</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0.012</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bl>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（3）燃料气组成及物性</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燃料气依托站内已建燃料气调压撬和燃料气总管，已建燃料气管道调压前设计压力4.0MPa，调压后设计压力1.6MPa、运行压力0.6~0.8MPa，其物性和组分如下</w:t>
      </w:r>
      <w:r>
        <w:rPr>
          <w:rFonts w:hint="default" w:ascii="Times New Roman" w:hAnsi="Times New Roman" w:cs="Times New Roman"/>
          <w:color w:val="000000" w:themeColor="text1"/>
          <w:szCs w:val="24"/>
          <w:highlight w:val="none"/>
          <w14:textFill>
            <w14:solidFill>
              <w14:schemeClr w14:val="tx1"/>
            </w14:solidFill>
          </w14:textFill>
        </w:rPr>
        <w:t>。</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燃料气物性和组分如下：</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vertAlign w:val="superscript"/>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密度：0.571kg/m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分子量：16.81</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燃料气温度：常温</w:t>
      </w:r>
    </w:p>
    <w:p>
      <w:pPr>
        <w:keepNext w:val="0"/>
        <w:keepLines w:val="0"/>
        <w:pageBreakBefore w:val="0"/>
        <w:widowControl w:val="0"/>
        <w:tabs>
          <w:tab w:val="left" w:pos="0"/>
        </w:tabs>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水露点：≤-30℃</w:t>
      </w:r>
    </w:p>
    <w:p>
      <w:pPr>
        <w:widowControl/>
        <w:tabs>
          <w:tab w:val="left" w:pos="863"/>
        </w:tabs>
        <w:spacing w:line="240" w:lineRule="auto"/>
        <w:ind w:firstLine="0" w:firstLineChars="0"/>
        <w:jc w:val="center"/>
        <w:rPr>
          <w:rFonts w:hint="default" w:ascii="Times New Roman" w:hAnsi="Times New Roman" w:eastAsia="黑体" w:cs="Times New Roman"/>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表3.2-</w:t>
      </w:r>
      <w:r>
        <w:rPr>
          <w:rFonts w:hint="eastAsia" w:ascii="Times New Roman" w:hAnsi="Times New Roman" w:eastAsia="黑体" w:cs="Times New Roman"/>
          <w:color w:val="000000" w:themeColor="text1"/>
          <w:kern w:val="0"/>
          <w:sz w:val="21"/>
          <w:szCs w:val="21"/>
          <w:highlight w:val="none"/>
          <w:lang w:val="en-US" w:eastAsia="zh-CN"/>
          <w14:textFill>
            <w14:solidFill>
              <w14:schemeClr w14:val="tx1"/>
            </w14:solidFill>
          </w14:textFill>
        </w:rPr>
        <w:t>6</w:t>
      </w:r>
      <w:r>
        <w:rPr>
          <w:rFonts w:hint="default" w:ascii="Times New Roman" w:hAnsi="Times New Roman" w:eastAsia="黑体" w:cs="Times New Roman"/>
          <w:color w:val="000000" w:themeColor="text1"/>
          <w:kern w:val="0"/>
          <w:sz w:val="21"/>
          <w:szCs w:val="21"/>
          <w:highlight w:val="none"/>
          <w14:textFill>
            <w14:solidFill>
              <w14:schemeClr w14:val="tx1"/>
            </w14:solidFill>
          </w14:textFill>
        </w:rPr>
        <w:t xml:space="preserve">  燃料气组分表</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97" w:name="_Toc120173101"/>
      <w:r>
        <w:rPr>
          <w:rFonts w:hint="default" w:ascii="Times New Roman" w:hAnsi="Times New Roman" w:cs="Times New Roman"/>
          <w:color w:val="000000" w:themeColor="text1"/>
          <w:highlight w:val="none"/>
          <w:lang w:eastAsia="zh-CN"/>
          <w14:textFill>
            <w14:solidFill>
              <w14:schemeClr w14:val="tx1"/>
            </w14:solidFill>
          </w14:textFill>
        </w:rPr>
        <w:t>项目组成及建设内容</w:t>
      </w:r>
      <w:bookmarkEnd w:id="97"/>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结合前文叙述的工程内容，</w:t>
      </w:r>
      <w:r>
        <w:rPr>
          <w:rFonts w:hint="default" w:ascii="Times New Roman" w:hAnsi="Times New Roman" w:cs="Times New Roman"/>
          <w:color w:val="000000" w:themeColor="text1"/>
          <w:szCs w:val="24"/>
          <w:highlight w:val="none"/>
          <w14:textFill>
            <w14:solidFill>
              <w14:schemeClr w14:val="tx1"/>
            </w14:solidFill>
          </w14:textFill>
        </w:rPr>
        <w:t>本项目组成见表3.2-</w:t>
      </w:r>
      <w:r>
        <w:rPr>
          <w:rFonts w:hint="eastAsia" w:ascii="Times New Roman" w:hAnsi="Times New Roman" w:cs="Times New Roman"/>
          <w:color w:val="000000" w:themeColor="text1"/>
          <w:szCs w:val="24"/>
          <w:highlight w:val="none"/>
          <w:lang w:val="en-US" w:eastAsia="zh-CN"/>
          <w14:textFill>
            <w14:solidFill>
              <w14:schemeClr w14:val="tx1"/>
            </w14:solidFill>
          </w14:textFill>
        </w:rPr>
        <w:t>7</w:t>
      </w:r>
      <w:r>
        <w:rPr>
          <w:rFonts w:hint="default" w:ascii="Times New Roman" w:hAnsi="Times New Roman" w:cs="Times New Roman"/>
          <w:color w:val="000000" w:themeColor="text1"/>
          <w:szCs w:val="24"/>
          <w:highlight w:val="none"/>
          <w14:textFill>
            <w14:solidFill>
              <w14:schemeClr w14:val="tx1"/>
            </w14:solidFill>
          </w14:textFill>
        </w:rPr>
        <w:t>。</w:t>
      </w:r>
    </w:p>
    <w:p>
      <w:pPr>
        <w:pStyle w:val="201"/>
        <w:keepNext/>
        <w:keepLines w:val="0"/>
        <w:pageBreakBefore w:val="0"/>
        <w:widowControl/>
        <w:kinsoku/>
        <w:wordWrap/>
        <w:overflowPunct/>
        <w:topLinePunct w:val="0"/>
        <w:autoSpaceDE/>
        <w:autoSpaceDN/>
        <w:bidi w:val="0"/>
        <w:adjustRightInd w:val="0"/>
        <w:snapToGrid w:val="0"/>
        <w:spacing w:before="0" w:beforeLines="0"/>
        <w:ind w:firstLine="482"/>
        <w:textAlignment w:val="baseline"/>
        <w:rPr>
          <w:rFonts w:hint="default" w:ascii="Times New Roman" w:hAnsi="Times New Roman" w:cs="Times New Roman"/>
          <w:color w:val="000000" w:themeColor="text1"/>
          <w:highlight w:val="none"/>
          <w14:textFill>
            <w14:solidFill>
              <w14:schemeClr w14:val="tx1"/>
            </w14:solidFill>
          </w14:textFill>
        </w:rPr>
      </w:pPr>
      <w:bookmarkStart w:id="98" w:name="_Ref142591523"/>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fldChar w:fldCharType="end"/>
      </w:r>
      <w:bookmarkEnd w:id="98"/>
      <w:r>
        <w:rPr>
          <w:rFonts w:hint="default" w:ascii="Times New Roman" w:hAnsi="Times New Roman" w:cs="Times New Roman"/>
          <w:color w:val="000000" w:themeColor="text1"/>
          <w:highlight w:val="none"/>
          <w14:textFill>
            <w14:solidFill>
              <w14:schemeClr w14:val="tx1"/>
            </w14:solidFill>
          </w14:textFill>
        </w:rPr>
        <w:t xml:space="preserve"> 本项目组成及主要环境影响一览表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81"/>
        <w:gridCol w:w="832"/>
        <w:gridCol w:w="992"/>
        <w:gridCol w:w="3828"/>
        <w:gridCol w:w="1417"/>
        <w:gridCol w:w="5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blHeader/>
          <w:jc w:val="center"/>
        </w:trPr>
        <w:tc>
          <w:tcPr>
            <w:tcW w:w="581" w:type="dxa"/>
            <w:vAlign w:val="center"/>
          </w:tcPr>
          <w:p>
            <w:pPr>
              <w:widowControl/>
              <w:spacing w:line="240" w:lineRule="auto"/>
              <w:ind w:firstLine="0" w:firstLineChars="0"/>
              <w:jc w:val="center"/>
              <w:textAlignment w:val="baseline"/>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工程分类</w:t>
            </w:r>
          </w:p>
        </w:tc>
        <w:tc>
          <w:tcPr>
            <w:tcW w:w="1824" w:type="dxa"/>
            <w:gridSpan w:val="2"/>
            <w:vAlign w:val="center"/>
          </w:tcPr>
          <w:p>
            <w:pPr>
              <w:widowControl/>
              <w:spacing w:line="240" w:lineRule="auto"/>
              <w:ind w:firstLine="0" w:firstLineChars="0"/>
              <w:jc w:val="center"/>
              <w:textAlignment w:val="baseline"/>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项目名称</w:t>
            </w:r>
          </w:p>
        </w:tc>
        <w:tc>
          <w:tcPr>
            <w:tcW w:w="3828" w:type="dxa"/>
            <w:vAlign w:val="center"/>
          </w:tcPr>
          <w:p>
            <w:pPr>
              <w:widowControl/>
              <w:spacing w:line="240" w:lineRule="auto"/>
              <w:ind w:firstLine="0" w:firstLineChars="0"/>
              <w:jc w:val="center"/>
              <w:textAlignment w:val="baseline"/>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主要建设内容</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可能存在的环境问题</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主体工程</w:t>
            </w:r>
          </w:p>
        </w:tc>
        <w:tc>
          <w:tcPr>
            <w:tcW w:w="83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钻前工程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场地平整</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依托P106-2井已建井场进行建设，新建泥浆罐、泥浆不落地系统、循环罐、储备罐、油罐、发电机房等设备基础1套等</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水土流失、施工扬尘、废水和施工人员生活污水、生活垃圾</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噪声</w:t>
            </w:r>
            <w:r>
              <w:rPr>
                <w:rFonts w:hint="default" w:ascii="Times New Roman" w:hAnsi="Times New Roman" w:cs="Times New Roman"/>
                <w:color w:val="000000" w:themeColor="text1"/>
                <w:sz w:val="21"/>
                <w:szCs w:val="21"/>
                <w:highlight w:val="none"/>
                <w14:textFill>
                  <w14:solidFill>
                    <w14:schemeClr w14:val="tx1"/>
                  </w14:solidFill>
                </w14:textFill>
              </w:rPr>
              <w:t>等</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井口方井</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利旧方井1口实施侧钻</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设备、设施基础</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采用ZJ70钻机设备，共计1套，井架基础以粘土层为持力层，以C25钢筋混凝土基础，</w:t>
            </w:r>
            <w:r>
              <w:rPr>
                <w:rFonts w:hint="eastAsia" w:cs="Times New Roman"/>
                <w:color w:val="000000" w:themeColor="text1"/>
                <w:sz w:val="21"/>
                <w:szCs w:val="21"/>
                <w:highlight w:val="none"/>
                <w:lang w:val="en-US" w:eastAsia="zh-CN"/>
                <w14:textFill>
                  <w14:solidFill>
                    <w14:schemeClr w14:val="tx1"/>
                  </w14:solidFill>
                </w14:textFill>
              </w:rPr>
              <w:t>一般</w:t>
            </w:r>
            <w:r>
              <w:rPr>
                <w:rFonts w:hint="default" w:ascii="Times New Roman" w:hAnsi="Times New Roman" w:cs="Times New Roman"/>
                <w:color w:val="000000" w:themeColor="text1"/>
                <w:sz w:val="21"/>
                <w:szCs w:val="21"/>
                <w:highlight w:val="none"/>
                <w14:textFill>
                  <w14:solidFill>
                    <w14:schemeClr w14:val="tx1"/>
                  </w14:solidFill>
                </w14:textFill>
              </w:rPr>
              <w:t>防渗处理</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放喷池</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修复利旧放喷池2座，尺寸均为10m×20m×1.5m，容积为300m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，用于测试放喷，池内重点防渗。</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清水池</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修复利旧清水池1座，尺寸为20m×15m×4m，池内一般防渗</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533" w:hRule="atLeast"/>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钻井作业</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钻井工程采用ZJ70型钻机，本次侧钻井共计进尺1756.58m，本工程采用常规钻井工艺进行钻井，为保护气层，优先采用含封堵性聚合物的水基钻井液体系（若遇特殊地层情况，可能会转为油基钻井）。</w:t>
            </w:r>
          </w:p>
        </w:tc>
        <w:tc>
          <w:tcPr>
            <w:tcW w:w="1417" w:type="dxa"/>
            <w:vAlign w:val="center"/>
          </w:tcPr>
          <w:p>
            <w:pPr>
              <w:widowControl/>
              <w:spacing w:line="240" w:lineRule="auto"/>
              <w:ind w:firstLine="0" w:firstLineChars="0"/>
              <w:jc w:val="center"/>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钻井废水及员工生活污水；岩屑及废泥浆、员工生活垃圾；钻井设备噪声</w:t>
            </w:r>
            <w:r>
              <w:rPr>
                <w:rFonts w:hint="eastAsia" w:cs="Times New Roman"/>
                <w:color w:val="000000" w:themeColor="text1"/>
                <w:sz w:val="21"/>
                <w:szCs w:val="21"/>
                <w:highlight w:val="none"/>
                <w:lang w:eastAsia="zh-CN"/>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储层改造</w:t>
            </w:r>
          </w:p>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完钻测试作业</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洗井作业、压裂酸化作业、放喷测试</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测试产生废气、放喷气流噪声，洗井废水、酸化废水</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油气集输工程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采气生产</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钻井完毕后，通过测试并获得天然气产量后，本项目试采期普光106-2H侧钻井产气经复建后的P106集气站的加热炉加热、节流计量后依托原有已建管线外输至天然气净化厂。本次地面工程内容主要为拆除井口 BDV 流程，其他拆除流程均原位置复建，</w:t>
            </w:r>
            <w:r>
              <w:rPr>
                <w:rFonts w:hint="eastAsia" w:cs="Times New Roman"/>
                <w:color w:val="000000" w:themeColor="text1"/>
                <w:sz w:val="21"/>
                <w:szCs w:val="21"/>
                <w:highlight w:val="none"/>
                <w:lang w:eastAsia="zh-CN"/>
                <w14:textFill>
                  <w14:solidFill>
                    <w14:schemeClr w14:val="tx1"/>
                  </w14:solidFill>
                </w14:textFill>
              </w:rPr>
              <w:t>同时新建临时分酸分离器、移动式乙二醇加注撬车1套</w:t>
            </w:r>
            <w:r>
              <w:rPr>
                <w:rFonts w:hint="default" w:ascii="Times New Roman" w:hAnsi="Times New Roman" w:cs="Times New Roman"/>
                <w:color w:val="000000" w:themeColor="text1"/>
                <w:sz w:val="21"/>
                <w:szCs w:val="21"/>
                <w:highlight w:val="none"/>
                <w14:textFill>
                  <w14:solidFill>
                    <w14:schemeClr w14:val="tx1"/>
                  </w14:solidFill>
                </w14:textFill>
              </w:rPr>
              <w:t>，配套站控室、围墙、大门等设施均依托原P106集气站站内已建设施，不改变原 P106 集气站性质，复建后流程与拆除前基本一致。</w:t>
            </w:r>
          </w:p>
        </w:tc>
        <w:tc>
          <w:tcPr>
            <w:tcW w:w="1417" w:type="dxa"/>
            <w:vAlign w:val="center"/>
          </w:tcPr>
          <w:p>
            <w:pPr>
              <w:widowControl/>
              <w:spacing w:line="240" w:lineRule="auto"/>
              <w:ind w:firstLine="0" w:firstLineChars="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施工期：新增水土流失、植被破坏、扬尘、废水、噪声、固废、环境风险等；</w:t>
            </w:r>
          </w:p>
          <w:p>
            <w:pPr>
              <w:spacing w:line="240" w:lineRule="auto"/>
              <w:ind w:firstLine="0" w:firstLineChar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运营期：废气、废水、噪声、环境风险</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依托+改建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辅助工程</w:t>
            </w:r>
          </w:p>
        </w:tc>
        <w:tc>
          <w:tcPr>
            <w:tcW w:w="83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钻前工程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生活区</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本项目钻前工程不设置生活区，施工人员租住附近居民房屋</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施工人员生活污水、生活垃圾等</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钻井工程、储层改造工程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生活区</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本项目钻井工程设置生活区1处，位于进场道路旁</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水土流失、施工扬尘、废水和施工人员生活污水、生活垃圾等</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泥浆循环系统</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含振动筛、除砂器、离心机、液气分离器、除泥砂除泥一体机、除气器等装置，及5个40m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/个循环罐组成</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设备噪声、岩屑、废泥浆、废水</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网电钻机系统</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2台882kW电动化机组</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噪声</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备用发电机</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400kW功率柴油机2台</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废气、噪声</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清洁生产操作平台1座</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废水罐4个（位于</w:t>
            </w:r>
            <w:r>
              <w:rPr>
                <w:rFonts w:hint="default" w:ascii="Times New Roman" w:hAnsi="Times New Roman" w:cs="Times New Roman"/>
                <w:color w:val="000000" w:themeColor="text1"/>
                <w:sz w:val="21"/>
                <w:szCs w:val="21"/>
                <w:highlight w:val="none"/>
                <w:lang w:eastAsia="zh-CN"/>
                <w14:textFill>
                  <w14:solidFill>
                    <w14:schemeClr w14:val="tx1"/>
                  </w14:solidFill>
                </w14:textFill>
              </w:rPr>
              <w:t>不落地操作平台</w:t>
            </w:r>
            <w:r>
              <w:rPr>
                <w:rFonts w:hint="default" w:ascii="Times New Roman" w:hAnsi="Times New Roman" w:cs="Times New Roman"/>
                <w:color w:val="000000" w:themeColor="text1"/>
                <w:sz w:val="21"/>
                <w:szCs w:val="21"/>
                <w:highlight w:val="none"/>
                <w14:textFill>
                  <w14:solidFill>
                    <w14:schemeClr w14:val="tx1"/>
                  </w14:solidFill>
                </w14:textFill>
              </w:rPr>
              <w:t>废水处理区，分为1个隔油罐、2个沉淀罐、1个回用罐）；20m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岩屑固化罐4个（位于</w:t>
            </w:r>
            <w:r>
              <w:rPr>
                <w:rFonts w:hint="default" w:ascii="Times New Roman" w:hAnsi="Times New Roman" w:cs="Times New Roman"/>
                <w:color w:val="000000" w:themeColor="text1"/>
                <w:sz w:val="21"/>
                <w:szCs w:val="21"/>
                <w:highlight w:val="none"/>
                <w:lang w:eastAsia="zh-CN"/>
                <w14:textFill>
                  <w14:solidFill>
                    <w14:schemeClr w14:val="tx1"/>
                  </w14:solidFill>
                </w14:textFill>
              </w:rPr>
              <w:t>不落地操作平台</w:t>
            </w:r>
            <w:r>
              <w:rPr>
                <w:rFonts w:hint="default" w:ascii="Times New Roman" w:hAnsi="Times New Roman" w:cs="Times New Roman"/>
                <w:color w:val="000000" w:themeColor="text1"/>
                <w:sz w:val="21"/>
                <w:szCs w:val="21"/>
                <w:highlight w:val="none"/>
                <w14:textFill>
                  <w14:solidFill>
                    <w14:schemeClr w14:val="tx1"/>
                  </w14:solidFill>
                </w14:textFill>
              </w:rPr>
              <w:t>储备罐区）；3m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岩屑收集罐8个（位于</w:t>
            </w:r>
            <w:r>
              <w:rPr>
                <w:rFonts w:hint="default" w:ascii="Times New Roman" w:hAnsi="Times New Roman" w:cs="Times New Roman"/>
                <w:color w:val="000000" w:themeColor="text1"/>
                <w:sz w:val="21"/>
                <w:szCs w:val="21"/>
                <w:highlight w:val="none"/>
                <w:lang w:eastAsia="zh-CN"/>
                <w14:textFill>
                  <w14:solidFill>
                    <w14:schemeClr w14:val="tx1"/>
                  </w14:solidFill>
                </w14:textFill>
              </w:rPr>
              <w:t>不落地操作平台</w:t>
            </w:r>
            <w:r>
              <w:rPr>
                <w:rFonts w:hint="default" w:ascii="Times New Roman" w:hAnsi="Times New Roman" w:cs="Times New Roman"/>
                <w:color w:val="000000" w:themeColor="text1"/>
                <w:sz w:val="21"/>
                <w:szCs w:val="21"/>
                <w:highlight w:val="none"/>
                <w14:textFill>
                  <w14:solidFill>
                    <w14:schemeClr w14:val="tx1"/>
                  </w14:solidFill>
                </w14:textFill>
              </w:rPr>
              <w:t>储备罐区）；化学品存放区：固化材料堆放棚（位于材料区），主要摆放固化材料、水处理药剂等</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用于暂存钻井泥浆、洗井作业、酸化作业废水，若处置不当或者发生泄漏现象，导致土壤、植被破坏以及地下水、地表水等污染</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放喷池及放喷管线</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放喷池2座</w:t>
            </w:r>
            <w:r>
              <w:rPr>
                <w:rFonts w:hint="default" w:ascii="Times New Roman" w:hAnsi="Times New Roman" w:cs="Times New Roman"/>
                <w:color w:val="000000" w:themeColor="text1"/>
                <w:sz w:val="21"/>
                <w:szCs w:val="21"/>
                <w:highlight w:val="none"/>
                <w:lang w:bidi="ar"/>
                <w14:textFill>
                  <w14:solidFill>
                    <w14:schemeClr w14:val="tx1"/>
                  </w14:solidFill>
                </w14:textFill>
              </w:rPr>
              <w:t>，各配10m</w:t>
            </w:r>
            <w:r>
              <w:rPr>
                <w:rFonts w:hint="default" w:ascii="Times New Roman" w:hAnsi="Times New Roman" w:cs="Times New Roman"/>
                <w:color w:val="000000" w:themeColor="text1"/>
                <w:sz w:val="21"/>
                <w:szCs w:val="21"/>
                <w:highlight w:val="none"/>
                <w:vertAlign w:val="superscript"/>
                <w:lang w:bidi="ar"/>
                <w14:textFill>
                  <w14:solidFill>
                    <w14:schemeClr w14:val="tx1"/>
                  </w14:solidFill>
                </w14:textFill>
              </w:rPr>
              <w:t>3</w:t>
            </w:r>
            <w:r>
              <w:rPr>
                <w:rFonts w:hint="default" w:ascii="Times New Roman" w:hAnsi="Times New Roman" w:cs="Times New Roman"/>
                <w:color w:val="000000" w:themeColor="text1"/>
                <w:sz w:val="21"/>
                <w:szCs w:val="21"/>
                <w:highlight w:val="none"/>
                <w:lang w:bidi="ar"/>
                <w14:textFill>
                  <w14:solidFill>
                    <w14:schemeClr w14:val="tx1"/>
                  </w14:solidFill>
                </w14:textFill>
              </w:rPr>
              <w:t>集酸坑1座</w:t>
            </w:r>
            <w:r>
              <w:rPr>
                <w:rFonts w:hint="default" w:ascii="Times New Roman" w:hAnsi="Times New Roman" w:cs="Times New Roman"/>
                <w:color w:val="000000" w:themeColor="text1"/>
                <w:sz w:val="21"/>
                <w:szCs w:val="21"/>
                <w:highlight w:val="none"/>
                <w14:textFill>
                  <w14:solidFill>
                    <w14:schemeClr w14:val="tx1"/>
                  </w14:solidFill>
                </w14:textFill>
              </w:rPr>
              <w:t>。放喷管使用双四通、二条放喷管线。</w:t>
            </w:r>
          </w:p>
        </w:tc>
        <w:tc>
          <w:tcPr>
            <w:tcW w:w="1417"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放喷废气、燃烧热辐射</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依托+</w:t>
            </w: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放喷点火系统</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自动、手动点火装置各2套</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bidi="ar"/>
                <w14:textFill>
                  <w14:solidFill>
                    <w14:schemeClr w14:val="tx1"/>
                  </w14:solidFill>
                </w14:textFill>
              </w:rPr>
              <w:t>油罐区隔油池</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bidi="ar"/>
                <w14:textFill>
                  <w14:solidFill>
                    <w14:schemeClr w14:val="tx1"/>
                  </w14:solidFill>
                </w14:textFill>
              </w:rPr>
              <w:t>混凝土结构，2个，单个容积1m</w:t>
            </w:r>
            <w:r>
              <w:rPr>
                <w:rFonts w:hint="default" w:ascii="Times New Roman" w:hAnsi="Times New Roman" w:cs="Times New Roman"/>
                <w:color w:val="000000" w:themeColor="text1"/>
                <w:sz w:val="21"/>
                <w:szCs w:val="21"/>
                <w:highlight w:val="none"/>
                <w:vertAlign w:val="superscript"/>
                <w:lang w:bidi="ar"/>
                <w14:textFill>
                  <w14:solidFill>
                    <w14:schemeClr w14:val="tx1"/>
                  </w14:solidFill>
                </w14:textFill>
              </w:rPr>
              <w:t>3</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34" w:hRule="atLeast"/>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油气集输工程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通讯工程</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依托原P106集气站已建光缆线路、光传输系统、工业以太网、站场广播对讲系统（PA/GA）、工业电视监控系统、周界报警系统、办公网及语音系统、气象系统、紧急疏散广播系统扩容、通信基站等</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自动控制</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依托原P106集气站已设置RTU系统，安装可燃气体探测器、硫化氢监测装置、摄像头和入侵检测报警装置</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消防系统</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依托原P106集气站已场站内配置4具MF/ABC8手提式干粉灭火器和1台MFT/ABC20推车式干粉灭火器、2具灭火器箱（XMDDD-42）</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公用工程</w:t>
            </w:r>
          </w:p>
        </w:tc>
        <w:tc>
          <w:tcPr>
            <w:tcW w:w="83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钻前工程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3828"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钻井工程、储层改造工程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给水</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①生产用水：采用清洁化生产处理水作为生产用水，不足部分由水罐供给，采用运水车从周边的中河取水，存放于生产水罐中；</w:t>
            </w:r>
          </w:p>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②生活用水：车辆拉运桶装水至场地</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场外排水</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边坡坡顶设置截水沟，截水沟与自然水系连通</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场内排水</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bidi="ar"/>
                <w14:textFill>
                  <w14:solidFill>
                    <w14:schemeClr w14:val="tx1"/>
                  </w14:solidFill>
                </w14:textFill>
              </w:rPr>
              <w:t>修建场内排水沟及隔油池，实现井场范围内清水与污水分流（钻前工程修建）</w:t>
            </w:r>
            <w:r>
              <w:rPr>
                <w:rFonts w:hint="eastAsia" w:cs="Times New Roman"/>
                <w:color w:val="000000" w:themeColor="text1"/>
                <w:sz w:val="21"/>
                <w:szCs w:val="21"/>
                <w:highlight w:val="none"/>
                <w:lang w:eastAsia="zh-CN" w:bidi="ar"/>
                <w14:textFill>
                  <w14:solidFill>
                    <w14:schemeClr w14:val="tx1"/>
                  </w14:solidFill>
                </w14:textFill>
              </w:rPr>
              <w:t>。</w:t>
            </w:r>
          </w:p>
        </w:tc>
        <w:tc>
          <w:tcPr>
            <w:tcW w:w="1417"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渗漏污染土壤、地下水环境</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3" w:hRule="atLeast"/>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bidi="ar"/>
                <w14:textFill>
                  <w14:solidFill>
                    <w14:schemeClr w14:val="tx1"/>
                  </w14:solidFill>
                </w14:textFill>
              </w:rPr>
              <w:t>产污区的废水经集水坑和井口方井集水坑通过泵入</w:t>
            </w:r>
            <w:r>
              <w:rPr>
                <w:rFonts w:hint="default" w:ascii="Times New Roman" w:hAnsi="Times New Roman" w:cs="Times New Roman"/>
                <w:color w:val="000000" w:themeColor="text1"/>
                <w:sz w:val="21"/>
                <w:szCs w:val="21"/>
                <w:highlight w:val="none"/>
                <w14:textFill>
                  <w14:solidFill>
                    <w14:schemeClr w14:val="tx1"/>
                  </w14:solidFill>
                </w14:textFill>
              </w:rPr>
              <w:t>清洁生产操作平台废水罐</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bidi="ar"/>
                <w14:textFill>
                  <w14:solidFill>
                    <w14:schemeClr w14:val="tx1"/>
                  </w14:solidFill>
                </w14:textFill>
              </w:rPr>
              <w:t>井场清洁区雨水通过排水沟和隔油池处理后排入自然水系。排放口出口设置环境监测池</w:t>
            </w:r>
            <w:r>
              <w:rPr>
                <w:rFonts w:hint="eastAsia" w:cs="Times New Roman"/>
                <w:color w:val="000000" w:themeColor="text1"/>
                <w:sz w:val="21"/>
                <w:szCs w:val="21"/>
                <w:highlight w:val="none"/>
                <w:lang w:eastAsia="zh-CN" w:bidi="ar"/>
                <w14:textFill>
                  <w14:solidFill>
                    <w14:schemeClr w14:val="tx1"/>
                  </w14:solidFill>
                </w14:textFill>
              </w:rPr>
              <w:t>。</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bidi="ar"/>
                <w14:textFill>
                  <w14:solidFill>
                    <w14:schemeClr w14:val="tx1"/>
                  </w14:solidFill>
                </w14:textFill>
              </w:rPr>
              <w:t>水罐区雨水排入自然水系。油罐区设置隔油池1座处理排入自然水系</w:t>
            </w:r>
            <w:r>
              <w:rPr>
                <w:rFonts w:hint="eastAsia" w:cs="Times New Roman"/>
                <w:color w:val="000000" w:themeColor="text1"/>
                <w:sz w:val="21"/>
                <w:szCs w:val="21"/>
                <w:highlight w:val="none"/>
                <w:lang w:eastAsia="zh-CN" w:bidi="ar"/>
                <w14:textFill>
                  <w14:solidFill>
                    <w14:schemeClr w14:val="tx1"/>
                  </w14:solidFill>
                </w14:textFill>
              </w:rPr>
              <w:t>。</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生活污水经生态厕所收集后定期由密闭罐车拉运至周边生活污水处理厂处理</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供电</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依托P106集气站现有供电系统</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油气集输工程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供配电</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依托现有10kV已建电网</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362" w:hRule="atLeast"/>
          <w:jc w:val="center"/>
        </w:trPr>
        <w:tc>
          <w:tcPr>
            <w:tcW w:w="581"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储运工程</w:t>
            </w:r>
          </w:p>
        </w:tc>
        <w:tc>
          <w:tcPr>
            <w:tcW w:w="83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钻前工程</w:t>
            </w:r>
          </w:p>
        </w:tc>
        <w:tc>
          <w:tcPr>
            <w:tcW w:w="992" w:type="dxa"/>
            <w:vAlign w:val="center"/>
          </w:tcPr>
          <w:p>
            <w:pPr>
              <w:spacing w:line="240" w:lineRule="auto"/>
              <w:ind w:firstLine="0" w:firstLineChars="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进场道路</w:t>
            </w:r>
          </w:p>
        </w:tc>
        <w:tc>
          <w:tcPr>
            <w:tcW w:w="3828" w:type="dxa"/>
            <w:vAlign w:val="center"/>
          </w:tcPr>
          <w:p>
            <w:pPr>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利旧进场道路，位于井场西侧，道路路基宽度4.5m，路面宽度4.0m，长度约160m，采用20cm厚6%水泥稳定碎石，新建0.4m宽道路排水沟，采用浆砌石修筑。</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spacing w:line="240" w:lineRule="auto"/>
              <w:ind w:left="0" w:leftChars="0" w:firstLine="0" w:firstLineChars="0"/>
              <w:jc w:val="both"/>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钻井工程、储层改造工程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柴油罐区</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占地25m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，2个柴油罐，每个容积20m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。地面硬化，铺设防渗膜并设围堰</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泄漏污染、火灾爆炸环境风险影响</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泥浆储备罐</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储罐2个，每个容积40m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1417"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泄漏污染、环境风险影响</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酸化液储藏罐</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2个50m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玻璃钢罐，酸化前三天运至现场暂存</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油气集输工程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3828" w:type="dxa"/>
            <w:vAlign w:val="center"/>
          </w:tcPr>
          <w:p>
            <w:pPr>
              <w:widowControl/>
              <w:spacing w:line="240" w:lineRule="auto"/>
              <w:ind w:firstLine="0" w:firstLineChars="0"/>
              <w:jc w:val="center"/>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本项目不新建集气站与外输管道，P106-2H井所产天然气依托复建后的P106集气站及其外输管道实现外输</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环保工程</w:t>
            </w:r>
          </w:p>
        </w:tc>
        <w:tc>
          <w:tcPr>
            <w:tcW w:w="83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钻前工程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生活污水收集</w:t>
            </w:r>
          </w:p>
        </w:tc>
        <w:tc>
          <w:tcPr>
            <w:tcW w:w="3828" w:type="dxa"/>
            <w:vAlign w:val="center"/>
          </w:tcPr>
          <w:p>
            <w:pPr>
              <w:widowControl/>
              <w:spacing w:line="240" w:lineRule="auto"/>
              <w:ind w:firstLine="0" w:firstLineChars="0"/>
              <w:jc w:val="left"/>
              <w:textAlignment w:val="baseline"/>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新建生态厕所</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为后期钻井工程、储存改造工程等使用）</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生活污水</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排污沟</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bookmarkStart w:id="99" w:name="_Hlk120127492"/>
            <w:bookmarkStart w:id="100" w:name="_Hlk117849023"/>
            <w:r>
              <w:rPr>
                <w:rFonts w:hint="default" w:ascii="Times New Roman" w:hAnsi="Times New Roman" w:cs="Times New Roman"/>
                <w:color w:val="000000" w:themeColor="text1"/>
                <w:sz w:val="21"/>
                <w:szCs w:val="21"/>
                <w:highlight w:val="none"/>
                <w14:textFill>
                  <w14:solidFill>
                    <w14:schemeClr w14:val="tx1"/>
                  </w14:solidFill>
                </w14:textFill>
              </w:rPr>
              <w:t>井场采用雨污分流设计，新建排水沟。沿设备基础新建0.35m宽环状排污沟860m，放坡坡度i=0.5%</w:t>
            </w:r>
            <w:bookmarkEnd w:id="99"/>
            <w:r>
              <w:rPr>
                <w:rFonts w:hint="default" w:ascii="Times New Roman" w:hAnsi="Times New Roman" w:cs="Times New Roman"/>
                <w:color w:val="000000" w:themeColor="text1"/>
                <w:sz w:val="21"/>
                <w:szCs w:val="21"/>
                <w:highlight w:val="none"/>
                <w14:textFill>
                  <w14:solidFill>
                    <w14:schemeClr w14:val="tx1"/>
                  </w14:solidFill>
                </w14:textFill>
              </w:rPr>
              <w:t>。污水沟放坡开始位置可根据现场做适当调整，但必须满足正常放坡和无倒流</w:t>
            </w:r>
            <w:bookmarkEnd w:id="100"/>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场地初期雨水</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生活垃圾收集</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生活垃圾设置垃圾桶集中收集，交由当地环卫部门处置</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生活垃圾</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施工粉尘</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硬化进出口并采取冲洗、洒水等措施控制扬尘</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废气影响</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钻井废水暂存</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钻井废水</w:t>
            </w:r>
            <w:r>
              <w:rPr>
                <w:rFonts w:hint="eastAsia" w:cs="Times New Roman"/>
                <w:color w:val="000000" w:themeColor="text1"/>
                <w:sz w:val="21"/>
                <w:szCs w:val="21"/>
                <w:highlight w:val="none"/>
                <w:lang w:val="en-US" w:eastAsia="zh-CN"/>
                <w14:textFill>
                  <w14:solidFill>
                    <w14:schemeClr w14:val="tx1"/>
                  </w14:solidFill>
                </w14:textFill>
              </w:rPr>
              <w:t>首先</w:t>
            </w:r>
            <w:r>
              <w:rPr>
                <w:rFonts w:hint="default" w:ascii="Times New Roman" w:hAnsi="Times New Roman" w:cs="Times New Roman"/>
                <w:color w:val="000000" w:themeColor="text1"/>
                <w:sz w:val="21"/>
                <w:szCs w:val="21"/>
                <w:highlight w:val="none"/>
                <w14:textFill>
                  <w14:solidFill>
                    <w14:schemeClr w14:val="tx1"/>
                  </w14:solidFill>
                </w14:textFill>
              </w:rPr>
              <w:t>回用于钻井补充泥浆的配置，</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剩余不能回用部分</w:t>
            </w:r>
            <w:r>
              <w:rPr>
                <w:rFonts w:hint="default" w:ascii="Times New Roman" w:hAnsi="Times New Roman" w:cs="Times New Roman"/>
                <w:color w:val="000000" w:themeColor="text1"/>
                <w:sz w:val="21"/>
                <w:szCs w:val="21"/>
                <w:highlight w:val="none"/>
                <w14:textFill>
                  <w14:solidFill>
                    <w14:schemeClr w14:val="tx1"/>
                  </w14:solidFill>
                </w14:textFill>
              </w:rPr>
              <w:t>暂存在清洁生产操作平台的废水罐内，定期装车拉运至赵家坝污水处理站达标后管输至普光11井回注站回注</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渗漏污染土壤、地下水、地表水环境</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场地初期雨水</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与钻井废水经不落地装置处理后大部分回用于配制钻井液，剩余不能回用部分暂存于清洁生产操作平台的废水罐内，定期装车拉运至赵家坝污水处理站处理达标后经普光11井回注站回注</w:t>
            </w:r>
            <w:r>
              <w:rPr>
                <w:rFonts w:hint="eastAsia" w:cs="Times New Roman"/>
                <w:color w:val="000000" w:themeColor="text1"/>
                <w:sz w:val="21"/>
                <w:szCs w:val="21"/>
                <w:highlight w:val="none"/>
                <w:lang w:val="en-US" w:eastAsia="zh-CN"/>
                <w14:textFill>
                  <w14:solidFill>
                    <w14:schemeClr w14:val="tx1"/>
                  </w14:solidFill>
                </w14:textFill>
              </w:rPr>
              <w:t>。</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备用柴油发电机</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柴油机经自带尾气处理系统后经过自带排气筒排放</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废气影响</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测试放喷废气</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放喷期间应临时撤离放喷口周边500m的居民</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废水基泥浆及岩屑处置</w:t>
            </w:r>
          </w:p>
        </w:tc>
        <w:tc>
          <w:tcPr>
            <w:tcW w:w="3828" w:type="dxa"/>
            <w:vAlign w:val="center"/>
          </w:tcPr>
          <w:p>
            <w:pPr>
              <w:widowControl/>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本项目采用</w:t>
            </w:r>
            <w:r>
              <w:rPr>
                <w:rFonts w:hint="default" w:ascii="Times New Roman" w:hAnsi="Times New Roman" w:cs="Times New Roman"/>
                <w:color w:val="000000" w:themeColor="text1"/>
                <w:sz w:val="21"/>
                <w:szCs w:val="21"/>
                <w:highlight w:val="none"/>
                <w:lang w:eastAsia="zh-CN"/>
                <w14:textFill>
                  <w14:solidFill>
                    <w14:schemeClr w14:val="tx1"/>
                  </w14:solidFill>
                </w14:textFill>
              </w:rPr>
              <w:t>不落地操作平台</w:t>
            </w:r>
            <w:r>
              <w:rPr>
                <w:rFonts w:hint="default" w:ascii="Times New Roman" w:hAnsi="Times New Roman" w:cs="Times New Roman"/>
                <w:color w:val="000000" w:themeColor="text1"/>
                <w:sz w:val="21"/>
                <w:szCs w:val="21"/>
                <w:highlight w:val="none"/>
                <w14:textFill>
                  <w14:solidFill>
                    <w14:schemeClr w14:val="tx1"/>
                  </w14:solidFill>
                </w14:textFill>
              </w:rPr>
              <w:t>，并采取泥浆不落地措施。项目产生的废弃泥浆与常规钻产生的废岩屑暂存于固废临时堆放区，就近交给依法取得生态环境部门关于利用和处置相关工业固体废物项目环评批复、具有处理处置相应固体废物能力并配套建设有废气、废水、固废等污染物治理设施的单位进行资源化利用</w:t>
            </w:r>
          </w:p>
        </w:tc>
        <w:tc>
          <w:tcPr>
            <w:tcW w:w="1417"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固废影响、环境风险</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油基钻井废泥浆、岩屑（若遇特殊地层情况时使用）</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如遇特殊地层，油基钻井废泥浆、岩屑暂存于新建的60m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危险废物暂存场所（采取必要的防风、防晒、防雨、防漏、防渗、防腐以及其他环境污染防治措施，不得露天堆放危险废物），泥浆和油基钻井岩屑</w:t>
            </w:r>
            <w:r>
              <w:rPr>
                <w:rFonts w:hint="default" w:ascii="Times New Roman" w:hAnsi="Times New Roman" w:cs="Times New Roman"/>
                <w:color w:val="000000" w:themeColor="text1"/>
                <w:sz w:val="21"/>
                <w:szCs w:val="21"/>
                <w:highlight w:val="none"/>
                <w:lang w:eastAsia="zh-CN"/>
                <w14:textFill>
                  <w14:solidFill>
                    <w14:schemeClr w14:val="tx1"/>
                  </w14:solidFill>
                </w14:textFill>
              </w:rPr>
              <w:t>及时</w:t>
            </w:r>
            <w:r>
              <w:rPr>
                <w:rFonts w:hint="default" w:ascii="Times New Roman" w:hAnsi="Times New Roman" w:cs="Times New Roman"/>
                <w:color w:val="000000" w:themeColor="text1"/>
                <w:sz w:val="21"/>
                <w:szCs w:val="21"/>
                <w:highlight w:val="none"/>
                <w14:textFill>
                  <w14:solidFill>
                    <w14:schemeClr w14:val="tx1"/>
                  </w14:solidFill>
                </w14:textFill>
              </w:rPr>
              <w:t>交由有资质的单位处置（如未使用油基钻井液则无需设置）</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废油</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钻井机械保养维修产生的废油由回收桶收集，暂存于泥浆不落地装置区临时堆放区内，并采取防扬散、防流失、防渗漏或者其他防止污染环境的措施，设置围堰或托盘，完钻后交由有资质的单位处置</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泄漏污染</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、环境风险</w:t>
            </w:r>
          </w:p>
        </w:tc>
        <w:tc>
          <w:tcPr>
            <w:tcW w:w="57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噪声治理</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本项目周边已有完善的供电系统，采用网电，噪声较小；选用低噪声的施工机械和工艺，加强各类施工设备的维护和保养；对振动较大的固定机械设备加装基座减振</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生活垃圾</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井场区域设1个垃圾箱，完工后外运交由环卫集中收集处置</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环境风险</w:t>
            </w:r>
          </w:p>
        </w:tc>
        <w:tc>
          <w:tcPr>
            <w:tcW w:w="3828" w:type="dxa"/>
            <w:vAlign w:val="center"/>
          </w:tcPr>
          <w:p>
            <w:pPr>
              <w:widowControl/>
              <w:spacing w:line="240" w:lineRule="auto"/>
              <w:ind w:firstLine="0" w:firstLineChars="0"/>
              <w:jc w:val="left"/>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泥浆储备罐罐区周边设置0.3m高围堰，容积10m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；柴油罐区周边设置0.3m高围堰，容积20m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渗漏污染土壤、地下水、地表水环境</w:t>
            </w:r>
          </w:p>
        </w:tc>
        <w:tc>
          <w:tcPr>
            <w:tcW w:w="57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储层</w:t>
            </w:r>
            <w:r>
              <w:rPr>
                <w:rFonts w:hint="default" w:ascii="Times New Roman" w:hAnsi="Times New Roman" w:cs="Times New Roman"/>
                <w:color w:val="000000" w:themeColor="text1"/>
                <w:sz w:val="21"/>
                <w:szCs w:val="21"/>
                <w:highlight w:val="none"/>
                <w14:textFill>
                  <w14:solidFill>
                    <w14:schemeClr w14:val="tx1"/>
                  </w14:solidFill>
                </w14:textFill>
              </w:rPr>
              <w:t>改造工程</w:t>
            </w:r>
          </w:p>
        </w:tc>
        <w:tc>
          <w:tcPr>
            <w:tcW w:w="992"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 xml:space="preserve"> 压裂返排液及洗井废水</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储层改造阶段产生的</w:t>
            </w:r>
            <w:r>
              <w:rPr>
                <w:rFonts w:hint="default" w:ascii="Times New Roman" w:hAnsi="Times New Roman" w:cs="Times New Roman"/>
                <w:color w:val="000000" w:themeColor="text1"/>
                <w:sz w:val="21"/>
                <w:szCs w:val="21"/>
                <w:highlight w:val="none"/>
                <w14:textFill>
                  <w14:solidFill>
                    <w14:schemeClr w14:val="tx1"/>
                  </w14:solidFill>
                </w14:textFill>
              </w:rPr>
              <w:t>压裂返排液及洗井废水</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由放喷池、压裂液储罐收集后</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，优先回用于周边其他井场压裂液配置，不</w:t>
            </w:r>
            <w:r>
              <w:rPr>
                <w:rFonts w:hint="default" w:ascii="Times New Roman" w:hAnsi="Times New Roman" w:cs="Times New Roman"/>
                <w:color w:val="000000" w:themeColor="text1"/>
                <w:sz w:val="21"/>
                <w:szCs w:val="21"/>
                <w:highlight w:val="none"/>
                <w14:textFill>
                  <w14:solidFill>
                    <w14:schemeClr w14:val="tx1"/>
                  </w14:solidFill>
                </w14:textFill>
              </w:rPr>
              <w:t>能回用</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时</w:t>
            </w:r>
            <w:r>
              <w:rPr>
                <w:rFonts w:hint="default" w:ascii="Times New Roman" w:hAnsi="Times New Roman" w:cs="Times New Roman"/>
                <w:color w:val="000000" w:themeColor="text1"/>
                <w:sz w:val="21"/>
                <w:szCs w:val="21"/>
                <w:highlight w:val="none"/>
                <w14:textFill>
                  <w14:solidFill>
                    <w14:schemeClr w14:val="tx1"/>
                  </w14:solidFill>
                </w14:textFill>
              </w:rPr>
              <w:t>用罐车拉运至赵家坝污水处理站处理达标后经普光11井回注站回注</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76" w:hRule="atLeast"/>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测试放喷废气</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放喷期间应临时撤离放喷口周边500m的居民</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废气影响</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生态保护</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依托放喷池，建挡墙较小热辐射影响；对热辐射破坏的植被进行补偿</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油气集输工程</w:t>
            </w:r>
          </w:p>
        </w:tc>
        <w:tc>
          <w:tcPr>
            <w:tcW w:w="99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试采期普光106-2H侧钻井采气经复建后的P106集气站进行计量分离，</w:t>
            </w:r>
            <w:r>
              <w:rPr>
                <w:rFonts w:hint="default" w:ascii="Times New Roman" w:hAnsi="Times New Roman" w:cs="Times New Roman"/>
                <w:color w:val="000000" w:themeColor="text1"/>
                <w:sz w:val="21"/>
                <w:szCs w:val="21"/>
                <w:highlight w:val="none"/>
                <w:lang w:eastAsia="zh-CN"/>
                <w14:textFill>
                  <w14:solidFill>
                    <w14:schemeClr w14:val="tx1"/>
                  </w14:solidFill>
                </w14:textFill>
              </w:rPr>
              <w:t>产生的气田水（含初期压裂返排液）依托P106集气站</w:t>
            </w:r>
            <w:r>
              <w:rPr>
                <w:rFonts w:hint="default" w:ascii="Times New Roman" w:hAnsi="Times New Roman" w:cs="Times New Roman"/>
                <w:color w:val="000000" w:themeColor="text1"/>
                <w:sz w:val="21"/>
                <w:szCs w:val="21"/>
                <w:highlight w:val="none"/>
                <w14:textFill>
                  <w14:solidFill>
                    <w14:schemeClr w14:val="tx1"/>
                  </w14:solidFill>
                </w14:textFill>
              </w:rPr>
              <w:t>已建酸液缓冲罐收集暂存，然后通过密闭罐车拉运至赵家坝污水处理站达到《气田水回注方法》（SY/T 6596-2016）中注入水基本要求后管输至普光11井回注站回注处理，不外排。拟建工程不新增定员，不涉及值班人员生活废水</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Merge w:val="restart"/>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环境风险</w:t>
            </w: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事故放空：事故状态下站场内天然气通过依托集气站的放空火炬燃烧排放</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58" w:hRule="atLeast"/>
          <w:jc w:val="center"/>
        </w:trPr>
        <w:tc>
          <w:tcPr>
            <w:tcW w:w="581"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992" w:type="dxa"/>
            <w:vMerge w:val="continue"/>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3828" w:type="dxa"/>
            <w:vAlign w:val="center"/>
          </w:tcPr>
          <w:p>
            <w:pPr>
              <w:widowControl/>
              <w:spacing w:line="240" w:lineRule="auto"/>
              <w:ind w:firstLine="0" w:firstLineChars="0"/>
              <w:jc w:val="left"/>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项目建成后运行过程中风险依托现有设施、设备，应急预案依托项目所属的中国石油化工股份有限公司中原油田普光分公司编制的应急预案；需按相关要求对预案进行修订，将本项目纳入更新后的应急预案体系管理；同时本项目应单独编制应急预案并定期演练</w:t>
            </w:r>
            <w:r>
              <w:rPr>
                <w:rFonts w:hint="eastAsia" w:cs="Times New Roman"/>
                <w:color w:val="000000" w:themeColor="text1"/>
                <w:sz w:val="21"/>
                <w:szCs w:val="21"/>
                <w:highlight w:val="none"/>
                <w:lang w:eastAsia="zh-CN"/>
                <w14:textFill>
                  <w14:solidFill>
                    <w14:schemeClr w14:val="tx1"/>
                  </w14:solidFill>
                </w14:textFill>
              </w:rPr>
              <w:t>。</w:t>
            </w:r>
          </w:p>
        </w:tc>
        <w:tc>
          <w:tcPr>
            <w:tcW w:w="1417"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新建+依托</w:t>
            </w:r>
          </w:p>
        </w:tc>
      </w:tr>
    </w:tbl>
    <w:p>
      <w:pPr>
        <w:pStyle w:val="201"/>
        <w:pageBreakBefore w:val="0"/>
        <w:kinsoku/>
        <w:wordWrap/>
        <w:overflowPunct/>
        <w:topLinePunct w:val="0"/>
        <w:bidi w:val="0"/>
        <w:adjustRightInd w:val="0"/>
        <w:snapToGrid w:val="0"/>
        <w:spacing w:before="0" w:beforeLines="0" w:line="360" w:lineRule="auto"/>
        <w:ind w:firstLine="480"/>
        <w:rPr>
          <w:rFonts w:hint="default" w:ascii="Times New Roman" w:hAnsi="Times New Roman" w:cs="Times New Roman"/>
          <w:color w:val="000000" w:themeColor="text1"/>
          <w:highlight w:val="none"/>
          <w14:textFill>
            <w14:solidFill>
              <w14:schemeClr w14:val="tx1"/>
            </w14:solidFill>
          </w14:textFill>
        </w:rPr>
      </w:pPr>
    </w:p>
    <w:p>
      <w:pPr>
        <w:pStyle w:val="4"/>
        <w:pageBreakBefore w:val="0"/>
        <w:kinsoku/>
        <w:wordWrap/>
        <w:overflowPunct/>
        <w:topLinePunct w:val="0"/>
        <w:bidi w:val="0"/>
        <w:adjustRightInd w:val="0"/>
        <w:snapToGrid w:val="0"/>
        <w:spacing w:before="0" w:beforeLines="0" w:line="360" w:lineRule="auto"/>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101" w:name="_Toc120173102"/>
      <w:r>
        <w:rPr>
          <w:rFonts w:hint="default" w:ascii="Times New Roman" w:hAnsi="Times New Roman" w:cs="Times New Roman"/>
          <w:color w:val="000000" w:themeColor="text1"/>
          <w:highlight w:val="none"/>
          <w:lang w:eastAsia="zh-CN"/>
          <w14:textFill>
            <w14:solidFill>
              <w14:schemeClr w14:val="tx1"/>
            </w14:solidFill>
          </w14:textFill>
        </w:rPr>
        <w:t>主要设备</w:t>
      </w:r>
      <w:bookmarkEnd w:id="101"/>
    </w:p>
    <w:p>
      <w:pPr>
        <w:pageBreakBefore w:val="0"/>
        <w:kinsoku/>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cs="Times New Roman"/>
          <w:color w:val="000000" w:themeColor="text1"/>
          <w:szCs w:val="24"/>
          <w:highlight w:val="none"/>
          <w14:textFill>
            <w14:solidFill>
              <w14:schemeClr w14:val="tx1"/>
            </w14:solidFill>
          </w14:textFill>
        </w:rPr>
      </w:pPr>
      <w:bookmarkStart w:id="102" w:name="3.2.4总平面布置及其合理性分析"/>
      <w:bookmarkEnd w:id="102"/>
      <w:bookmarkStart w:id="103" w:name="3.2.3原辅材料及用量"/>
      <w:bookmarkEnd w:id="103"/>
      <w:bookmarkStart w:id="104" w:name="3.2.5公用工程"/>
      <w:bookmarkEnd w:id="104"/>
      <w:r>
        <w:rPr>
          <w:rFonts w:hint="default" w:ascii="Times New Roman" w:hAnsi="Times New Roman" w:cs="Times New Roman"/>
          <w:color w:val="000000" w:themeColor="text1"/>
          <w:szCs w:val="24"/>
          <w:highlight w:val="none"/>
          <w14:textFill>
            <w14:solidFill>
              <w14:schemeClr w14:val="tx1"/>
            </w14:solidFill>
          </w14:textFill>
        </w:rPr>
        <w:t>1、施工期</w:t>
      </w:r>
    </w:p>
    <w:p>
      <w:pPr>
        <w:pageBreakBefore w:val="0"/>
        <w:kinsoku/>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根据项目所在地地层实际情况，本项目采用机械钻机，为ZJ70钻机，并配备顶驱装置。井架设备和井场监控自动化设备共用，泥浆钻井系统（含现场泥浆的调配、储存、循环以及钻井时的井控设施等）独立配置。项目钻、完井工程所用设备见3.2-</w:t>
      </w:r>
      <w:r>
        <w:rPr>
          <w:rFonts w:hint="eastAsia" w:ascii="Times New Roman" w:hAnsi="Times New Roman" w:cs="Times New Roman"/>
          <w:color w:val="000000" w:themeColor="text1"/>
          <w:szCs w:val="24"/>
          <w:highlight w:val="none"/>
          <w:lang w:val="en-US" w:eastAsia="zh-CN"/>
          <w14:textFill>
            <w14:solidFill>
              <w14:schemeClr w14:val="tx1"/>
            </w14:solidFill>
          </w14:textFill>
        </w:rPr>
        <w:t>8</w:t>
      </w:r>
      <w:r>
        <w:rPr>
          <w:rFonts w:hint="default" w:ascii="Times New Roman" w:hAnsi="Times New Roman" w:cs="Times New Roman"/>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05" w:name="_Ref142593373"/>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bookmarkEnd w:id="105"/>
      <w:r>
        <w:rPr>
          <w:rFonts w:hint="eastAsia" w:ascii="Times New Roman" w:hAnsi="Times New Roman" w:cs="Times New Roman"/>
          <w:color w:val="000000" w:themeColor="text1"/>
          <w:highlight w:val="none"/>
          <w:lang w:val="en-US" w:eastAsia="zh-CN"/>
          <w14:textFill>
            <w14:solidFill>
              <w14:schemeClr w14:val="tx1"/>
            </w14:solidFill>
          </w14:textFill>
        </w:rPr>
        <w:t xml:space="preserve">8 </w:t>
      </w:r>
      <w:r>
        <w:rPr>
          <w:rFonts w:hint="default" w:ascii="Times New Roman" w:hAnsi="Times New Roman" w:cs="Times New Roman"/>
          <w:color w:val="000000" w:themeColor="text1"/>
          <w:highlight w:val="none"/>
          <w14:textFill>
            <w14:solidFill>
              <w14:schemeClr w14:val="tx1"/>
            </w14:solidFill>
          </w14:textFill>
        </w:rPr>
        <w:t xml:space="preserve"> 本项目钻井工程所用主要设施一览表</w:t>
      </w:r>
    </w:p>
    <w:tbl>
      <w:tblPr>
        <w:tblStyle w:val="52"/>
        <w:tblW w:w="49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3531"/>
        <w:gridCol w:w="1616"/>
        <w:gridCol w:w="1294"/>
        <w:gridCol w:w="9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4" w:hRule="atLeast"/>
          <w:tblHeader/>
          <w:jc w:val="center"/>
        </w:trPr>
        <w:tc>
          <w:tcPr>
            <w:tcW w:w="0" w:type="auto"/>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0" w:type="auto"/>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设备或部件名称</w:t>
            </w:r>
          </w:p>
        </w:tc>
        <w:tc>
          <w:tcPr>
            <w:tcW w:w="0" w:type="auto"/>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规格型号</w:t>
            </w:r>
          </w:p>
        </w:tc>
        <w:tc>
          <w:tcPr>
            <w:tcW w:w="0" w:type="auto"/>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主参数</w:t>
            </w:r>
          </w:p>
        </w:tc>
        <w:tc>
          <w:tcPr>
            <w:tcW w:w="0" w:type="auto"/>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4" w:hRule="atLeast"/>
          <w:tblHeader/>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w:t>
            </w:r>
          </w:p>
        </w:tc>
        <w:tc>
          <w:tcPr>
            <w:tcW w:w="0" w:type="auto"/>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电动钻机</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井架</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底座</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绞车</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天车</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游车</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大钩</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水龙头</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转盘</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柴油机1#</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柴油机2#</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柴油机3#</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发电机1#</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发电机2#</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钻井泵1#</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钻井泵2#</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泥浆循环罐</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泥浆储备罐</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搅拌器</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自动压风机</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电动压风机</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刹车系统</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辅助刹车</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振动筛1#</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振动筛2#</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振动筛3#</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除砂器</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除泥器</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除气器</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离心机</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加重漏斗</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电动加重泵</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快速自动配浆加重系统</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测斜仪</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测斜绞车</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液位报警仪</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液压大钳</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自动点火装置</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柴油罐</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生活水罐</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w:t>
            </w:r>
          </w:p>
        </w:tc>
        <w:tc>
          <w:tcPr>
            <w:tcW w:w="0" w:type="auto"/>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压裂设备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2500型压裂车</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灌注撬</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混配车</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奔驰混砂车</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压裂液罐</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w:t>
            </w:r>
          </w:p>
        </w:tc>
        <w:tc>
          <w:tcPr>
            <w:tcW w:w="0" w:type="auto"/>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救生消防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消防房及消防工具</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二层台逃生装置</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钻台紧急滑道</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可燃气体监测仪</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四</w:t>
            </w:r>
          </w:p>
        </w:tc>
        <w:tc>
          <w:tcPr>
            <w:tcW w:w="0" w:type="auto"/>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硫化氫防护设备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固定式H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S监测仪</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便携式H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S监测仪</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空气呼吸器</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空气压缩机</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大功率防爆排风扇</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点火装置</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小型汽油发电机</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0" w:type="auto"/>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bl>
    <w:p>
      <w:pPr>
        <w:keepNext w:val="0"/>
        <w:keepLines w:val="0"/>
        <w:pageBreakBefore w:val="0"/>
        <w:widowControl w:val="0"/>
        <w:kinsoku/>
        <w:wordWrap/>
        <w:overflowPunct/>
        <w:topLinePunct w:val="0"/>
        <w:autoSpaceDE w:val="0"/>
        <w:autoSpaceDN w:val="0"/>
        <w:bidi w:val="0"/>
        <w:adjustRightInd w:val="0"/>
        <w:snapToGrid w:val="0"/>
        <w:ind w:firstLine="480"/>
        <w:textAlignment w:val="baseline"/>
        <w:rPr>
          <w:rFonts w:hint="default" w:ascii="Times New Roman" w:hAnsi="Times New Roman" w:eastAsia="黑体" w:cs="Times New Roman"/>
          <w:color w:val="000000" w:themeColor="text1"/>
          <w:szCs w:val="24"/>
          <w:highlight w:val="none"/>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val="0"/>
        <w:snapToGrid w:val="0"/>
        <w:ind w:firstLine="480"/>
        <w:textAlignment w:val="baseline"/>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2、试采期</w:t>
      </w:r>
    </w:p>
    <w:p>
      <w:pPr>
        <w:keepNext w:val="0"/>
        <w:keepLines w:val="0"/>
        <w:pageBreakBefore w:val="0"/>
        <w:widowControl w:val="0"/>
        <w:kinsoku/>
        <w:wordWrap/>
        <w:overflowPunct/>
        <w:topLinePunct w:val="0"/>
        <w:autoSpaceDE w:val="0"/>
        <w:autoSpaceDN w:val="0"/>
        <w:bidi w:val="0"/>
        <w:adjustRightInd w:val="0"/>
        <w:snapToGrid w:val="0"/>
        <w:ind w:firstLine="480"/>
        <w:textAlignment w:val="baseline"/>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试采</w:t>
      </w:r>
      <w:r>
        <w:rPr>
          <w:rFonts w:hint="eastAsia" w:cs="Times New Roman"/>
          <w:color w:val="000000" w:themeColor="text1"/>
          <w:szCs w:val="24"/>
          <w:highlight w:val="none"/>
          <w:lang w:val="en-US" w:eastAsia="zh-CN"/>
          <w14:textFill>
            <w14:solidFill>
              <w14:schemeClr w14:val="tx1"/>
            </w14:solidFill>
          </w14:textFill>
        </w:rPr>
        <w:t>期</w:t>
      </w:r>
      <w:r>
        <w:rPr>
          <w:rFonts w:hint="default" w:ascii="Times New Roman" w:hAnsi="Times New Roman" w:cs="Times New Roman"/>
          <w:color w:val="000000" w:themeColor="text1"/>
          <w:szCs w:val="24"/>
          <w:highlight w:val="none"/>
          <w14:textFill>
            <w14:solidFill>
              <w14:schemeClr w14:val="tx1"/>
            </w14:solidFill>
          </w14:textFill>
        </w:rPr>
        <w:t>主要设备一览</w:t>
      </w:r>
      <w:r>
        <w:rPr>
          <w:rFonts w:hint="eastAsia" w:ascii="Times New Roman" w:hAnsi="Times New Roman" w:cs="Times New Roman"/>
          <w:color w:val="000000" w:themeColor="text1"/>
          <w:szCs w:val="24"/>
          <w:highlight w:val="none"/>
          <w:lang w:val="en-US" w:eastAsia="zh-CN"/>
          <w14:textFill>
            <w14:solidFill>
              <w14:schemeClr w14:val="tx1"/>
            </w14:solidFill>
          </w14:textFill>
        </w:rPr>
        <w:t>下表</w:t>
      </w:r>
      <w:r>
        <w:rPr>
          <w:rFonts w:hint="default" w:ascii="Times New Roman" w:hAnsi="Times New Roman" w:cs="Times New Roman"/>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06" w:name="_Ref142593374"/>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bookmarkEnd w:id="106"/>
      <w:r>
        <w:rPr>
          <w:rFonts w:hint="eastAsia" w:ascii="Times New Roman" w:hAnsi="Times New Roman" w:cs="Times New Roman"/>
          <w:color w:val="000000" w:themeColor="text1"/>
          <w:highlight w:val="none"/>
          <w:lang w:val="en-US" w:eastAsia="zh-CN"/>
          <w14:textFill>
            <w14:solidFill>
              <w14:schemeClr w14:val="tx1"/>
            </w14:solidFill>
          </w14:textFill>
        </w:rPr>
        <w:t>9</w:t>
      </w:r>
      <w:r>
        <w:rPr>
          <w:rFonts w:hint="default" w:ascii="Times New Roman" w:hAnsi="Times New Roman" w:cs="Times New Roman"/>
          <w:color w:val="000000" w:themeColor="text1"/>
          <w:highlight w:val="none"/>
          <w14:textFill>
            <w14:solidFill>
              <w14:schemeClr w14:val="tx1"/>
            </w14:solidFill>
          </w14:textFill>
        </w:rPr>
        <w:t xml:space="preserve">  普光P106集气站主要设备一览表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50"/>
        <w:gridCol w:w="4062"/>
        <w:gridCol w:w="1587"/>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hint="default" w:ascii="Times New Roman" w:hAnsi="Times New Roman" w:cs="Times New Roman"/>
                <w:b/>
                <w:bCs/>
                <w:color w:val="000000" w:themeColor="text1"/>
                <w:sz w:val="21"/>
                <w:szCs w:val="18"/>
                <w:highlight w:val="none"/>
                <w14:textFill>
                  <w14:solidFill>
                    <w14:schemeClr w14:val="tx1"/>
                  </w14:solidFill>
                </w14:textFill>
              </w:rPr>
            </w:pPr>
            <w:r>
              <w:rPr>
                <w:rFonts w:hint="default" w:ascii="Times New Roman" w:hAnsi="Times New Roman" w:cs="Times New Roman"/>
                <w:b/>
                <w:bCs/>
                <w:color w:val="000000" w:themeColor="text1"/>
                <w:sz w:val="21"/>
                <w:szCs w:val="18"/>
                <w:highlight w:val="none"/>
                <w14:textFill>
                  <w14:solidFill>
                    <w14:schemeClr w14:val="tx1"/>
                  </w14:solidFill>
                </w14:textFill>
              </w:rPr>
              <w:t>序号</w:t>
            </w:r>
          </w:p>
        </w:tc>
        <w:tc>
          <w:tcPr>
            <w:tcW w:w="2441" w:type="pct"/>
            <w:vAlign w:val="center"/>
          </w:tcPr>
          <w:p>
            <w:pPr>
              <w:spacing w:line="240" w:lineRule="auto"/>
              <w:ind w:firstLine="0" w:firstLineChars="0"/>
              <w:jc w:val="center"/>
              <w:rPr>
                <w:rFonts w:hint="default" w:ascii="Times New Roman" w:hAnsi="Times New Roman" w:cs="Times New Roman"/>
                <w:b/>
                <w:bCs/>
                <w:color w:val="000000" w:themeColor="text1"/>
                <w:sz w:val="21"/>
                <w:szCs w:val="18"/>
                <w:highlight w:val="none"/>
                <w14:textFill>
                  <w14:solidFill>
                    <w14:schemeClr w14:val="tx1"/>
                  </w14:solidFill>
                </w14:textFill>
              </w:rPr>
            </w:pPr>
            <w:r>
              <w:rPr>
                <w:rFonts w:hint="default" w:ascii="Times New Roman" w:hAnsi="Times New Roman" w:cs="Times New Roman"/>
                <w:b/>
                <w:bCs/>
                <w:color w:val="000000" w:themeColor="text1"/>
                <w:sz w:val="21"/>
                <w:szCs w:val="18"/>
                <w:highlight w:val="none"/>
                <w14:textFill>
                  <w14:solidFill>
                    <w14:schemeClr w14:val="tx1"/>
                  </w14:solidFill>
                </w14:textFill>
              </w:rPr>
              <w:t>设备名称</w:t>
            </w:r>
          </w:p>
        </w:tc>
        <w:tc>
          <w:tcPr>
            <w:tcW w:w="954" w:type="pct"/>
            <w:vAlign w:val="center"/>
          </w:tcPr>
          <w:p>
            <w:pPr>
              <w:spacing w:line="240" w:lineRule="auto"/>
              <w:ind w:firstLine="0" w:firstLineChars="0"/>
              <w:jc w:val="center"/>
              <w:rPr>
                <w:rFonts w:hint="default" w:ascii="Times New Roman" w:hAnsi="Times New Roman" w:cs="Times New Roman"/>
                <w:b/>
                <w:bCs/>
                <w:color w:val="000000" w:themeColor="text1"/>
                <w:sz w:val="21"/>
                <w:szCs w:val="18"/>
                <w:highlight w:val="none"/>
                <w14:textFill>
                  <w14:solidFill>
                    <w14:schemeClr w14:val="tx1"/>
                  </w14:solidFill>
                </w14:textFill>
              </w:rPr>
            </w:pPr>
            <w:r>
              <w:rPr>
                <w:rFonts w:hint="default" w:ascii="Times New Roman" w:hAnsi="Times New Roman" w:cs="Times New Roman"/>
                <w:b/>
                <w:bCs/>
                <w:color w:val="000000" w:themeColor="text1"/>
                <w:sz w:val="21"/>
                <w:szCs w:val="18"/>
                <w:highlight w:val="none"/>
                <w14:textFill>
                  <w14:solidFill>
                    <w14:schemeClr w14:val="tx1"/>
                  </w14:solidFill>
                </w14:textFill>
              </w:rPr>
              <w:t>单位</w:t>
            </w:r>
          </w:p>
        </w:tc>
        <w:tc>
          <w:tcPr>
            <w:tcW w:w="854" w:type="pct"/>
            <w:vAlign w:val="center"/>
          </w:tcPr>
          <w:p>
            <w:pPr>
              <w:spacing w:line="240" w:lineRule="auto"/>
              <w:ind w:firstLine="0" w:firstLineChars="0"/>
              <w:jc w:val="center"/>
              <w:rPr>
                <w:rFonts w:hint="default" w:ascii="Times New Roman" w:hAnsi="Times New Roman" w:cs="Times New Roman"/>
                <w:b/>
                <w:bCs/>
                <w:color w:val="000000" w:themeColor="text1"/>
                <w:sz w:val="21"/>
                <w:szCs w:val="18"/>
                <w:highlight w:val="none"/>
                <w14:textFill>
                  <w14:solidFill>
                    <w14:schemeClr w14:val="tx1"/>
                  </w14:solidFill>
                </w14:textFill>
              </w:rPr>
            </w:pPr>
            <w:r>
              <w:rPr>
                <w:rFonts w:hint="default" w:ascii="Times New Roman" w:hAnsi="Times New Roman" w:cs="Times New Roman"/>
                <w:b/>
                <w:bCs/>
                <w:color w:val="000000" w:themeColor="text1"/>
                <w:sz w:val="21"/>
                <w:szCs w:val="18"/>
                <w:highlight w:val="none"/>
                <w14:textFill>
                  <w14:solidFill>
                    <w14:schemeClr w14:val="tx1"/>
                  </w14:solidFill>
                </w14:textFill>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1</w:t>
            </w:r>
          </w:p>
        </w:tc>
        <w:tc>
          <w:tcPr>
            <w:tcW w:w="244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井口采气树</w:t>
            </w:r>
          </w:p>
        </w:tc>
        <w:tc>
          <w:tcPr>
            <w:tcW w:w="9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8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2</w:t>
            </w:r>
          </w:p>
        </w:tc>
        <w:tc>
          <w:tcPr>
            <w:tcW w:w="244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20"/>
                <w:highlight w:val="none"/>
                <w14:textFill>
                  <w14:solidFill>
                    <w14:schemeClr w14:val="tx1"/>
                  </w14:solidFill>
                </w14:textFill>
              </w:rPr>
              <w:t>DN100镍基合金采气管道</w:t>
            </w:r>
          </w:p>
        </w:tc>
        <w:tc>
          <w:tcPr>
            <w:tcW w:w="9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8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3</w:t>
            </w:r>
          </w:p>
        </w:tc>
        <w:tc>
          <w:tcPr>
            <w:tcW w:w="2441" w:type="pct"/>
            <w:vAlign w:val="center"/>
          </w:tcPr>
          <w:p>
            <w:pPr>
              <w:spacing w:line="240" w:lineRule="auto"/>
              <w:ind w:firstLine="0" w:firstLineChars="0"/>
              <w:jc w:val="center"/>
              <w:rPr>
                <w:rFonts w:hint="default" w:ascii="Times New Roman" w:hAnsi="Times New Roman" w:cs="Times New Roman"/>
                <w:bCs/>
                <w:color w:val="000000" w:themeColor="text1"/>
                <w:sz w:val="21"/>
                <w:szCs w:val="20"/>
                <w:highlight w:val="none"/>
                <w14:textFill>
                  <w14:solidFill>
                    <w14:schemeClr w14:val="tx1"/>
                  </w14:solidFill>
                </w14:textFill>
              </w:rPr>
            </w:pPr>
            <w:r>
              <w:rPr>
                <w:rFonts w:hint="default" w:ascii="Times New Roman" w:hAnsi="Times New Roman" w:cs="Times New Roman"/>
                <w:bCs/>
                <w:color w:val="000000" w:themeColor="text1"/>
                <w:sz w:val="21"/>
                <w:szCs w:val="20"/>
                <w:highlight w:val="none"/>
                <w14:textFill>
                  <w14:solidFill>
                    <w14:schemeClr w14:val="tx1"/>
                  </w14:solidFill>
                </w14:textFill>
              </w:rPr>
              <w:t>有毒气体探测器</w:t>
            </w:r>
          </w:p>
        </w:tc>
        <w:tc>
          <w:tcPr>
            <w:tcW w:w="9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8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4</w:t>
            </w:r>
          </w:p>
        </w:tc>
        <w:tc>
          <w:tcPr>
            <w:tcW w:w="2441" w:type="pct"/>
            <w:vAlign w:val="center"/>
          </w:tcPr>
          <w:p>
            <w:pPr>
              <w:spacing w:line="240" w:lineRule="auto"/>
              <w:ind w:firstLine="0" w:firstLineChars="0"/>
              <w:jc w:val="center"/>
              <w:rPr>
                <w:rFonts w:hint="default" w:ascii="Times New Roman" w:hAnsi="Times New Roman" w:cs="Times New Roman"/>
                <w:bCs/>
                <w:color w:val="000000" w:themeColor="text1"/>
                <w:sz w:val="21"/>
                <w:szCs w:val="20"/>
                <w:highlight w:val="none"/>
                <w14:textFill>
                  <w14:solidFill>
                    <w14:schemeClr w14:val="tx1"/>
                  </w14:solidFill>
                </w14:textFill>
              </w:rPr>
            </w:pPr>
            <w:r>
              <w:rPr>
                <w:rFonts w:hint="default" w:ascii="Times New Roman" w:hAnsi="Times New Roman" w:cs="Times New Roman"/>
                <w:bCs/>
                <w:color w:val="000000" w:themeColor="text1"/>
                <w:sz w:val="21"/>
                <w:szCs w:val="20"/>
                <w:highlight w:val="none"/>
                <w14:textFill>
                  <w14:solidFill>
                    <w14:schemeClr w14:val="tx1"/>
                  </w14:solidFill>
                </w14:textFill>
              </w:rPr>
              <w:t>可燃气体探测器</w:t>
            </w:r>
          </w:p>
        </w:tc>
        <w:tc>
          <w:tcPr>
            <w:tcW w:w="9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8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5</w:t>
            </w:r>
          </w:p>
        </w:tc>
        <w:tc>
          <w:tcPr>
            <w:tcW w:w="2441" w:type="pct"/>
            <w:vAlign w:val="center"/>
          </w:tcPr>
          <w:p>
            <w:pPr>
              <w:spacing w:line="240" w:lineRule="auto"/>
              <w:ind w:firstLine="0" w:firstLineChars="0"/>
              <w:jc w:val="center"/>
              <w:rPr>
                <w:rFonts w:hint="default" w:ascii="Times New Roman" w:hAnsi="Times New Roman" w:cs="Times New Roman"/>
                <w:bCs/>
                <w:color w:val="000000" w:themeColor="text1"/>
                <w:sz w:val="21"/>
                <w:szCs w:val="20"/>
                <w:highlight w:val="none"/>
                <w14:textFill>
                  <w14:solidFill>
                    <w14:schemeClr w14:val="tx1"/>
                  </w14:solidFill>
                </w14:textFill>
              </w:rPr>
            </w:pPr>
            <w:r>
              <w:rPr>
                <w:rFonts w:hint="default" w:ascii="Times New Roman" w:hAnsi="Times New Roman" w:cs="Times New Roman"/>
                <w:bCs/>
                <w:color w:val="000000" w:themeColor="text1"/>
                <w:sz w:val="21"/>
                <w:szCs w:val="20"/>
                <w:highlight w:val="none"/>
                <w14:textFill>
                  <w14:solidFill>
                    <w14:schemeClr w14:val="tx1"/>
                  </w14:solidFill>
                </w14:textFill>
              </w:rPr>
              <w:t>火焰探测器</w:t>
            </w:r>
          </w:p>
        </w:tc>
        <w:tc>
          <w:tcPr>
            <w:tcW w:w="9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8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6</w:t>
            </w:r>
          </w:p>
        </w:tc>
        <w:tc>
          <w:tcPr>
            <w:tcW w:w="2441" w:type="pct"/>
            <w:vAlign w:val="center"/>
          </w:tcPr>
          <w:p>
            <w:pPr>
              <w:spacing w:line="240" w:lineRule="auto"/>
              <w:ind w:firstLine="0" w:firstLineChars="0"/>
              <w:jc w:val="center"/>
              <w:rPr>
                <w:rFonts w:hint="default" w:ascii="Times New Roman" w:hAnsi="Times New Roman" w:cs="Times New Roman"/>
                <w:bCs/>
                <w:color w:val="000000" w:themeColor="text1"/>
                <w:sz w:val="21"/>
                <w:szCs w:val="20"/>
                <w:highlight w:val="none"/>
                <w14:textFill>
                  <w14:solidFill>
                    <w14:schemeClr w14:val="tx1"/>
                  </w14:solidFill>
                </w14:textFill>
              </w:rPr>
            </w:pPr>
            <w:r>
              <w:rPr>
                <w:rFonts w:hint="default" w:ascii="Times New Roman" w:hAnsi="Times New Roman" w:cs="Times New Roman"/>
                <w:bCs/>
                <w:color w:val="000000" w:themeColor="text1"/>
                <w:sz w:val="21"/>
                <w:szCs w:val="20"/>
                <w:highlight w:val="none"/>
                <w14:textFill>
                  <w14:solidFill>
                    <w14:schemeClr w14:val="tx1"/>
                  </w14:solidFill>
                </w14:textFill>
              </w:rPr>
              <w:t>手提式磷酸铵盐干粉灭火器MF/ABC8</w:t>
            </w:r>
          </w:p>
        </w:tc>
        <w:tc>
          <w:tcPr>
            <w:tcW w:w="9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8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7</w:t>
            </w:r>
          </w:p>
        </w:tc>
        <w:tc>
          <w:tcPr>
            <w:tcW w:w="2441" w:type="pct"/>
            <w:vAlign w:val="center"/>
          </w:tcPr>
          <w:p>
            <w:pPr>
              <w:spacing w:line="240" w:lineRule="auto"/>
              <w:ind w:firstLine="0" w:firstLineChars="0"/>
              <w:jc w:val="center"/>
              <w:rPr>
                <w:rFonts w:hint="default" w:ascii="Times New Roman" w:hAnsi="Times New Roman" w:cs="Times New Roman"/>
                <w:bCs/>
                <w:color w:val="000000" w:themeColor="text1"/>
                <w:sz w:val="21"/>
                <w:szCs w:val="20"/>
                <w:highlight w:val="none"/>
                <w14:textFill>
                  <w14:solidFill>
                    <w14:schemeClr w14:val="tx1"/>
                  </w14:solidFill>
                </w14:textFill>
              </w:rPr>
            </w:pPr>
            <w:r>
              <w:rPr>
                <w:rFonts w:hint="default" w:ascii="Times New Roman" w:hAnsi="Times New Roman" w:cs="Times New Roman"/>
                <w:bCs/>
                <w:color w:val="000000" w:themeColor="text1"/>
                <w:sz w:val="21"/>
                <w:szCs w:val="20"/>
                <w:highlight w:val="none"/>
                <w14:textFill>
                  <w14:solidFill>
                    <w14:schemeClr w14:val="tx1"/>
                  </w14:solidFill>
                </w14:textFill>
              </w:rPr>
              <w:t>推车式磷酸铵盐干粉灭火器MFTZ/ABC50</w:t>
            </w:r>
          </w:p>
        </w:tc>
        <w:tc>
          <w:tcPr>
            <w:tcW w:w="9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8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8</w:t>
            </w:r>
          </w:p>
        </w:tc>
        <w:tc>
          <w:tcPr>
            <w:tcW w:w="2441" w:type="pct"/>
            <w:vAlign w:val="center"/>
          </w:tcPr>
          <w:p>
            <w:pPr>
              <w:spacing w:line="240" w:lineRule="auto"/>
              <w:ind w:firstLine="0" w:firstLineChars="0"/>
              <w:jc w:val="center"/>
              <w:rPr>
                <w:rFonts w:hint="default" w:ascii="Times New Roman" w:hAnsi="Times New Roman" w:cs="Times New Roman"/>
                <w:bCs/>
                <w:color w:val="000000" w:themeColor="text1"/>
                <w:sz w:val="21"/>
                <w:szCs w:val="20"/>
                <w:highlight w:val="none"/>
                <w14:textFill>
                  <w14:solidFill>
                    <w14:schemeClr w14:val="tx1"/>
                  </w14:solidFill>
                </w14:textFill>
              </w:rPr>
            </w:pPr>
            <w:r>
              <w:rPr>
                <w:rFonts w:hint="default" w:ascii="Times New Roman" w:hAnsi="Times New Roman" w:cs="Times New Roman"/>
                <w:bCs/>
                <w:color w:val="000000" w:themeColor="text1"/>
                <w:sz w:val="21"/>
                <w:szCs w:val="20"/>
                <w:highlight w:val="none"/>
                <w14:textFill>
                  <w14:solidFill>
                    <w14:schemeClr w14:val="tx1"/>
                  </w14:solidFill>
                </w14:textFill>
              </w:rPr>
              <w:t>灭火器箱</w:t>
            </w:r>
          </w:p>
        </w:tc>
        <w:tc>
          <w:tcPr>
            <w:tcW w:w="9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8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751" w:type="pct"/>
            <w:vAlign w:val="center"/>
          </w:tcPr>
          <w:p>
            <w:pPr>
              <w:spacing w:line="240" w:lineRule="auto"/>
              <w:ind w:firstLine="0" w:firstLineChars="0"/>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9</w:t>
            </w:r>
          </w:p>
        </w:tc>
        <w:tc>
          <w:tcPr>
            <w:tcW w:w="2441" w:type="pct"/>
            <w:vAlign w:val="center"/>
          </w:tcPr>
          <w:p>
            <w:pPr>
              <w:spacing w:line="240" w:lineRule="auto"/>
              <w:ind w:firstLine="0" w:firstLineChars="0"/>
              <w:jc w:val="center"/>
              <w:rPr>
                <w:rFonts w:hint="eastAsia" w:ascii="Times New Roman" w:hAnsi="Times New Roman" w:eastAsia="宋体" w:cs="Times New Roman"/>
                <w:bCs/>
                <w:color w:val="000000" w:themeColor="text1"/>
                <w:sz w:val="21"/>
                <w:szCs w:val="20"/>
                <w:highlight w:val="none"/>
                <w:lang w:eastAsia="zh-CN"/>
                <w14:textFill>
                  <w14:solidFill>
                    <w14:schemeClr w14:val="tx1"/>
                  </w14:solidFill>
                </w14:textFill>
              </w:rPr>
            </w:pPr>
            <w:r>
              <w:rPr>
                <w:rFonts w:hint="eastAsia" w:cs="Times New Roman"/>
                <w:bCs/>
                <w:color w:val="000000" w:themeColor="text1"/>
                <w:sz w:val="21"/>
                <w:szCs w:val="20"/>
                <w:highlight w:val="none"/>
                <w:lang w:eastAsia="zh-CN"/>
                <w14:textFill>
                  <w14:solidFill>
                    <w14:schemeClr w14:val="tx1"/>
                  </w14:solidFill>
                </w14:textFill>
              </w:rPr>
              <w:t>乙二醇加注车</w:t>
            </w:r>
          </w:p>
        </w:tc>
        <w:tc>
          <w:tcPr>
            <w:tcW w:w="9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854" w:type="pct"/>
            <w:vAlign w:val="center"/>
          </w:tcPr>
          <w:p>
            <w:pPr>
              <w:pStyle w:val="123"/>
              <w:spacing w:line="240" w:lineRule="auto"/>
              <w:ind w:firstLine="199" w:firstLineChars="83"/>
              <w:jc w:val="center"/>
              <w:rPr>
                <w:rFonts w:hint="default" w:ascii="Times New Roman" w:hAnsi="Times New Roman" w:cs="Times New Roman"/>
                <w:bCs/>
                <w:color w:val="000000" w:themeColor="text1"/>
                <w:sz w:val="21"/>
                <w:szCs w:val="18"/>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r>
    </w:tbl>
    <w:p>
      <w:pPr>
        <w:pStyle w:val="201"/>
        <w:pageBreakBefore w:val="0"/>
        <w:kinsoku/>
        <w:wordWrap/>
        <w:overflowPunct/>
        <w:topLinePunct w:val="0"/>
        <w:bidi w:val="0"/>
        <w:adjustRightInd w:val="0"/>
        <w:snapToGrid w:val="0"/>
        <w:spacing w:before="0" w:beforeLines="0" w:line="360" w:lineRule="auto"/>
        <w:rPr>
          <w:rFonts w:hint="default" w:ascii="Times New Roman" w:hAnsi="Times New Roman" w:cs="Times New Roman"/>
          <w:color w:val="000000" w:themeColor="text1"/>
          <w:highlight w:val="none"/>
          <w14:textFill>
            <w14:solidFill>
              <w14:schemeClr w14:val="tx1"/>
            </w14:solidFill>
          </w14:textFill>
        </w:rPr>
      </w:pPr>
    </w:p>
    <w:p>
      <w:pPr>
        <w:pStyle w:val="4"/>
        <w:pageBreakBefore w:val="0"/>
        <w:kinsoku/>
        <w:wordWrap/>
        <w:overflowPunct/>
        <w:topLinePunct w:val="0"/>
        <w:bidi w:val="0"/>
        <w:adjustRightInd w:val="0"/>
        <w:snapToGrid w:val="0"/>
        <w:spacing w:before="0" w:beforeLines="0" w:line="360" w:lineRule="auto"/>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107" w:name="_Toc120173103"/>
      <w:r>
        <w:rPr>
          <w:rFonts w:hint="default" w:ascii="Times New Roman" w:hAnsi="Times New Roman" w:cs="Times New Roman"/>
          <w:color w:val="000000" w:themeColor="text1"/>
          <w:highlight w:val="none"/>
          <w:lang w:eastAsia="zh-CN"/>
          <w14:textFill>
            <w14:solidFill>
              <w14:schemeClr w14:val="tx1"/>
            </w14:solidFill>
          </w14:textFill>
        </w:rPr>
        <w:t>原辅材料消耗</w:t>
      </w:r>
      <w:bookmarkEnd w:id="107"/>
    </w:p>
    <w:p>
      <w:pPr>
        <w:pStyle w:val="5"/>
        <w:pageBreakBefore w:val="0"/>
        <w:kinsoku/>
        <w:wordWrap/>
        <w:overflowPunct/>
        <w:topLinePunct w:val="0"/>
        <w:bidi w:val="0"/>
        <w:adjustRightInd w:val="0"/>
        <w:snapToGrid w:val="0"/>
        <w:spacing w:before="0" w:beforeLines="0" w:line="360" w:lineRule="auto"/>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w:t>
      </w:r>
    </w:p>
    <w:p>
      <w:pPr>
        <w:pageBreakBefore w:val="0"/>
        <w:kinsoku/>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pP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t>本项目施工期包括钻前工程施工、钻井工程施工、储层改造工程施工三部分，其中钻前工程主要为井场建设、设备基础、生活区等建设，其原辅材料消耗为常规的建筑施工材料及柴油、水资源等。本次评价结合项目特点，重点就钻井工程、储层改造工程所使用的原辅材料情况进行详细说明如下：</w:t>
      </w:r>
    </w:p>
    <w:p>
      <w:pPr>
        <w:pageBreakBefore w:val="0"/>
        <w:kinsoku/>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eastAsia="宋体" w:cs="Times New Roman"/>
          <w:b/>
          <w:bCs/>
          <w:color w:val="000000" w:themeColor="text1"/>
          <w:kern w:val="0"/>
          <w:szCs w:val="20"/>
          <w:highlight w:val="none"/>
          <w:lang w:val="en-US" w:eastAsia="zh-CN"/>
          <w14:textFill>
            <w14:solidFill>
              <w14:schemeClr w14:val="tx1"/>
            </w14:solidFill>
          </w14:textFill>
        </w:rPr>
      </w:pPr>
      <w:r>
        <w:rPr>
          <w:rFonts w:hint="default" w:ascii="Times New Roman" w:hAnsi="Times New Roman" w:cs="Times New Roman"/>
          <w:b/>
          <w:bCs/>
          <w:color w:val="000000" w:themeColor="text1"/>
          <w:kern w:val="0"/>
          <w:szCs w:val="20"/>
          <w:highlight w:val="none"/>
          <w:lang w:eastAsia="zh-CN"/>
          <w14:textFill>
            <w14:solidFill>
              <w14:schemeClr w14:val="tx1"/>
            </w14:solidFill>
          </w14:textFill>
        </w:rPr>
        <w:t>（</w:t>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t>1）钻井工程材料消耗</w:t>
      </w:r>
    </w:p>
    <w:p>
      <w:pPr>
        <w:pageBreakBefore w:val="0"/>
        <w:kinsoku/>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cs="Times New Roman"/>
          <w:b/>
          <w:bCs/>
          <w:color w:val="000000" w:themeColor="text1"/>
          <w:kern w:val="0"/>
          <w:szCs w:val="20"/>
          <w:highlight w:val="none"/>
          <w14:textFill>
            <w14:solidFill>
              <w14:schemeClr w14:val="tx1"/>
            </w14:solidFill>
          </w14:textFill>
        </w:rPr>
      </w:pP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fldChar w:fldCharType="begin"/>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instrText xml:space="preserve"> = 1 \* GB3 \* MERGEFORMAT </w:instrText>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fldChar w:fldCharType="separate"/>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t>①</w:t>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fldChar w:fldCharType="end"/>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t>钻井施工</w:t>
      </w:r>
      <w:r>
        <w:rPr>
          <w:rFonts w:hint="default" w:ascii="Times New Roman" w:hAnsi="Times New Roman" w:cs="Times New Roman"/>
          <w:b/>
          <w:bCs/>
          <w:color w:val="000000" w:themeColor="text1"/>
          <w:kern w:val="0"/>
          <w:szCs w:val="20"/>
          <w:highlight w:val="none"/>
          <w14:textFill>
            <w14:solidFill>
              <w14:schemeClr w14:val="tx1"/>
            </w14:solidFill>
          </w14:textFill>
        </w:rPr>
        <w:t>材料消耗</w:t>
      </w:r>
    </w:p>
    <w:p>
      <w:pPr>
        <w:pageBreakBefore w:val="0"/>
        <w:widowControl/>
        <w:kinsoku/>
        <w:wordWrap/>
        <w:overflowPunct/>
        <w:topLinePunct w:val="0"/>
        <w:bidi w:val="0"/>
        <w:adjustRightInd w:val="0"/>
        <w:snapToGrid w:val="0"/>
        <w:spacing w:line="360" w:lineRule="auto"/>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本工程为侧钻井，采用常规钻井工艺进行钻井，为保护气层，优先采用含封堵性聚合物的水基钻井液体系（若遇特殊地层情况，可能会转为油基钻井）</w:t>
      </w:r>
      <w:r>
        <w:rPr>
          <w:rFonts w:hint="default" w:ascii="Times New Roman" w:hAnsi="Times New Roman" w:cs="Times New Roman"/>
          <w:color w:val="000000" w:themeColor="text1"/>
          <w:szCs w:val="21"/>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项目钻井液不涉及聚磺体系。钻井液初期在场地内配备并储存于钻井泥浆罐中循环使用</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泥浆罐</w:t>
      </w:r>
      <w:r>
        <w:rPr>
          <w:rFonts w:hint="eastAsia" w:cs="Times New Roman"/>
          <w:color w:val="000000" w:themeColor="text1"/>
          <w:highlight w:val="none"/>
          <w:lang w:val="en-US" w:eastAsia="zh-CN"/>
          <w14:textFill>
            <w14:solidFill>
              <w14:schemeClr w14:val="tx1"/>
            </w14:solidFill>
          </w14:textFill>
        </w:rPr>
        <w:t>储存</w:t>
      </w:r>
      <w:r>
        <w:rPr>
          <w:rFonts w:hint="default" w:ascii="Times New Roman" w:hAnsi="Times New Roman" w:cs="Times New Roman"/>
          <w:color w:val="000000" w:themeColor="text1"/>
          <w:highlight w:val="none"/>
          <w14:textFill>
            <w14:solidFill>
              <w14:schemeClr w14:val="tx1"/>
            </w14:solidFill>
          </w14:textFill>
        </w:rPr>
        <w:t>区采取防渗措施</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，调配钻井液原料分区分类贮存于井场内，贮存区上部设雨篷遮挡，原料按月需求量贮存于井场内。</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0 </w:t>
      </w:r>
      <w:r>
        <w:rPr>
          <w:rFonts w:hint="default" w:ascii="Times New Roman" w:hAnsi="Times New Roman" w:cs="Times New Roman"/>
          <w:color w:val="000000" w:themeColor="text1"/>
          <w:highlight w:val="none"/>
          <w14:textFill>
            <w14:solidFill>
              <w14:schemeClr w14:val="tx1"/>
            </w14:solidFill>
          </w14:textFill>
        </w:rPr>
        <w:t xml:space="preserve"> 项目分段钻井液类型</w:t>
      </w:r>
    </w:p>
    <w:tbl>
      <w:tblPr>
        <w:tblStyle w:val="644"/>
        <w:tblW w:w="4896" w:type="pct"/>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1790"/>
        <w:gridCol w:w="1990"/>
        <w:gridCol w:w="1748"/>
        <w:gridCol w:w="2821"/>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26" w:hRule="atLeast"/>
        </w:trPr>
        <w:tc>
          <w:tcPr>
            <w:tcW w:w="1072" w:type="pct"/>
            <w:vAlign w:val="center"/>
          </w:tcPr>
          <w:p>
            <w:pPr>
              <w:widowControl/>
              <w:adjustRightInd/>
              <w:snapToGrid/>
              <w:spacing w:line="240" w:lineRule="auto"/>
              <w:ind w:firstLineChars="0"/>
              <w:jc w:val="center"/>
              <w:rPr>
                <w:rFonts w:hint="default" w:ascii="Times New Roman" w:hAnsi="Times New Roman" w:eastAsia="Times New Roman" w:cs="Times New Roman"/>
                <w:snapToGrid w:val="0"/>
                <w:color w:val="000000" w:themeColor="text1"/>
                <w:kern w:val="0"/>
                <w:sz w:val="21"/>
                <w:szCs w:val="20"/>
                <w:highlight w:val="none"/>
                <w14:textFill>
                  <w14:solidFill>
                    <w14:schemeClr w14:val="tx1"/>
                  </w14:solidFill>
                </w14:textFill>
              </w:rPr>
            </w:pPr>
            <w:r>
              <w:rPr>
                <w:rFonts w:hint="default" w:ascii="Times New Roman" w:hAnsi="Times New Roman" w:eastAsia="宋体" w:cs="Times New Roman"/>
                <w:snapToGrid w:val="0"/>
                <w:color w:val="000000" w:themeColor="text1"/>
                <w:kern w:val="0"/>
                <w:sz w:val="21"/>
                <w:szCs w:val="20"/>
                <w:highlight w:val="none"/>
                <w14:textFill>
                  <w14:solidFill>
                    <w14:schemeClr w14:val="tx1"/>
                  </w14:solidFill>
                </w14:textFill>
              </w:rPr>
              <w:t>开钻序号</w:t>
            </w:r>
          </w:p>
        </w:tc>
        <w:tc>
          <w:tcPr>
            <w:tcW w:w="1192" w:type="pct"/>
            <w:vAlign w:val="center"/>
          </w:tcPr>
          <w:p>
            <w:pPr>
              <w:widowControl/>
              <w:adjustRightInd/>
              <w:snapToGrid/>
              <w:spacing w:line="240" w:lineRule="auto"/>
              <w:ind w:firstLine="0" w:firstLineChars="0"/>
              <w:jc w:val="center"/>
              <w:rPr>
                <w:rFonts w:hint="default" w:ascii="Times New Roman" w:hAnsi="Times New Roman" w:eastAsia="Times New Roman" w:cs="Times New Roman"/>
                <w:snapToGrid w:val="0"/>
                <w:color w:val="000000" w:themeColor="text1"/>
                <w:kern w:val="0"/>
                <w:sz w:val="21"/>
                <w:szCs w:val="20"/>
                <w:highlight w:val="none"/>
                <w14:textFill>
                  <w14:solidFill>
                    <w14:schemeClr w14:val="tx1"/>
                  </w14:solidFill>
                </w14:textFill>
              </w:rPr>
            </w:pPr>
            <w:r>
              <w:rPr>
                <w:rFonts w:hint="default" w:ascii="Times New Roman" w:hAnsi="Times New Roman" w:eastAsia="宋体" w:cs="Times New Roman"/>
                <w:snapToGrid w:val="0"/>
                <w:color w:val="000000" w:themeColor="text1"/>
                <w:kern w:val="0"/>
                <w:sz w:val="21"/>
                <w:szCs w:val="20"/>
                <w:highlight w:val="none"/>
                <w14:textFill>
                  <w14:solidFill>
                    <w14:schemeClr w14:val="tx1"/>
                  </w14:solidFill>
                </w14:textFill>
              </w:rPr>
              <w:t>井眼尺寸（</w:t>
            </w:r>
            <w:r>
              <w:rPr>
                <w:rFonts w:hint="default" w:ascii="Times New Roman" w:hAnsi="Times New Roman" w:eastAsia="Times New Roman" w:cs="Times New Roman"/>
                <w:snapToGrid w:val="0"/>
                <w:color w:val="000000" w:themeColor="text1"/>
                <w:kern w:val="0"/>
                <w:sz w:val="21"/>
                <w:szCs w:val="20"/>
                <w:highlight w:val="none"/>
                <w14:textFill>
                  <w14:solidFill>
                    <w14:schemeClr w14:val="tx1"/>
                  </w14:solidFill>
                </w14:textFill>
              </w:rPr>
              <w:t>mm</w:t>
            </w:r>
            <w:r>
              <w:rPr>
                <w:rFonts w:hint="default" w:ascii="Times New Roman" w:hAnsi="Times New Roman" w:eastAsia="宋体" w:cs="Times New Roman"/>
                <w:snapToGrid w:val="0"/>
                <w:color w:val="000000" w:themeColor="text1"/>
                <w:kern w:val="0"/>
                <w:sz w:val="21"/>
                <w:szCs w:val="20"/>
                <w:highlight w:val="none"/>
                <w14:textFill>
                  <w14:solidFill>
                    <w14:schemeClr w14:val="tx1"/>
                  </w14:solidFill>
                </w14:textFill>
              </w:rPr>
              <w:t>）</w:t>
            </w:r>
          </w:p>
        </w:tc>
        <w:tc>
          <w:tcPr>
            <w:tcW w:w="1047" w:type="pct"/>
            <w:vAlign w:val="center"/>
          </w:tcPr>
          <w:p>
            <w:pPr>
              <w:widowControl/>
              <w:adjustRightInd/>
              <w:snapToGrid/>
              <w:spacing w:line="240" w:lineRule="auto"/>
              <w:ind w:firstLine="0" w:firstLineChars="0"/>
              <w:jc w:val="center"/>
              <w:rPr>
                <w:rFonts w:hint="default" w:ascii="Times New Roman" w:hAnsi="Times New Roman" w:eastAsia="Times New Roman" w:cs="Times New Roman"/>
                <w:snapToGrid w:val="0"/>
                <w:color w:val="000000" w:themeColor="text1"/>
                <w:kern w:val="0"/>
                <w:sz w:val="21"/>
                <w:szCs w:val="20"/>
                <w:highlight w:val="none"/>
                <w14:textFill>
                  <w14:solidFill>
                    <w14:schemeClr w14:val="tx1"/>
                  </w14:solidFill>
                </w14:textFill>
              </w:rPr>
            </w:pPr>
            <w:r>
              <w:rPr>
                <w:rFonts w:hint="default" w:ascii="Times New Roman" w:hAnsi="Times New Roman" w:eastAsia="宋体" w:cs="Times New Roman"/>
                <w:snapToGrid w:val="0"/>
                <w:color w:val="000000" w:themeColor="text1"/>
                <w:kern w:val="0"/>
                <w:sz w:val="21"/>
                <w:szCs w:val="20"/>
                <w:highlight w:val="none"/>
                <w14:textFill>
                  <w14:solidFill>
                    <w14:schemeClr w14:val="tx1"/>
                  </w14:solidFill>
                </w14:textFill>
              </w:rPr>
              <w:t>井（</w:t>
            </w:r>
            <w:r>
              <w:rPr>
                <w:rFonts w:hint="default" w:ascii="Times New Roman" w:hAnsi="Times New Roman" w:eastAsia="Times New Roman" w:cs="Times New Roman"/>
                <w:snapToGrid w:val="0"/>
                <w:color w:val="000000" w:themeColor="text1"/>
                <w:kern w:val="0"/>
                <w:sz w:val="21"/>
                <w:szCs w:val="20"/>
                <w:highlight w:val="none"/>
                <w14:textFill>
                  <w14:solidFill>
                    <w14:schemeClr w14:val="tx1"/>
                  </w14:solidFill>
                </w14:textFill>
              </w:rPr>
              <w:t>m</w:t>
            </w:r>
            <w:r>
              <w:rPr>
                <w:rFonts w:hint="default" w:ascii="Times New Roman" w:hAnsi="Times New Roman" w:eastAsia="宋体" w:cs="Times New Roman"/>
                <w:snapToGrid w:val="0"/>
                <w:color w:val="000000" w:themeColor="text1"/>
                <w:kern w:val="0"/>
                <w:sz w:val="21"/>
                <w:szCs w:val="20"/>
                <w:highlight w:val="none"/>
                <w14:textFill>
                  <w14:solidFill>
                    <w14:schemeClr w14:val="tx1"/>
                  </w14:solidFill>
                </w14:textFill>
              </w:rPr>
              <w:t>）</w:t>
            </w:r>
          </w:p>
        </w:tc>
        <w:tc>
          <w:tcPr>
            <w:tcW w:w="1689" w:type="pct"/>
            <w:vAlign w:val="center"/>
          </w:tcPr>
          <w:p>
            <w:pPr>
              <w:widowControl/>
              <w:adjustRightInd/>
              <w:snapToGrid/>
              <w:spacing w:line="240" w:lineRule="auto"/>
              <w:ind w:firstLine="0" w:firstLineChars="0"/>
              <w:jc w:val="center"/>
              <w:rPr>
                <w:rFonts w:hint="default" w:ascii="Times New Roman" w:hAnsi="Times New Roman" w:eastAsia="Times New Roman" w:cs="Times New Roman"/>
                <w:snapToGrid w:val="0"/>
                <w:color w:val="000000" w:themeColor="text1"/>
                <w:kern w:val="0"/>
                <w:sz w:val="21"/>
                <w:szCs w:val="20"/>
                <w:highlight w:val="none"/>
                <w14:textFill>
                  <w14:solidFill>
                    <w14:schemeClr w14:val="tx1"/>
                  </w14:solidFill>
                </w14:textFill>
              </w:rPr>
            </w:pPr>
            <w:r>
              <w:rPr>
                <w:rFonts w:hint="default" w:ascii="Times New Roman" w:hAnsi="Times New Roman" w:eastAsia="宋体" w:cs="Times New Roman"/>
                <w:snapToGrid w:val="0"/>
                <w:color w:val="000000" w:themeColor="text1"/>
                <w:kern w:val="0"/>
                <w:sz w:val="21"/>
                <w:szCs w:val="20"/>
                <w:highlight w:val="none"/>
                <w14:textFill>
                  <w14:solidFill>
                    <w14:schemeClr w14:val="tx1"/>
                  </w14:solidFill>
                </w14:textFill>
              </w:rPr>
              <w:t>钻井液体系</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26" w:hRule="atLeast"/>
        </w:trPr>
        <w:tc>
          <w:tcPr>
            <w:tcW w:w="1072" w:type="pct"/>
            <w:vAlign w:val="center"/>
          </w:tcPr>
          <w:p>
            <w:pPr>
              <w:widowControl/>
              <w:adjustRightInd/>
              <w:snapToGrid/>
              <w:spacing w:line="240" w:lineRule="auto"/>
              <w:ind w:firstLine="0" w:firstLineChars="0"/>
              <w:jc w:val="center"/>
              <w:rPr>
                <w:rFonts w:hint="default" w:ascii="Times New Roman" w:hAnsi="Times New Roman" w:eastAsia="Times New Roman" w:cs="Times New Roman"/>
                <w:snapToGrid w:val="0"/>
                <w:color w:val="000000" w:themeColor="text1"/>
                <w:kern w:val="0"/>
                <w:sz w:val="21"/>
                <w:szCs w:val="20"/>
                <w:highlight w:val="none"/>
                <w14:textFill>
                  <w14:solidFill>
                    <w14:schemeClr w14:val="tx1"/>
                  </w14:solidFill>
                </w14:textFill>
              </w:rPr>
            </w:pPr>
            <w:r>
              <w:rPr>
                <w:rFonts w:hint="default" w:ascii="Times New Roman" w:hAnsi="Times New Roman" w:eastAsia="宋体" w:cs="Times New Roman"/>
                <w:bCs/>
                <w:snapToGrid w:val="0"/>
                <w:color w:val="000000" w:themeColor="text1"/>
                <w:kern w:val="0"/>
                <w:sz w:val="21"/>
                <w:szCs w:val="20"/>
                <w:highlight w:val="none"/>
                <w14:textFill>
                  <w14:solidFill>
                    <w14:schemeClr w14:val="tx1"/>
                  </w14:solidFill>
                </w14:textFill>
              </w:rPr>
              <w:t>侧钻</w:t>
            </w:r>
          </w:p>
        </w:tc>
        <w:tc>
          <w:tcPr>
            <w:tcW w:w="1192" w:type="pct"/>
            <w:vAlign w:val="center"/>
          </w:tcPr>
          <w:p>
            <w:pPr>
              <w:widowControl/>
              <w:adjustRightInd/>
              <w:snapToGrid/>
              <w:spacing w:line="240" w:lineRule="auto"/>
              <w:ind w:firstLine="0" w:firstLineChars="0"/>
              <w:jc w:val="center"/>
              <w:rPr>
                <w:rFonts w:hint="default" w:ascii="Times New Roman" w:hAnsi="Times New Roman" w:eastAsia="Times New Roman" w:cs="Times New Roman"/>
                <w:snapToGrid w:val="0"/>
                <w:color w:val="000000" w:themeColor="text1"/>
                <w:kern w:val="0"/>
                <w:sz w:val="21"/>
                <w:szCs w:val="20"/>
                <w:highlight w:val="none"/>
                <w14:textFill>
                  <w14:solidFill>
                    <w14:schemeClr w14:val="tx1"/>
                  </w14:solidFill>
                </w14:textFill>
              </w:rPr>
            </w:pPr>
            <w:r>
              <w:rPr>
                <w:rFonts w:hint="default" w:ascii="Times New Roman" w:hAnsi="Times New Roman" w:eastAsia="Times New Roman" w:cs="Times New Roman"/>
                <w:bCs/>
                <w:snapToGrid w:val="0"/>
                <w:color w:val="000000" w:themeColor="text1"/>
                <w:kern w:val="0"/>
                <w:sz w:val="21"/>
                <w:szCs w:val="20"/>
                <w:highlight w:val="none"/>
                <w14:textFill>
                  <w14:solidFill>
                    <w14:schemeClr w14:val="tx1"/>
                  </w14:solidFill>
                </w14:textFill>
              </w:rPr>
              <w:t>149.2</w:t>
            </w:r>
          </w:p>
        </w:tc>
        <w:tc>
          <w:tcPr>
            <w:tcW w:w="1047" w:type="pct"/>
            <w:vAlign w:val="center"/>
          </w:tcPr>
          <w:p>
            <w:pPr>
              <w:widowControl/>
              <w:adjustRightInd/>
              <w:snapToGrid/>
              <w:spacing w:line="240" w:lineRule="auto"/>
              <w:ind w:firstLine="0" w:firstLineChars="0"/>
              <w:jc w:val="center"/>
              <w:rPr>
                <w:rFonts w:hint="default" w:ascii="Times New Roman" w:hAnsi="Times New Roman" w:eastAsia="Times New Roman" w:cs="Times New Roman"/>
                <w:snapToGrid w:val="0"/>
                <w:color w:val="000000" w:themeColor="text1"/>
                <w:kern w:val="0"/>
                <w:sz w:val="21"/>
                <w:szCs w:val="20"/>
                <w:highlight w:val="none"/>
                <w14:textFill>
                  <w14:solidFill>
                    <w14:schemeClr w14:val="tx1"/>
                  </w14:solidFill>
                </w14:textFill>
              </w:rPr>
            </w:pPr>
            <w:r>
              <w:rPr>
                <w:rFonts w:hint="default" w:ascii="Times New Roman" w:hAnsi="Times New Roman" w:eastAsia="Times New Roman" w:cs="Times New Roman"/>
                <w:bCs/>
                <w:snapToGrid w:val="0"/>
                <w:color w:val="000000" w:themeColor="text1"/>
                <w:kern w:val="0"/>
                <w:sz w:val="21"/>
                <w:szCs w:val="20"/>
                <w:highlight w:val="none"/>
                <w14:textFill>
                  <w14:solidFill>
                    <w14:schemeClr w14:val="tx1"/>
                  </w14:solidFill>
                </w14:textFill>
              </w:rPr>
              <w:t>4887</w:t>
            </w:r>
            <w:r>
              <w:rPr>
                <w:rFonts w:hint="default" w:ascii="Times New Roman" w:hAnsi="Times New Roman" w:eastAsia="宋体" w:cs="Times New Roman"/>
                <w:bCs/>
                <w:snapToGrid w:val="0"/>
                <w:color w:val="000000" w:themeColor="text1"/>
                <w:kern w:val="0"/>
                <w:sz w:val="21"/>
                <w:szCs w:val="20"/>
                <w:highlight w:val="none"/>
                <w14:textFill>
                  <w14:solidFill>
                    <w14:schemeClr w14:val="tx1"/>
                  </w14:solidFill>
                </w14:textFill>
              </w:rPr>
              <w:t>～</w:t>
            </w:r>
            <w:r>
              <w:rPr>
                <w:rFonts w:hint="default" w:ascii="Times New Roman" w:hAnsi="Times New Roman" w:eastAsia="Times New Roman" w:cs="Times New Roman"/>
                <w:bCs/>
                <w:snapToGrid w:val="0"/>
                <w:color w:val="000000" w:themeColor="text1"/>
                <w:kern w:val="0"/>
                <w:sz w:val="21"/>
                <w:szCs w:val="20"/>
                <w:highlight w:val="none"/>
                <w14:textFill>
                  <w14:solidFill>
                    <w14:schemeClr w14:val="tx1"/>
                  </w14:solidFill>
                </w14:textFill>
              </w:rPr>
              <w:t>6643.58</w:t>
            </w:r>
          </w:p>
        </w:tc>
        <w:tc>
          <w:tcPr>
            <w:tcW w:w="1689" w:type="pct"/>
            <w:vAlign w:val="center"/>
          </w:tcPr>
          <w:p>
            <w:pPr>
              <w:adjustRightInd/>
              <w:snapToGrid/>
              <w:spacing w:line="240" w:lineRule="auto"/>
              <w:ind w:firstLine="0" w:firstLineChars="0"/>
              <w:jc w:val="center"/>
              <w:rPr>
                <w:rFonts w:hint="default" w:ascii="Times New Roman" w:hAnsi="Times New Roman" w:eastAsia="Times New Roman" w:cs="Times New Roman"/>
                <w:snapToGrid w:val="0"/>
                <w:color w:val="000000" w:themeColor="text1"/>
                <w:sz w:val="21"/>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z w:val="21"/>
                <w:szCs w:val="24"/>
                <w:highlight w:val="none"/>
                <w14:textFill>
                  <w14:solidFill>
                    <w14:schemeClr w14:val="tx1"/>
                  </w14:solidFill>
                </w14:textFill>
              </w:rPr>
              <w:t>含封堵性聚合物的水基钻井液体系</w:t>
            </w:r>
          </w:p>
        </w:tc>
      </w:tr>
    </w:tbl>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项目主要原辅材料消耗情况见3.2-1</w:t>
      </w:r>
      <w:r>
        <w:rPr>
          <w:rFonts w:hint="eastAsia" w:ascii="Times New Roman" w:hAnsi="Times New Roman"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08" w:name="_Ref142593375"/>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bookmarkEnd w:id="108"/>
      <w:r>
        <w:rPr>
          <w:rFonts w:hint="default" w:ascii="Times New Roman" w:hAnsi="Times New Roman" w:cs="Times New Roman"/>
          <w:color w:val="000000" w:themeColor="text1"/>
          <w:highlight w:val="none"/>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1  </w:t>
      </w:r>
      <w:r>
        <w:rPr>
          <w:rFonts w:hint="default" w:ascii="Times New Roman" w:hAnsi="Times New Roman" w:cs="Times New Roman"/>
          <w:color w:val="000000" w:themeColor="text1"/>
          <w:highlight w:val="none"/>
          <w14:textFill>
            <w14:solidFill>
              <w14:schemeClr w14:val="tx1"/>
            </w14:solidFill>
          </w14:textFill>
        </w:rPr>
        <w:t xml:space="preserve"> 钻井液储备（钻井液钻井方式）</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6"/>
        <w:gridCol w:w="2767"/>
        <w:gridCol w:w="2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6"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开钻井号</w:t>
            </w:r>
          </w:p>
        </w:tc>
        <w:tc>
          <w:tcPr>
            <w:tcW w:w="5534" w:type="dxa"/>
            <w:gridSpan w:val="2"/>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含封堵性聚合物的水基钻井液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6"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276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ρ（g/cm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w:t>
            </w:r>
          </w:p>
        </w:tc>
        <w:tc>
          <w:tcPr>
            <w:tcW w:w="276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数量（m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普光106-2H侧钻井</w:t>
            </w:r>
          </w:p>
        </w:tc>
        <w:tc>
          <w:tcPr>
            <w:tcW w:w="276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Times New Roman" w:cs="Times New Roman"/>
                <w:bCs/>
                <w:color w:val="000000" w:themeColor="text1"/>
                <w:szCs w:val="21"/>
                <w:highlight w:val="none"/>
                <w14:textFill>
                  <w14:solidFill>
                    <w14:schemeClr w14:val="tx1"/>
                  </w14:solidFill>
                </w14:textFill>
              </w:rPr>
              <w:t>1.12～1.34</w:t>
            </w:r>
          </w:p>
        </w:tc>
        <w:tc>
          <w:tcPr>
            <w:tcW w:w="276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405</w:t>
            </w:r>
          </w:p>
        </w:tc>
      </w:tr>
    </w:tbl>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09" w:name="_Ref142593376"/>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bookmarkEnd w:id="109"/>
      <w:r>
        <w:rPr>
          <w:rFonts w:hint="default" w:ascii="Times New Roman" w:hAnsi="Times New Roman" w:cs="Times New Roman"/>
          <w:color w:val="000000" w:themeColor="text1"/>
          <w:highlight w:val="none"/>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2  </w:t>
      </w:r>
      <w:r>
        <w:rPr>
          <w:rFonts w:hint="default" w:ascii="Times New Roman" w:hAnsi="Times New Roman" w:cs="Times New Roman"/>
          <w:color w:val="000000" w:themeColor="text1"/>
          <w:highlight w:val="none"/>
          <w14:textFill>
            <w14:solidFill>
              <w14:schemeClr w14:val="tx1"/>
            </w14:solidFill>
          </w14:textFill>
        </w:rPr>
        <w:t xml:space="preserve"> 钻井作业主要原辅材料消耗情况表</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pStyle w:val="250"/>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钻井液性质及作用：</w:t>
      </w:r>
      <w:r>
        <w:rPr>
          <w:rFonts w:hint="default" w:ascii="Times New Roman" w:hAnsi="Times New Roman" w:cs="Times New Roman"/>
          <w:color w:val="000000" w:themeColor="text1"/>
          <w:highlight w:val="none"/>
          <w14:textFill>
            <w14:solidFill>
              <w14:schemeClr w14:val="tx1"/>
            </w14:solidFill>
          </w14:textFill>
        </w:rPr>
        <w:t>钻井液是钻探过程中，孔内使用的循环冲洗介质。钻井液是钻井的血液，又称钻孔冲洗液。钻井液按组成成分可分为清水、泥浆、无粘土相冲洗液、乳状液、泡沫和压缩空气等。泥浆是广泛使用的钻井液，主要适用于松散、裂隙发育、易坍塌掉块、遇水膨胀剥落等孔壁不稳定岩层。</w:t>
      </w:r>
    </w:p>
    <w:p>
      <w:pPr>
        <w:pStyle w:val="250"/>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钻井液主要功用：</w:t>
      </w:r>
      <w:r>
        <w:rPr>
          <w:rFonts w:hint="default" w:ascii="Times New Roman" w:hAnsi="Times New Roman" w:cs="Times New Roman"/>
          <w:color w:val="000000" w:themeColor="text1"/>
          <w:highlight w:val="none"/>
          <w14:textFill>
            <w14:solidFill>
              <w14:schemeClr w14:val="tx1"/>
            </w14:solidFill>
          </w14:textFill>
        </w:rPr>
        <w:t>①冷却钻头、清净孔底、带出岩屑。②润滑钻具。③停钻时悬浮岩屑，保护孔壁防止坍塌，平衡地层压力、压住高压油气水层。④输送岩心，为孔底动力机传递破碎孔底岩石需要的动力等。钻井中钻井液的循环程序包括：钻井→液罐</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经泵</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→地面、管汇→立管→水龙带、水龙头→钻柱内→钻头→钻柱外环形空间→井口、泥浆（钻井液）槽→钻井液净化设备→钻井液罐。</w:t>
      </w:r>
    </w:p>
    <w:p>
      <w:pPr>
        <w:pStyle w:val="250"/>
        <w:keepNext w:val="0"/>
        <w:keepLines w:val="0"/>
        <w:pageBreakBefore w:val="0"/>
        <w:widowControl w:val="0"/>
        <w:kinsoku/>
        <w:wordWrap/>
        <w:overflowPunct/>
        <w:topLinePunct w:val="0"/>
        <w:autoSpaceDE/>
        <w:autoSpaceDN/>
        <w:bidi w:val="0"/>
        <w:adjustRightInd w:val="0"/>
        <w:snapToGrid w:val="0"/>
        <w:ind w:firstLine="482"/>
        <w:textAlignment w:val="auto"/>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本工程钻井液类型及组成：</w:t>
      </w:r>
      <w:r>
        <w:rPr>
          <w:rFonts w:hint="default" w:ascii="Times New Roman" w:hAnsi="Times New Roman" w:cs="Times New Roman"/>
          <w:color w:val="000000" w:themeColor="text1"/>
          <w:highlight w:val="none"/>
          <w14:textFill>
            <w14:solidFill>
              <w14:schemeClr w14:val="tx1"/>
            </w14:solidFill>
          </w14:textFill>
        </w:rPr>
        <w:t>钻井液的类型较多，根据不同的地层地质情况，选用不同的泥浆</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泥浆主要分为水基钻井液和油基钻井液两种基本类型。</w:t>
      </w:r>
      <w:r>
        <w:rPr>
          <w:rFonts w:hint="eastAsia" w:cs="Times New Roman"/>
          <w:color w:val="000000" w:themeColor="text1"/>
          <w:highlight w:val="none"/>
          <w:lang w:val="en-US" w:eastAsia="zh-CN"/>
          <w14:textFill>
            <w14:solidFill>
              <w14:schemeClr w14:val="tx1"/>
            </w14:solidFill>
          </w14:textFill>
        </w:rPr>
        <w:t>本项目</w:t>
      </w:r>
      <w:r>
        <w:rPr>
          <w:rFonts w:hint="default" w:ascii="Times New Roman" w:hAnsi="Times New Roman" w:cs="Times New Roman"/>
          <w:color w:val="000000" w:themeColor="text1"/>
          <w:kern w:val="0"/>
          <w:szCs w:val="20"/>
          <w:highlight w:val="none"/>
          <w14:textFill>
            <w14:solidFill>
              <w14:schemeClr w14:val="tx1"/>
            </w14:solidFill>
          </w14:textFill>
        </w:rPr>
        <w:t>优先采用含封堵性聚合物的水基钻井液体系</w:t>
      </w:r>
      <w:r>
        <w:rPr>
          <w:rFonts w:hint="eastAsia" w:cs="Times New Roman"/>
          <w:color w:val="000000" w:themeColor="text1"/>
          <w:kern w:val="0"/>
          <w:szCs w:val="20"/>
          <w:highlight w:val="none"/>
          <w:lang w:eastAsia="zh-CN"/>
          <w14:textFill>
            <w14:solidFill>
              <w14:schemeClr w14:val="tx1"/>
            </w14:solidFill>
          </w14:textFill>
        </w:rPr>
        <w:t>，</w:t>
      </w:r>
      <w:r>
        <w:rPr>
          <w:rFonts w:hint="default" w:ascii="Times New Roman" w:hAnsi="Times New Roman" w:cs="Times New Roman"/>
          <w:color w:val="000000" w:themeColor="text1"/>
          <w:kern w:val="0"/>
          <w:szCs w:val="20"/>
          <w:highlight w:val="none"/>
          <w14:textFill>
            <w14:solidFill>
              <w14:schemeClr w14:val="tx1"/>
            </w14:solidFill>
          </w14:textFill>
        </w:rPr>
        <w:t>若遇特殊地层情况，可能会转为油基钻井</w:t>
      </w:r>
      <w:r>
        <w:rPr>
          <w:rFonts w:hint="eastAsia" w:cs="Times New Roman"/>
          <w:color w:val="000000" w:themeColor="text1"/>
          <w:kern w:val="0"/>
          <w:szCs w:val="20"/>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钻井液主要成分的物理化学特性：</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ascii="Times New Roman" w:hAnsi="Times New Roman" w:cs="Times New Roman"/>
          <w:color w:val="000000" w:themeColor="text1"/>
          <w:highlight w:val="none"/>
          <w:lang w:val="en-US" w:eastAsia="zh-CN"/>
          <w14:textFill>
            <w14:solidFill>
              <w14:schemeClr w14:val="tx1"/>
            </w14:solidFill>
          </w14:textFill>
        </w:rPr>
        <w:t xml:space="preserve">13  </w:t>
      </w:r>
      <w:r>
        <w:rPr>
          <w:rFonts w:hint="default" w:ascii="Times New Roman" w:hAnsi="Times New Roman" w:cs="Times New Roman"/>
          <w:color w:val="000000" w:themeColor="text1"/>
          <w:highlight w:val="none"/>
          <w14:textFill>
            <w14:solidFill>
              <w14:schemeClr w14:val="tx1"/>
            </w14:solidFill>
          </w14:textFill>
        </w:rPr>
        <w:t xml:space="preserve"> 钻井液主要材料物理化学特性</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autoSpaceDE w:val="0"/>
        <w:autoSpaceDN w:val="0"/>
        <w:spacing w:before="120" w:beforeLines="50"/>
        <w:ind w:firstLine="482"/>
        <w:textAlignment w:val="baseline"/>
        <w:rPr>
          <w:rFonts w:hint="default" w:ascii="Times New Roman" w:hAnsi="Times New Roman" w:cs="Times New Roman"/>
          <w:b/>
          <w:bCs/>
          <w:color w:val="000000" w:themeColor="text1"/>
          <w:kern w:val="0"/>
          <w:szCs w:val="20"/>
          <w:highlight w:val="none"/>
          <w14:textFill>
            <w14:solidFill>
              <w14:schemeClr w14:val="tx1"/>
            </w14:solidFill>
          </w14:textFill>
        </w:rPr>
      </w:pP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fldChar w:fldCharType="begin"/>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instrText xml:space="preserve"> = 2 \* GB3 \* MERGEFORMAT </w:instrText>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②</w:t>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fldChar w:fldCharType="end"/>
      </w:r>
      <w:r>
        <w:rPr>
          <w:rFonts w:hint="default" w:ascii="Times New Roman" w:hAnsi="Times New Roman" w:cs="Times New Roman"/>
          <w:b/>
          <w:bCs/>
          <w:color w:val="000000" w:themeColor="text1"/>
          <w:kern w:val="0"/>
          <w:szCs w:val="20"/>
          <w:highlight w:val="none"/>
          <w14:textFill>
            <w14:solidFill>
              <w14:schemeClr w14:val="tx1"/>
            </w14:solidFill>
          </w14:textFill>
        </w:rPr>
        <w:t>固井作业材料消耗</w:t>
      </w:r>
    </w:p>
    <w:p>
      <w:pPr>
        <w:autoSpaceDE w:val="0"/>
        <w:autoSpaceDN w:val="0"/>
        <w:ind w:firstLine="480"/>
        <w:textAlignment w:val="baseline"/>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1）水泥浆体系</w:t>
      </w:r>
    </w:p>
    <w:p>
      <w:pPr>
        <w:autoSpaceDE w:val="0"/>
        <w:autoSpaceDN w:val="0"/>
        <w:ind w:firstLine="480"/>
        <w:textAlignment w:val="baseline"/>
        <w:rPr>
          <w:rFonts w:hint="default" w:ascii="Times New Roman" w:hAnsi="Times New Roman" w:cs="Times New Roman"/>
          <w:color w:val="000000" w:themeColor="text1"/>
          <w:szCs w:val="28"/>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水泥浆体系设计</w:t>
      </w:r>
      <w:r>
        <w:rPr>
          <w:rFonts w:hint="default" w:ascii="Times New Roman" w:hAnsi="Times New Roman" w:cs="Times New Roman"/>
          <w:b/>
          <w:bCs/>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针对普光主体易漏的特点，固井采用双密度固井方式。导管、</w:t>
      </w:r>
      <w:r>
        <w:rPr>
          <w:rFonts w:hint="default" w:ascii="Times New Roman" w:hAnsi="Times New Roman" w:cs="Times New Roman"/>
          <w:color w:val="000000" w:themeColor="text1"/>
          <w:szCs w:val="28"/>
          <w:highlight w:val="none"/>
          <w14:textFill>
            <w14:solidFill>
              <w14:schemeClr w14:val="tx1"/>
            </w14:solidFill>
          </w14:textFill>
        </w:rPr>
        <w:t>一开采用常规密度水泥浆；二开领浆采用常规低密度水泥浆体系，尾浆采用防气窜水泥浆体系；三开领浆采用常规低密度水泥浆体系，尾浆采用胶乳防气窜水泥浆体系。</w:t>
      </w:r>
    </w:p>
    <w:p>
      <w:pPr>
        <w:autoSpaceDE w:val="0"/>
        <w:autoSpaceDN w:val="0"/>
        <w:ind w:firstLine="480"/>
        <w:textAlignment w:val="baseline"/>
        <w:rPr>
          <w:rFonts w:hint="default" w:ascii="Times New Roman" w:hAnsi="Times New Roman" w:eastAsia="宋体" w:cs="Times New Roman"/>
          <w:b/>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注水泥设计</w:t>
      </w:r>
      <w:r>
        <w:rPr>
          <w:rFonts w:hint="default" w:ascii="Times New Roman" w:hAnsi="Times New Roman" w:cs="Times New Roman"/>
          <w:b/>
          <w:bCs/>
          <w:color w:val="000000" w:themeColor="text1"/>
          <w:szCs w:val="24"/>
          <w:highlight w:val="none"/>
          <w:lang w:eastAsia="zh-CN"/>
          <w14:textFill>
            <w14:solidFill>
              <w14:schemeClr w14:val="tx1"/>
            </w14:solidFill>
          </w14:textFill>
        </w:rPr>
        <w:t>：</w:t>
      </w:r>
      <w:r>
        <w:rPr>
          <w:rFonts w:hint="default" w:ascii="Times New Roman" w:hAnsi="Times New Roman" w:cs="Times New Roman"/>
          <w:b/>
          <w:bCs/>
          <w:color w:val="000000" w:themeColor="text1"/>
          <w:szCs w:val="24"/>
          <w:highlight w:val="none"/>
          <w:lang w:val="en-US" w:eastAsia="zh-CN"/>
          <w14:textFill>
            <w14:solidFill>
              <w14:schemeClr w14:val="tx1"/>
            </w14:solidFill>
          </w14:textFill>
        </w:rPr>
        <w:t>注水泥设计如表所示。</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ascii="Times New Roman" w:hAnsi="Times New Roman" w:cs="Times New Roman"/>
          <w:color w:val="000000" w:themeColor="text1"/>
          <w:highlight w:val="none"/>
          <w:lang w:val="en-US" w:eastAsia="zh-CN"/>
          <w14:textFill>
            <w14:solidFill>
              <w14:schemeClr w14:val="tx1"/>
            </w14:solidFill>
          </w14:textFill>
        </w:rPr>
        <w:t xml:space="preserve">14  </w:t>
      </w:r>
      <w:r>
        <w:rPr>
          <w:rFonts w:hint="default" w:ascii="Times New Roman" w:hAnsi="Times New Roman" w:cs="Times New Roman"/>
          <w:color w:val="000000" w:themeColor="text1"/>
          <w:highlight w:val="none"/>
          <w14:textFill>
            <w14:solidFill>
              <w14:schemeClr w14:val="tx1"/>
            </w14:solidFill>
          </w14:textFill>
        </w:rPr>
        <w:t xml:space="preserve"> 普光106-2H侧钻井注水泥设计表</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spacing w:line="240" w:lineRule="auto"/>
        <w:ind w:firstLine="0" w:firstLineChars="0"/>
        <w:rPr>
          <w:rFonts w:hint="default" w:ascii="Times New Roman" w:hAnsi="Times New Roman" w:cs="Times New Roman"/>
          <w:b w:val="0"/>
          <w:bCs w:val="0"/>
          <w:i/>
          <w:iCs/>
          <w:color w:val="000000" w:themeColor="text1"/>
          <w:sz w:val="20"/>
          <w:szCs w:val="20"/>
          <w:highlight w:val="none"/>
          <w14:textFill>
            <w14:solidFill>
              <w14:schemeClr w14:val="tx1"/>
            </w14:solidFill>
          </w14:textFill>
        </w:rPr>
      </w:pPr>
      <w:r>
        <w:rPr>
          <w:rFonts w:hint="default" w:ascii="Times New Roman" w:hAnsi="Times New Roman" w:cs="Times New Roman"/>
          <w:b w:val="0"/>
          <w:bCs w:val="0"/>
          <w:i/>
          <w:iCs/>
          <w:color w:val="000000" w:themeColor="text1"/>
          <w:sz w:val="20"/>
          <w:szCs w:val="20"/>
          <w:highlight w:val="none"/>
          <w14:textFill>
            <w14:solidFill>
              <w14:schemeClr w14:val="tx1"/>
            </w14:solidFill>
          </w14:textFill>
        </w:rPr>
        <w:t>注：①水泥用量及上返深度为理论数据，施工中应根据实测井径进行修正。</w:t>
      </w:r>
    </w:p>
    <w:p>
      <w:pPr>
        <w:spacing w:line="240" w:lineRule="auto"/>
        <w:ind w:firstLine="0" w:firstLineChars="0"/>
        <w:rPr>
          <w:rFonts w:hint="default" w:ascii="Times New Roman" w:hAnsi="Times New Roman" w:cs="Times New Roman"/>
          <w:b w:val="0"/>
          <w:bCs w:val="0"/>
          <w:i/>
          <w:iCs/>
          <w:color w:val="000000" w:themeColor="text1"/>
          <w:sz w:val="20"/>
          <w:szCs w:val="20"/>
          <w:highlight w:val="none"/>
          <w14:textFill>
            <w14:solidFill>
              <w14:schemeClr w14:val="tx1"/>
            </w14:solidFill>
          </w14:textFill>
        </w:rPr>
      </w:pPr>
      <w:r>
        <w:rPr>
          <w:rFonts w:hint="default" w:ascii="Times New Roman" w:hAnsi="Times New Roman" w:cs="Times New Roman"/>
          <w:b w:val="0"/>
          <w:bCs w:val="0"/>
          <w:i/>
          <w:iCs/>
          <w:color w:val="000000" w:themeColor="text1"/>
          <w:sz w:val="20"/>
          <w:szCs w:val="20"/>
          <w:highlight w:val="none"/>
          <w14:textFill>
            <w14:solidFill>
              <w14:schemeClr w14:val="tx1"/>
            </w14:solidFill>
          </w14:textFill>
        </w:rPr>
        <w:t>②现场水泥浆密度应根据实际地层压力需要进行调整。</w:t>
      </w:r>
    </w:p>
    <w:p>
      <w:pPr>
        <w:spacing w:line="240" w:lineRule="auto"/>
        <w:ind w:firstLine="0" w:firstLineChars="0"/>
        <w:rPr>
          <w:rFonts w:hint="default" w:ascii="Times New Roman" w:hAnsi="Times New Roman" w:cs="Times New Roman"/>
          <w:b w:val="0"/>
          <w:bCs w:val="0"/>
          <w:i/>
          <w:iCs/>
          <w:color w:val="000000" w:themeColor="text1"/>
          <w:sz w:val="20"/>
          <w:szCs w:val="20"/>
          <w:highlight w:val="none"/>
          <w14:textFill>
            <w14:solidFill>
              <w14:schemeClr w14:val="tx1"/>
            </w14:solidFill>
          </w14:textFill>
        </w:rPr>
      </w:pPr>
      <w:r>
        <w:rPr>
          <w:rFonts w:hint="default" w:ascii="Times New Roman" w:hAnsi="Times New Roman" w:cs="Times New Roman"/>
          <w:b w:val="0"/>
          <w:bCs w:val="0"/>
          <w:i/>
          <w:iCs/>
          <w:color w:val="000000" w:themeColor="text1"/>
          <w:sz w:val="20"/>
          <w:szCs w:val="20"/>
          <w:highlight w:val="none"/>
          <w14:textFill>
            <w14:solidFill>
              <w14:schemeClr w14:val="tx1"/>
            </w14:solidFill>
          </w14:textFill>
        </w:rPr>
        <w:t>③注水泥前，采取KSY等堵漏方法提高裸眼承压能力，确保在压稳、不漏的基础上进行固井施工。</w:t>
      </w:r>
    </w:p>
    <w:p>
      <w:pPr>
        <w:autoSpaceDE w:val="0"/>
        <w:autoSpaceDN w:val="0"/>
        <w:spacing w:line="240" w:lineRule="auto"/>
        <w:ind w:firstLine="0" w:firstLineChars="0"/>
        <w:textAlignment w:val="baseline"/>
        <w:rPr>
          <w:rFonts w:hint="default" w:ascii="Times New Roman" w:hAnsi="Times New Roman" w:cs="Times New Roman"/>
          <w:b w:val="0"/>
          <w:bCs w:val="0"/>
          <w:i/>
          <w:iCs/>
          <w:color w:val="000000" w:themeColor="text1"/>
          <w:sz w:val="20"/>
          <w:szCs w:val="20"/>
          <w:highlight w:val="none"/>
          <w14:textFill>
            <w14:solidFill>
              <w14:schemeClr w14:val="tx1"/>
            </w14:solidFill>
          </w14:textFill>
        </w:rPr>
      </w:pPr>
      <w:r>
        <w:rPr>
          <w:rFonts w:hint="default" w:ascii="Times New Roman" w:hAnsi="Times New Roman" w:cs="Times New Roman"/>
          <w:b w:val="0"/>
          <w:bCs w:val="0"/>
          <w:i/>
          <w:iCs/>
          <w:color w:val="000000" w:themeColor="text1"/>
          <w:sz w:val="20"/>
          <w:szCs w:val="20"/>
          <w:highlight w:val="none"/>
          <w14:textFill>
            <w14:solidFill>
              <w14:schemeClr w14:val="tx1"/>
            </w14:solidFill>
          </w14:textFill>
        </w:rPr>
        <w:t>④如果固井质量不好应采取挤水泥、短回接等方式补救至合格。</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5  </w:t>
      </w:r>
      <w:r>
        <w:rPr>
          <w:rFonts w:hint="default" w:ascii="Times New Roman" w:hAnsi="Times New Roman" w:cs="Times New Roman"/>
          <w:color w:val="000000" w:themeColor="text1"/>
          <w:highlight w:val="none"/>
          <w14:textFill>
            <w14:solidFill>
              <w14:schemeClr w14:val="tx1"/>
            </w14:solidFill>
          </w14:textFill>
        </w:rPr>
        <w:t xml:space="preserve"> 水泥浆体系及性能参数</w:t>
      </w:r>
    </w:p>
    <w:tbl>
      <w:tblPr>
        <w:tblStyle w:val="54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57"/>
        <w:gridCol w:w="2159"/>
        <w:gridCol w:w="2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blHeader/>
        </w:trPr>
        <w:tc>
          <w:tcPr>
            <w:tcW w:w="2145" w:type="pct"/>
            <w:vAlign w:val="center"/>
          </w:tcPr>
          <w:p>
            <w:pPr>
              <w:pStyle w:val="594"/>
              <w:rPr>
                <w:rStyle w:val="335"/>
                <w:rFonts w:hint="default" w:ascii="Times New Roman" w:hAnsi="Times New Roman" w:eastAsia="Times New Roman" w:cs="Times New Roman"/>
                <w:b/>
                <w:bCs/>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b/>
                <w:bCs/>
                <w:color w:val="000000" w:themeColor="text1"/>
                <w:sz w:val="21"/>
                <w:szCs w:val="21"/>
                <w:highlight w:val="none"/>
                <w14:textFill>
                  <w14:solidFill>
                    <w14:schemeClr w14:val="tx1"/>
                  </w14:solidFill>
                </w14:textFill>
              </w:rPr>
              <w:t>项</w:t>
            </w:r>
            <w:r>
              <w:rPr>
                <w:rStyle w:val="335"/>
                <w:rFonts w:hint="default" w:ascii="Times New Roman" w:hAnsi="Times New Roman" w:eastAsia="Times New Roman" w:cs="Times New Roman"/>
                <w:b/>
                <w:bCs/>
                <w:color w:val="000000" w:themeColor="text1"/>
                <w:sz w:val="21"/>
                <w:szCs w:val="21"/>
                <w:highlight w:val="none"/>
                <w14:textFill>
                  <w14:solidFill>
                    <w14:schemeClr w14:val="tx1"/>
                  </w14:solidFill>
                </w14:textFill>
              </w:rPr>
              <w:t xml:space="preserve"> </w:t>
            </w:r>
            <w:r>
              <w:rPr>
                <w:rStyle w:val="335"/>
                <w:rFonts w:hint="default" w:ascii="Times New Roman" w:hAnsi="Times New Roman" w:eastAsia="宋体" w:cs="Times New Roman"/>
                <w:b/>
                <w:bCs/>
                <w:color w:val="000000" w:themeColor="text1"/>
                <w:sz w:val="21"/>
                <w:szCs w:val="21"/>
                <w:highlight w:val="none"/>
                <w14:textFill>
                  <w14:solidFill>
                    <w14:schemeClr w14:val="tx1"/>
                  </w14:solidFill>
                </w14:textFill>
              </w:rPr>
              <w:t>目</w:t>
            </w:r>
          </w:p>
        </w:tc>
        <w:tc>
          <w:tcPr>
            <w:tcW w:w="2855" w:type="pct"/>
            <w:gridSpan w:val="2"/>
            <w:vAlign w:val="center"/>
          </w:tcPr>
          <w:p>
            <w:pPr>
              <w:pStyle w:val="594"/>
              <w:rPr>
                <w:rStyle w:val="335"/>
                <w:rFonts w:hint="default" w:ascii="Times New Roman" w:hAnsi="Times New Roman" w:eastAsia="Times New Roman" w:cs="Times New Roman"/>
                <w:b/>
                <w:bCs/>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b/>
                <w:bCs/>
                <w:color w:val="000000" w:themeColor="text1"/>
                <w:sz w:val="21"/>
                <w:szCs w:val="21"/>
                <w:highlight w:val="none"/>
                <w14:textFill>
                  <w14:solidFill>
                    <w14:schemeClr w14:val="tx1"/>
                  </w14:solidFill>
                </w14:textFill>
              </w:rPr>
              <w:t>侧钻井段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2145"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设计体系</w:t>
            </w:r>
          </w:p>
        </w:tc>
        <w:tc>
          <w:tcPr>
            <w:tcW w:w="1266"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常规低密度</w:t>
            </w:r>
          </w:p>
        </w:tc>
        <w:tc>
          <w:tcPr>
            <w:tcW w:w="1589"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胶乳防窜水泥浆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2145"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密度，</w:t>
            </w: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g/cm</w:t>
            </w:r>
            <w:r>
              <w:rPr>
                <w:rStyle w:val="335"/>
                <w:rFonts w:hint="default" w:ascii="Times New Roman" w:hAnsi="Times New Roman" w:eastAsia="Times New Roman" w:cs="Times New Roman"/>
                <w:color w:val="000000" w:themeColor="text1"/>
                <w:sz w:val="21"/>
                <w:szCs w:val="21"/>
                <w:highlight w:val="none"/>
                <w:vertAlign w:val="superscript"/>
                <w14:textFill>
                  <w14:solidFill>
                    <w14:schemeClr w14:val="tx1"/>
                  </w14:solidFill>
                </w14:textFill>
              </w:rPr>
              <w:t>3</w:t>
            </w:r>
          </w:p>
        </w:tc>
        <w:tc>
          <w:tcPr>
            <w:tcW w:w="1266"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1.65-1.75</w:t>
            </w:r>
          </w:p>
        </w:tc>
        <w:tc>
          <w:tcPr>
            <w:tcW w:w="1589"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2145"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游离液，</w:t>
            </w: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w:t>
            </w:r>
          </w:p>
        </w:tc>
        <w:tc>
          <w:tcPr>
            <w:tcW w:w="1266"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0</w:t>
            </w:r>
          </w:p>
        </w:tc>
        <w:tc>
          <w:tcPr>
            <w:tcW w:w="1589"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2145"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失水量</w:t>
            </w: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mL</w:t>
            </w: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w:t>
            </w: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30min/6.9MPa</w:t>
            </w: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1266"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&lt;50</w:t>
            </w:r>
          </w:p>
        </w:tc>
        <w:tc>
          <w:tcPr>
            <w:tcW w:w="1589"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&lt;50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2145"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24h</w:t>
            </w: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抗压强度，</w:t>
            </w: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MPa</w:t>
            </w:r>
          </w:p>
        </w:tc>
        <w:tc>
          <w:tcPr>
            <w:tcW w:w="1266"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14.0</w:t>
            </w:r>
          </w:p>
        </w:tc>
        <w:tc>
          <w:tcPr>
            <w:tcW w:w="1589"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2145"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稠化安全附加时间，</w:t>
            </w: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min</w:t>
            </w:r>
          </w:p>
        </w:tc>
        <w:tc>
          <w:tcPr>
            <w:tcW w:w="1266"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60-90</w:t>
            </w:r>
          </w:p>
        </w:tc>
        <w:tc>
          <w:tcPr>
            <w:tcW w:w="1589"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60-90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2145"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初始稠度，</w:t>
            </w: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Bc</w:t>
            </w:r>
          </w:p>
        </w:tc>
        <w:tc>
          <w:tcPr>
            <w:tcW w:w="1266"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&lt;30</w:t>
            </w:r>
          </w:p>
        </w:tc>
        <w:tc>
          <w:tcPr>
            <w:tcW w:w="1589"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&lt;30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2145"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防气窜性能（</w:t>
            </w: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SPN</w:t>
            </w:r>
            <w:r>
              <w:rPr>
                <w:rStyle w:val="335"/>
                <w:rFonts w:hint="default" w:ascii="Times New Roman" w:hAnsi="Times New Roman" w:eastAsia="宋体" w:cs="Times New Roman"/>
                <w:color w:val="000000" w:themeColor="text1"/>
                <w:sz w:val="21"/>
                <w:szCs w:val="21"/>
                <w:highlight w:val="none"/>
                <w14:textFill>
                  <w14:solidFill>
                    <w14:schemeClr w14:val="tx1"/>
                  </w14:solidFill>
                </w14:textFill>
              </w:rPr>
              <w:t>值）</w:t>
            </w:r>
          </w:p>
        </w:tc>
        <w:tc>
          <w:tcPr>
            <w:tcW w:w="1266"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≤3</w:t>
            </w:r>
          </w:p>
        </w:tc>
        <w:tc>
          <w:tcPr>
            <w:tcW w:w="1589" w:type="pct"/>
            <w:vAlign w:val="center"/>
          </w:tcPr>
          <w:p>
            <w:pPr>
              <w:pStyle w:val="594"/>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Style w:val="335"/>
                <w:rFonts w:hint="default" w:ascii="Times New Roman" w:hAnsi="Times New Roman" w:eastAsia="Times New Roman" w:cs="Times New Roman"/>
                <w:color w:val="000000" w:themeColor="text1"/>
                <w:sz w:val="21"/>
                <w:szCs w:val="21"/>
                <w:highlight w:val="none"/>
                <w14:textFill>
                  <w14:solidFill>
                    <w14:schemeClr w14:val="tx1"/>
                  </w14:solidFill>
                </w14:textFill>
              </w:rPr>
              <w:t>≤3</w:t>
            </w:r>
          </w:p>
        </w:tc>
      </w:tr>
    </w:tbl>
    <w:p>
      <w:pPr>
        <w:keepNext w:val="0"/>
        <w:keepLines w:val="0"/>
        <w:pageBreakBefore w:val="0"/>
        <w:widowControl w:val="0"/>
        <w:kinsoku/>
        <w:wordWrap/>
        <w:overflowPunct/>
        <w:topLinePunct w:val="0"/>
        <w:autoSpaceDE w:val="0"/>
        <w:autoSpaceDN w:val="0"/>
        <w:bidi w:val="0"/>
        <w:adjustRightInd w:val="0"/>
        <w:snapToGrid w:val="0"/>
        <w:ind w:firstLine="480"/>
        <w:textAlignment w:val="baseline"/>
        <w:rPr>
          <w:rFonts w:hint="default" w:ascii="Times New Roman" w:hAnsi="Times New Roman" w:cs="Times New Roman"/>
          <w:color w:val="000000" w:themeColor="text1"/>
          <w:szCs w:val="24"/>
          <w:highlight w:val="none"/>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val="0"/>
        <w:snapToGrid w:val="0"/>
        <w:ind w:firstLine="480"/>
        <w:textAlignment w:val="baseline"/>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2）固井材料</w:t>
      </w:r>
    </w:p>
    <w:p>
      <w:pPr>
        <w:keepNext w:val="0"/>
        <w:keepLines w:val="0"/>
        <w:pageBreakBefore w:val="0"/>
        <w:widowControl w:val="0"/>
        <w:kinsoku/>
        <w:wordWrap/>
        <w:overflowPunct/>
        <w:topLinePunct w:val="0"/>
        <w:autoSpaceDE w:val="0"/>
        <w:autoSpaceDN w:val="0"/>
        <w:bidi w:val="0"/>
        <w:adjustRightInd w:val="0"/>
        <w:snapToGrid w:val="0"/>
        <w:ind w:firstLine="480"/>
        <w:textAlignment w:val="baseline"/>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固井作业主要原辅材料、能源消耗及来源统计见</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_Ref142593382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1</w:t>
      </w:r>
      <w:r>
        <w:rPr>
          <w:rFonts w:hint="eastAsia" w:ascii="Times New Roman" w:hAnsi="Times New Roman" w:cs="Times New Roman"/>
          <w:color w:val="000000" w:themeColor="text1"/>
          <w:szCs w:val="24"/>
          <w:highlight w:val="none"/>
          <w:lang w:val="en-US" w:eastAsia="zh-CN"/>
          <w14:textFill>
            <w14:solidFill>
              <w14:schemeClr w14:val="tx1"/>
            </w14:solidFill>
          </w14:textFill>
        </w:rPr>
        <w:t>6</w:t>
      </w:r>
      <w:r>
        <w:rPr>
          <w:rFonts w:hint="default" w:ascii="Times New Roman" w:hAnsi="Times New Roman" w:cs="Times New Roman"/>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10" w:name="_Ref142593382"/>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bookmarkEnd w:id="110"/>
      <w:r>
        <w:rPr>
          <w:rFonts w:hint="default" w:ascii="Times New Roman" w:hAnsi="Times New Roman" w:cs="Times New Roman"/>
          <w:color w:val="000000" w:themeColor="text1"/>
          <w:highlight w:val="none"/>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 xml:space="preserve">6 </w:t>
      </w:r>
      <w:r>
        <w:rPr>
          <w:rFonts w:hint="default" w:ascii="Times New Roman" w:hAnsi="Times New Roman" w:cs="Times New Roman"/>
          <w:color w:val="000000" w:themeColor="text1"/>
          <w:highlight w:val="none"/>
          <w14:textFill>
            <w14:solidFill>
              <w14:schemeClr w14:val="tx1"/>
            </w14:solidFill>
          </w14:textFill>
        </w:rPr>
        <w:t xml:space="preserve">  普光106-2H侧钻井固井主要附件和添加剂表</w:t>
      </w:r>
    </w:p>
    <w:p>
      <w:pPr>
        <w:pStyle w:val="123"/>
        <w:ind w:firstLine="199" w:firstLineChars="83"/>
        <w:jc w:val="center"/>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p>
      <w:pPr>
        <w:autoSpaceDE w:val="0"/>
        <w:autoSpaceDN w:val="0"/>
        <w:ind w:firstLine="482"/>
        <w:textAlignment w:val="baseline"/>
        <w:rPr>
          <w:rFonts w:hint="default" w:ascii="Times New Roman" w:hAnsi="Times New Roman" w:cs="Times New Roman"/>
          <w:b/>
          <w:bCs/>
          <w:color w:val="000000" w:themeColor="text1"/>
          <w:kern w:val="0"/>
          <w:szCs w:val="20"/>
          <w:highlight w:val="none"/>
          <w14:textFill>
            <w14:solidFill>
              <w14:schemeClr w14:val="tx1"/>
            </w14:solidFill>
          </w14:textFill>
        </w:rPr>
      </w:pPr>
      <w:r>
        <w:rPr>
          <w:rFonts w:hint="default" w:ascii="Times New Roman" w:hAnsi="Times New Roman" w:eastAsia="宋体" w:cs="Times New Roman"/>
          <w:b w:val="0"/>
          <w:bCs w:val="0"/>
          <w:i/>
          <w:iCs/>
          <w:color w:val="000000" w:themeColor="text1"/>
          <w:sz w:val="21"/>
          <w:szCs w:val="21"/>
          <w:highlight w:val="none"/>
          <w14:textFill>
            <w14:solidFill>
              <w14:schemeClr w14:val="tx1"/>
            </w14:solidFill>
          </w14:textFill>
        </w:rPr>
        <w:t>注：固井材料可根据实际情况进行调整，必须满足水泥浆性能要求和施工要求。</w:t>
      </w:r>
    </w:p>
    <w:p>
      <w:pPr>
        <w:pageBreakBefore w:val="0"/>
        <w:widowControl w:val="0"/>
        <w:kinsoku/>
        <w:wordWrap/>
        <w:overflowPunct/>
        <w:topLinePunct w:val="0"/>
        <w:autoSpaceDE w:val="0"/>
        <w:autoSpaceDN w:val="0"/>
        <w:bidi w:val="0"/>
        <w:adjustRightInd w:val="0"/>
        <w:snapToGrid w:val="0"/>
        <w:ind w:firstLine="482"/>
        <w:textAlignment w:val="baseline"/>
        <w:rPr>
          <w:rFonts w:hint="default" w:ascii="Times New Roman" w:hAnsi="Times New Roman" w:cs="Times New Roman"/>
          <w:b/>
          <w:bCs/>
          <w:color w:val="000000" w:themeColor="text1"/>
          <w:kern w:val="0"/>
          <w:szCs w:val="20"/>
          <w:highlight w:val="none"/>
          <w14:textFill>
            <w14:solidFill>
              <w14:schemeClr w14:val="tx1"/>
            </w14:solidFill>
          </w14:textFill>
        </w:rPr>
      </w:pPr>
      <w:r>
        <w:rPr>
          <w:rFonts w:hint="default" w:ascii="Times New Roman" w:hAnsi="Times New Roman" w:cs="Times New Roman"/>
          <w:b/>
          <w:bCs/>
          <w:color w:val="000000" w:themeColor="text1"/>
          <w:kern w:val="0"/>
          <w:szCs w:val="20"/>
          <w:highlight w:val="none"/>
          <w14:textFill>
            <w14:solidFill>
              <w14:schemeClr w14:val="tx1"/>
            </w14:solidFill>
          </w14:textFill>
        </w:rPr>
        <w:t>（</w:t>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t>2</w:t>
      </w:r>
      <w:r>
        <w:rPr>
          <w:rFonts w:hint="default" w:ascii="Times New Roman" w:hAnsi="Times New Roman" w:cs="Times New Roman"/>
          <w:b/>
          <w:bCs/>
          <w:color w:val="000000" w:themeColor="text1"/>
          <w:kern w:val="0"/>
          <w:szCs w:val="20"/>
          <w:highlight w:val="none"/>
          <w14:textFill>
            <w14:solidFill>
              <w14:schemeClr w14:val="tx1"/>
            </w14:solidFill>
          </w14:textFill>
        </w:rPr>
        <w:t>）</w:t>
      </w:r>
      <w:r>
        <w:rPr>
          <w:rFonts w:hint="default" w:ascii="Times New Roman" w:hAnsi="Times New Roman" w:cs="Times New Roman"/>
          <w:b/>
          <w:bCs/>
          <w:color w:val="000000" w:themeColor="text1"/>
          <w:kern w:val="0"/>
          <w:szCs w:val="20"/>
          <w:highlight w:val="none"/>
          <w:lang w:val="en-US" w:eastAsia="zh-CN"/>
          <w14:textFill>
            <w14:solidFill>
              <w14:schemeClr w14:val="tx1"/>
            </w14:solidFill>
          </w14:textFill>
        </w:rPr>
        <w:t>储层改造工程</w:t>
      </w:r>
      <w:r>
        <w:rPr>
          <w:rFonts w:hint="default" w:ascii="Times New Roman" w:hAnsi="Times New Roman" w:cs="Times New Roman"/>
          <w:b/>
          <w:bCs/>
          <w:color w:val="000000" w:themeColor="text1"/>
          <w:kern w:val="0"/>
          <w:szCs w:val="20"/>
          <w:highlight w:val="none"/>
          <w14:textFill>
            <w14:solidFill>
              <w14:schemeClr w14:val="tx1"/>
            </w14:solidFill>
          </w14:textFill>
        </w:rPr>
        <w:t>材料消耗</w:t>
      </w:r>
    </w:p>
    <w:p>
      <w:pPr>
        <w:pageBreakBefore w:val="0"/>
        <w:widowControl w:val="0"/>
        <w:kinsoku/>
        <w:wordWrap/>
        <w:overflowPunct/>
        <w:topLinePunct w:val="0"/>
        <w:autoSpaceDE w:val="0"/>
        <w:autoSpaceDN w:val="0"/>
        <w:bidi w:val="0"/>
        <w:adjustRightInd w:val="0"/>
        <w:snapToGrid w:val="0"/>
        <w:ind w:firstLine="480"/>
        <w:textAlignment w:val="baseline"/>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本项目酸化压裂使用酸液主要为盐酸、缓蚀剂、铁离子、KCl、降阻剂、防膨剂、稳定剂等按照比例组成，不含重金属。项目酸化压裂液均不在现场配制，由罐车拉运至井场，所有压裂液均储存在罐中。</w:t>
      </w:r>
    </w:p>
    <w:p>
      <w:pPr>
        <w:pageBreakBefore w:val="0"/>
        <w:widowControl w:val="0"/>
        <w:kinsoku/>
        <w:wordWrap/>
        <w:overflowPunct/>
        <w:topLinePunct w:val="0"/>
        <w:bidi w:val="0"/>
        <w:adjustRightInd w:val="0"/>
        <w:snapToGrid w:val="0"/>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普光106-2H侧钻井采用“钻采一体化”投产模式，</w:t>
      </w:r>
      <w:r>
        <w:rPr>
          <w:rFonts w:hint="default" w:ascii="Times New Roman" w:hAnsi="Times New Roman" w:cs="Times New Roman"/>
          <w:color w:val="000000" w:themeColor="text1"/>
          <w:highlight w:val="none"/>
          <w14:textFill>
            <w14:solidFill>
              <w14:schemeClr w14:val="tx1"/>
            </w14:solidFill>
          </w14:textFill>
        </w:rPr>
        <w:t>采用尾管完井方式，悬挂 5in+4.5in套管至产层底界，设计分段改造</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生产一体化完井管柱，一趟下入，完井油管采用Φ88.9×6.45mm+Φ73×5.51mm组合油管，气密封扣，完井工具材质718+110SS。</w:t>
      </w:r>
      <w:r>
        <w:rPr>
          <w:rFonts w:hint="default" w:ascii="Times New Roman" w:hAnsi="Times New Roman" w:cs="Times New Roman"/>
          <w:color w:val="000000" w:themeColor="text1"/>
          <w:szCs w:val="24"/>
          <w:highlight w:val="none"/>
          <w14:textFill>
            <w14:solidFill>
              <w14:schemeClr w14:val="tx1"/>
            </w14:solidFill>
          </w14:textFill>
        </w:rPr>
        <w:t>采用分段改造技术模式，</w:t>
      </w:r>
      <w:r>
        <w:rPr>
          <w:rFonts w:hint="default" w:ascii="Times New Roman" w:hAnsi="Times New Roman" w:cs="Times New Roman"/>
          <w:color w:val="000000" w:themeColor="text1"/>
          <w:highlight w:val="none"/>
          <w14:textFill>
            <w14:solidFill>
              <w14:schemeClr w14:val="tx1"/>
            </w14:solidFill>
          </w14:textFill>
        </w:rPr>
        <w:t>Ⅰ、Ⅱ类层清洁酸笼统酸化，Ⅲ类层多级注入酸压，地质预测钻遇储层厚度735m，设计总液量1960m³，前置酸80m³，清洁酸1170m³，高粘滑溜水620m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，活性</w:t>
      </w:r>
      <w:r>
        <w:rPr>
          <w:rFonts w:hint="default" w:ascii="Times New Roman" w:hAnsi="Times New Roman" w:cs="Times New Roman"/>
          <w:color w:val="000000" w:themeColor="text1"/>
          <w:highlight w:val="none"/>
          <w:lang w:eastAsia="zh-CN"/>
          <w14:textFill>
            <w14:solidFill>
              <w14:schemeClr w14:val="tx1"/>
            </w14:solidFill>
          </w14:textFill>
        </w:rPr>
        <w:t>水</w:t>
      </w:r>
      <w:r>
        <w:rPr>
          <w:rFonts w:hint="default" w:ascii="Times New Roman" w:hAnsi="Times New Roman" w:cs="Times New Roman"/>
          <w:color w:val="000000" w:themeColor="text1"/>
          <w:highlight w:val="none"/>
          <w14:textFill>
            <w14:solidFill>
              <w14:schemeClr w14:val="tx1"/>
            </w14:solidFill>
          </w14:textFill>
        </w:rPr>
        <w:t>620m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w:t>
      </w:r>
    </w:p>
    <w:p>
      <w:pPr>
        <w:pStyle w:val="5"/>
        <w:pageBreakBefore w:val="0"/>
        <w:widowControl w:val="0"/>
        <w:kinsoku/>
        <w:wordWrap/>
        <w:overflowPunct/>
        <w:topLinePunct w:val="0"/>
        <w:bidi w:val="0"/>
        <w:adjustRightInd w:val="0"/>
        <w:snapToGrid w:val="0"/>
        <w:spacing w:before="0" w:beforeLines="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w:t>
      </w:r>
    </w:p>
    <w:p>
      <w:pPr>
        <w:pageBreakBefore w:val="0"/>
        <w:widowControl w:val="0"/>
        <w:kinsoku/>
        <w:wordWrap/>
        <w:overflowPunct/>
        <w:topLinePunct w:val="0"/>
        <w:autoSpaceDE w:val="0"/>
        <w:autoSpaceDN w:val="0"/>
        <w:bidi w:val="0"/>
        <w:adjustRightInd w:val="0"/>
        <w:snapToGrid w:val="0"/>
        <w:ind w:firstLine="480"/>
        <w:textAlignment w:val="baseline"/>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项目试采期为天然气的试采，控制系统消耗一定的电能，水套加热炉加热系统消耗一定的天然气，试采工程主要原辅材料消耗情况见下</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_Ref142593390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eastAsia" w:ascii="Times New Roman" w:hAnsi="Times New Roman" w:cs="Times New Roman"/>
          <w:color w:val="000000" w:themeColor="text1"/>
          <w:szCs w:val="24"/>
          <w:highlight w:val="none"/>
          <w:lang w:val="en-US" w:eastAsia="zh-CN"/>
          <w14:textFill>
            <w14:solidFill>
              <w14:schemeClr w14:val="tx1"/>
            </w14:solidFill>
          </w14:textFill>
        </w:rPr>
        <w:t>17</w:t>
      </w:r>
      <w:r>
        <w:rPr>
          <w:rFonts w:hint="default" w:ascii="Times New Roman" w:hAnsi="Times New Roman" w:cs="Times New Roman"/>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11" w:name="_Ref142593390"/>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bookmarkEnd w:id="111"/>
      <w:r>
        <w:rPr>
          <w:rFonts w:hint="eastAsia" w:ascii="Times New Roman" w:hAnsi="Times New Roman" w:cs="Times New Roman"/>
          <w:color w:val="000000" w:themeColor="text1"/>
          <w:highlight w:val="none"/>
          <w:lang w:val="en-US" w:eastAsia="zh-CN"/>
          <w14:textFill>
            <w14:solidFill>
              <w14:schemeClr w14:val="tx1"/>
            </w14:solidFill>
          </w14:textFill>
        </w:rPr>
        <w:t xml:space="preserve">17  </w:t>
      </w:r>
      <w:r>
        <w:rPr>
          <w:rFonts w:hint="default" w:ascii="Times New Roman" w:hAnsi="Times New Roman" w:cs="Times New Roman"/>
          <w:color w:val="000000" w:themeColor="text1"/>
          <w:highlight w:val="none"/>
          <w14:textFill>
            <w14:solidFill>
              <w14:schemeClr w14:val="tx1"/>
            </w14:solidFill>
          </w14:textFill>
        </w:rPr>
        <w:t xml:space="preserve"> 试采工程材料消耗一览表</w:t>
      </w:r>
    </w:p>
    <w:tbl>
      <w:tblPr>
        <w:tblStyle w:val="52"/>
        <w:tblW w:w="82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684"/>
        <w:gridCol w:w="906"/>
        <w:gridCol w:w="1188"/>
        <w:gridCol w:w="1822"/>
        <w:gridCol w:w="29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类别</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序号</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名称</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单位</w:t>
            </w:r>
          </w:p>
        </w:tc>
        <w:tc>
          <w:tcPr>
            <w:tcW w:w="182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数量</w:t>
            </w:r>
          </w:p>
        </w:tc>
        <w:tc>
          <w:tcPr>
            <w:tcW w:w="29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0" w:type="auto"/>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能源</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199" w:firstLineChars="95"/>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天然气</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万m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/a</w:t>
            </w:r>
          </w:p>
        </w:tc>
        <w:tc>
          <w:tcPr>
            <w:tcW w:w="182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80</w:t>
            </w:r>
          </w:p>
        </w:tc>
        <w:tc>
          <w:tcPr>
            <w:tcW w:w="29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使用水套炉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0" w:type="auto"/>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199" w:firstLineChars="95"/>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电</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万</w:t>
            </w:r>
            <w:r>
              <w:rPr>
                <w:rFonts w:hint="default" w:ascii="Times New Roman" w:hAnsi="Times New Roman" w:cs="Times New Roman"/>
                <w:color w:val="000000" w:themeColor="text1"/>
                <w:sz w:val="21"/>
                <w:szCs w:val="21"/>
                <w:highlight w:val="none"/>
                <w:lang w:eastAsia="zh-CN"/>
                <w14:textFill>
                  <w14:solidFill>
                    <w14:schemeClr w14:val="tx1"/>
                  </w14:solidFill>
                </w14:textFill>
              </w:rPr>
              <w:t>kW</w:t>
            </w:r>
            <w:r>
              <w:rPr>
                <w:rFonts w:hint="default" w:ascii="Times New Roman" w:hAnsi="Times New Roman" w:cs="Times New Roman"/>
                <w:color w:val="000000" w:themeColor="text1"/>
                <w:sz w:val="21"/>
                <w:szCs w:val="21"/>
                <w:highlight w:val="none"/>
                <w14:textFill>
                  <w14:solidFill>
                    <w14:schemeClr w14:val="tx1"/>
                  </w14:solidFill>
                </w14:textFill>
              </w:rPr>
              <w:t>·h/a</w:t>
            </w:r>
          </w:p>
        </w:tc>
        <w:tc>
          <w:tcPr>
            <w:tcW w:w="182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1116</w:t>
            </w:r>
          </w:p>
        </w:tc>
        <w:tc>
          <w:tcPr>
            <w:tcW w:w="293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当地电网</w:t>
            </w:r>
          </w:p>
        </w:tc>
      </w:tr>
    </w:tbl>
    <w:p>
      <w:pPr>
        <w:pStyle w:val="201"/>
        <w:spacing w:before="120"/>
        <w:rPr>
          <w:rFonts w:hint="default" w:ascii="Times New Roman" w:hAnsi="Times New Roman" w:cs="Times New Roman"/>
          <w:color w:val="000000" w:themeColor="text1"/>
          <w:highlight w:val="none"/>
          <w14:textFill>
            <w14:solidFill>
              <w14:schemeClr w14:val="tx1"/>
            </w14:solidFill>
          </w14:textFill>
        </w:rPr>
      </w:pP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112" w:name="3.3建设项目环境影响因素分析"/>
      <w:bookmarkEnd w:id="112"/>
      <w:bookmarkStart w:id="113" w:name="_bookmark19"/>
      <w:bookmarkEnd w:id="113"/>
      <w:bookmarkStart w:id="114" w:name="_Toc120173104"/>
      <w:r>
        <w:rPr>
          <w:rFonts w:hint="default" w:ascii="Times New Roman" w:hAnsi="Times New Roman" w:cs="Times New Roman"/>
          <w:color w:val="000000" w:themeColor="text1"/>
          <w:highlight w:val="none"/>
          <w:lang w:eastAsia="zh-CN"/>
          <w14:textFill>
            <w14:solidFill>
              <w14:schemeClr w14:val="tx1"/>
            </w14:solidFill>
          </w14:textFill>
        </w:rPr>
        <w:t>项目给排水及供电</w:t>
      </w:r>
      <w:bookmarkEnd w:id="114"/>
    </w:p>
    <w:p>
      <w:pPr>
        <w:pStyle w:val="21"/>
        <w:spacing w:before="0"/>
        <w:ind w:left="0" w:firstLine="480"/>
        <w:jc w:val="both"/>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1、项目给水</w:t>
      </w:r>
    </w:p>
    <w:p>
      <w:pPr>
        <w:pStyle w:val="21"/>
        <w:spacing w:before="0"/>
        <w:ind w:left="0" w:firstLine="480"/>
        <w:jc w:val="both"/>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1）施工期</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本项目施工期的生产用水就近采用周边地表水（可从中河罐车拉运或水泵抽取），生活用水车辆拉运桶装水至场地</w:t>
      </w:r>
      <w:bookmarkStart w:id="115" w:name="_Hlk91062915"/>
      <w:r>
        <w:rPr>
          <w:rFonts w:hint="default" w:ascii="Times New Roman" w:hAnsi="Times New Roman" w:cs="Times New Roman"/>
          <w:color w:val="000000" w:themeColor="text1"/>
          <w:highlight w:val="none"/>
          <w:lang w:eastAsia="zh-CN"/>
          <w14:textFill>
            <w14:solidFill>
              <w14:schemeClr w14:val="tx1"/>
            </w14:solidFill>
          </w14:textFill>
        </w:rPr>
        <w:t>。</w:t>
      </w:r>
    </w:p>
    <w:p>
      <w:pPr>
        <w:pStyle w:val="21"/>
        <w:numPr>
          <w:ilvl w:val="0"/>
          <w:numId w:val="8"/>
        </w:numPr>
        <w:spacing w:before="0"/>
        <w:ind w:left="0" w:leftChars="0" w:firstLine="480" w:firstLineChars="200"/>
        <w:jc w:val="both"/>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试采期</w:t>
      </w:r>
    </w:p>
    <w:p>
      <w:pPr>
        <w:pStyle w:val="21"/>
        <w:numPr>
          <w:ilvl w:val="0"/>
          <w:numId w:val="0"/>
        </w:numPr>
        <w:spacing w:before="0"/>
        <w:ind w:firstLine="480" w:firstLineChars="20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试采期</w:t>
      </w:r>
      <w:r>
        <w:rPr>
          <w:rFonts w:hint="default" w:ascii="Times New Roman" w:hAnsi="Times New Roman" w:cs="Times New Roman"/>
          <w:color w:val="000000" w:themeColor="text1"/>
          <w:highlight w:val="none"/>
          <w:lang w:val="en-US" w:eastAsia="zh-CN"/>
          <w14:textFill>
            <w14:solidFill>
              <w14:schemeClr w14:val="tx1"/>
            </w14:solidFill>
          </w14:textFill>
        </w:rPr>
        <w:t>主要依托下游P106集气站进行试采生产，</w:t>
      </w:r>
      <w:r>
        <w:rPr>
          <w:rFonts w:hint="eastAsia" w:ascii="Times New Roman" w:hAnsi="Times New Roman" w:cs="Times New Roman"/>
          <w:color w:val="000000" w:themeColor="text1"/>
          <w:highlight w:val="none"/>
          <w:lang w:val="en-US" w:eastAsia="zh-CN"/>
          <w14:textFill>
            <w14:solidFill>
              <w14:schemeClr w14:val="tx1"/>
            </w14:solidFill>
          </w14:textFill>
        </w:rPr>
        <w:t>本项目</w:t>
      </w:r>
      <w:r>
        <w:rPr>
          <w:rFonts w:hint="default" w:ascii="Times New Roman" w:hAnsi="Times New Roman" w:cs="Times New Roman"/>
          <w:color w:val="000000" w:themeColor="text1"/>
          <w:highlight w:val="none"/>
          <w:lang w:val="en-US" w:eastAsia="zh-CN"/>
          <w14:textFill>
            <w14:solidFill>
              <w14:schemeClr w14:val="tx1"/>
            </w14:solidFill>
          </w14:textFill>
        </w:rPr>
        <w:t>试采期无</w:t>
      </w:r>
      <w:r>
        <w:rPr>
          <w:rFonts w:hint="eastAsia" w:ascii="Times New Roman" w:hAnsi="Times New Roman" w:cs="Times New Roman"/>
          <w:color w:val="000000" w:themeColor="text1"/>
          <w:highlight w:val="none"/>
          <w:lang w:val="en-US" w:eastAsia="zh-CN"/>
          <w14:textFill>
            <w14:solidFill>
              <w14:schemeClr w14:val="tx1"/>
            </w14:solidFill>
          </w14:textFill>
        </w:rPr>
        <w:t>新增</w:t>
      </w:r>
      <w:r>
        <w:rPr>
          <w:rFonts w:hint="default" w:ascii="Times New Roman" w:hAnsi="Times New Roman" w:cs="Times New Roman"/>
          <w:color w:val="000000" w:themeColor="text1"/>
          <w:highlight w:val="none"/>
          <w:lang w:val="en-US" w:eastAsia="zh-CN"/>
          <w14:textFill>
            <w14:solidFill>
              <w14:schemeClr w14:val="tx1"/>
            </w14:solidFill>
          </w14:textFill>
        </w:rPr>
        <w:t>用水需求</w:t>
      </w:r>
      <w:r>
        <w:rPr>
          <w:rFonts w:hint="default" w:ascii="Times New Roman" w:hAnsi="Times New Roman" w:cs="Times New Roman"/>
          <w:color w:val="000000" w:themeColor="text1"/>
          <w:highlight w:val="none"/>
          <w:lang w:eastAsia="zh-CN"/>
          <w14:textFill>
            <w14:solidFill>
              <w14:schemeClr w14:val="tx1"/>
            </w14:solidFill>
          </w14:textFill>
        </w:rPr>
        <w:t>。</w:t>
      </w:r>
      <w:bookmarkEnd w:id="115"/>
    </w:p>
    <w:p>
      <w:pPr>
        <w:pStyle w:val="21"/>
        <w:spacing w:before="0"/>
        <w:ind w:left="0" w:firstLine="480"/>
        <w:jc w:val="both"/>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2、项目排水</w:t>
      </w:r>
    </w:p>
    <w:p>
      <w:pPr>
        <w:pStyle w:val="21"/>
        <w:spacing w:before="0"/>
        <w:ind w:left="0" w:firstLine="480"/>
        <w:jc w:val="both"/>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1）施工期</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本项目井场排水采用雨污分流，井场四周设置排水沟，并设置集水坑，场内雨水通过场内排水沟和集水坑（4个）隔油收集后，初期雨水、井口方井内收集的雨水通过泵提升至泥浆不落地区域暂存，与钻井废水合并处理，后期雨水散排至附近沟渠。若场内雨水被污染流入外环沟，则需封闭外环沟由作业队伍从集水坑抽汲至废水罐或放喷池。</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经固液分离后的钻井液满足要求的全部在钻井过程中回用，剩余部分和设备冲洗废水、方井雨水、失效泥浆、岩屑等经泥浆不落地装置接收处理后形成钻井废水，</w:t>
      </w:r>
      <w:r>
        <w:rPr>
          <w:rFonts w:hint="default" w:ascii="Times New Roman" w:hAnsi="Times New Roman" w:cs="Times New Roman"/>
          <w:color w:val="000000" w:themeColor="text1"/>
          <w:szCs w:val="24"/>
          <w:highlight w:val="none"/>
          <w:lang w:val="en-US" w:eastAsia="zh-CN"/>
          <w14:textFill>
            <w14:solidFill>
              <w14:schemeClr w14:val="tx1"/>
            </w14:solidFill>
          </w14:textFill>
        </w:rPr>
        <w:t>经不落地装置处理后大部分回用于配制钻井液，剩余不能回用部分暂存于清洁生产操作平台的废水罐内，定期装车拉运至赵家坝污水处理站处理达标后经普光11井回注站回</w:t>
      </w:r>
      <w:r>
        <w:rPr>
          <w:rFonts w:hint="default" w:ascii="Times New Roman" w:hAnsi="Times New Roman" w:cs="Times New Roman"/>
          <w:color w:val="000000" w:themeColor="text1"/>
          <w:highlight w:val="none"/>
          <w:lang w:val="en-US" w:eastAsia="zh-CN"/>
          <w14:textFill>
            <w14:solidFill>
              <w14:schemeClr w14:val="tx1"/>
            </w14:solidFill>
          </w14:textFill>
        </w:rPr>
        <w:t>注</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储层改造阶段产生的</w:t>
      </w:r>
      <w:r>
        <w:rPr>
          <w:rFonts w:hint="default" w:ascii="Times New Roman" w:hAnsi="Times New Roman" w:cs="Times New Roman"/>
          <w:color w:val="000000" w:themeColor="text1"/>
          <w:highlight w:val="none"/>
          <w14:textFill>
            <w14:solidFill>
              <w14:schemeClr w14:val="tx1"/>
            </w14:solidFill>
          </w14:textFill>
        </w:rPr>
        <w:t>压裂返排液及洗井废水</w:t>
      </w:r>
      <w:r>
        <w:rPr>
          <w:rFonts w:hint="eastAsia" w:ascii="Times New Roman" w:hAnsi="Times New Roman" w:cs="Times New Roman"/>
          <w:color w:val="000000" w:themeColor="text1"/>
          <w:highlight w:val="none"/>
          <w:lang w:val="en-US" w:eastAsia="zh-CN"/>
          <w14:textFill>
            <w14:solidFill>
              <w14:schemeClr w14:val="tx1"/>
            </w14:solidFill>
          </w14:textFill>
        </w:rPr>
        <w:t>由放喷池、压裂液储罐收集后，</w:t>
      </w:r>
      <w:r>
        <w:rPr>
          <w:rFonts w:hint="default" w:ascii="Times New Roman" w:hAnsi="Times New Roman" w:cs="Times New Roman"/>
          <w:color w:val="000000" w:themeColor="text1"/>
          <w:highlight w:val="none"/>
          <w:lang w:eastAsia="zh-CN"/>
          <w14:textFill>
            <w14:solidFill>
              <w14:schemeClr w14:val="tx1"/>
            </w14:solidFill>
          </w14:textFill>
        </w:rPr>
        <w:t>优先回用于周边其他井场压裂液配置</w:t>
      </w:r>
      <w:r>
        <w:rPr>
          <w:rFonts w:hint="default" w:ascii="Times New Roman" w:hAnsi="Times New Roman" w:cs="Times New Roman"/>
          <w:color w:val="000000" w:themeColor="text1"/>
          <w:highlight w:val="none"/>
          <w14:textFill>
            <w14:solidFill>
              <w14:schemeClr w14:val="tx1"/>
            </w14:solidFill>
          </w14:textFill>
        </w:rPr>
        <w:t>，不能回用</w:t>
      </w:r>
      <w:r>
        <w:rPr>
          <w:rFonts w:hint="default" w:ascii="Times New Roman" w:hAnsi="Times New Roman" w:cs="Times New Roman"/>
          <w:color w:val="000000" w:themeColor="text1"/>
          <w:highlight w:val="none"/>
          <w:lang w:val="en-US" w:eastAsia="zh-CN"/>
          <w14:textFill>
            <w14:solidFill>
              <w14:schemeClr w14:val="tx1"/>
            </w14:solidFill>
          </w14:textFill>
        </w:rPr>
        <w:t>时</w:t>
      </w:r>
      <w:r>
        <w:rPr>
          <w:rFonts w:hint="default" w:ascii="Times New Roman" w:hAnsi="Times New Roman" w:cs="Times New Roman"/>
          <w:color w:val="000000" w:themeColor="text1"/>
          <w:highlight w:val="none"/>
          <w14:textFill>
            <w14:solidFill>
              <w14:schemeClr w14:val="tx1"/>
            </w14:solidFill>
          </w14:textFill>
        </w:rPr>
        <w:t>用罐车拉运至赵家坝污水处理站处理达标后经普光11井回注站回注</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施工期（钻前工程）</w:t>
      </w:r>
      <w:r>
        <w:rPr>
          <w:rFonts w:hint="default" w:ascii="Times New Roman" w:hAnsi="Times New Roman" w:cs="Times New Roman"/>
          <w:color w:val="000000" w:themeColor="text1"/>
          <w:szCs w:val="24"/>
          <w:highlight w:val="none"/>
          <w14:textFill>
            <w14:solidFill>
              <w14:schemeClr w14:val="tx1"/>
            </w14:solidFill>
          </w14:textFill>
        </w:rPr>
        <w:t>生活污水依托周边农户已建设施处理</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不外排</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施工期（钻井工程、储层改造工程）</w:t>
      </w:r>
      <w:r>
        <w:rPr>
          <w:rFonts w:hint="default" w:ascii="Times New Roman" w:hAnsi="Times New Roman" w:cs="Times New Roman"/>
          <w:color w:val="000000" w:themeColor="text1"/>
          <w:highlight w:val="none"/>
          <w:lang w:eastAsia="zh-CN"/>
          <w14:textFill>
            <w14:solidFill>
              <w14:schemeClr w14:val="tx1"/>
            </w14:solidFill>
          </w14:textFill>
        </w:rPr>
        <w:t>生活污水经生态厕所收集后定期由密闭罐车拉运至周边生活污水处理厂处理。在井场主要设备基础周边均设置了环状污水沟，用于收集可能产生的污水及雨季时雨水淋滤水，这部分废水通过连接处的集污坑隔油沉淀后最终汇入废水接收罐，接收罐及排污沟围堰上边缘均要高出井场20cm左右，确保污水不进入雨水排水系统，也防止雨水进入污水系统增加废水量。</w:t>
      </w:r>
    </w:p>
    <w:p>
      <w:pPr>
        <w:pStyle w:val="21"/>
        <w:spacing w:before="0"/>
        <w:ind w:left="0" w:firstLine="480"/>
        <w:jc w:val="both"/>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2）试采期</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项目天然气试采</w:t>
      </w:r>
      <w:r>
        <w:rPr>
          <w:rFonts w:hint="default" w:ascii="Times New Roman" w:hAnsi="Times New Roman" w:cs="Times New Roman"/>
          <w:color w:val="000000" w:themeColor="text1"/>
          <w:highlight w:val="none"/>
          <w:lang w:val="en-US" w:eastAsia="zh-CN"/>
          <w14:textFill>
            <w14:solidFill>
              <w14:schemeClr w14:val="tx1"/>
            </w14:solidFill>
          </w14:textFill>
        </w:rPr>
        <w:t>生产时</w:t>
      </w:r>
      <w:r>
        <w:rPr>
          <w:rFonts w:hint="default" w:ascii="Times New Roman" w:hAnsi="Times New Roman" w:cs="Times New Roman"/>
          <w:color w:val="000000" w:themeColor="text1"/>
          <w:highlight w:val="none"/>
          <w:lang w:eastAsia="zh-CN"/>
          <w14:textFill>
            <w14:solidFill>
              <w14:schemeClr w14:val="tx1"/>
            </w14:solidFill>
          </w14:textFill>
        </w:rPr>
        <w:t>产生的气田水（含初期压裂返排液）用火炬分液罐收集暂存，暂存一定量后密闭罐车运至赵家坝污水处理站处理达到《气田水回注方法》（SY/T 6596-2016）中注入水基本要求后管输至普光11井回注站回注处理，不外排。</w:t>
      </w:r>
    </w:p>
    <w:p>
      <w:pPr>
        <w:pStyle w:val="21"/>
        <w:spacing w:before="0"/>
        <w:ind w:left="0" w:firstLine="480"/>
        <w:jc w:val="both"/>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3、项目供电</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项目施工期用电优先采用电网接入，在停电等紧急情况下则启用备用柴油发电机组供电。项目试采期，场站内的控制系统计量系统用电等均由地方电网供给。</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116" w:name="_Toc120173105"/>
      <w:r>
        <w:rPr>
          <w:rFonts w:hint="default" w:ascii="Times New Roman" w:hAnsi="Times New Roman" w:cs="Times New Roman"/>
          <w:color w:val="000000" w:themeColor="text1"/>
          <w:highlight w:val="none"/>
          <w:lang w:eastAsia="zh-CN"/>
          <w14:textFill>
            <w14:solidFill>
              <w14:schemeClr w14:val="tx1"/>
            </w14:solidFill>
          </w14:textFill>
        </w:rPr>
        <w:t>工程占地及土石方平衡</w:t>
      </w:r>
      <w:bookmarkEnd w:id="116"/>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本项目为利用P106-2井已建井场进行建设，工程占地及土石方情况如下。</w:t>
      </w:r>
    </w:p>
    <w:p>
      <w:pPr>
        <w:pStyle w:val="21"/>
        <w:spacing w:before="0"/>
        <w:ind w:left="0" w:firstLine="480"/>
        <w:jc w:val="both"/>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1、工程占地</w:t>
      </w:r>
    </w:p>
    <w:p>
      <w:pPr>
        <w:pStyle w:val="21"/>
        <w:spacing w:before="0"/>
        <w:ind w:left="0" w:firstLine="480"/>
        <w:jc w:val="both"/>
        <w:rPr>
          <w:rFonts w:hint="default" w:ascii="Times New Roman" w:hAnsi="Times New Roman"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kern w:val="2"/>
          <w:szCs w:val="22"/>
          <w:highlight w:val="none"/>
          <w:lang w:eastAsia="zh-CN"/>
          <w14:textFill>
            <w14:solidFill>
              <w14:schemeClr w14:val="tx1"/>
            </w14:solidFill>
          </w14:textFill>
        </w:rPr>
        <w:t>本项目利旧已建井场建设，大部分占地利旧原井场已占用土地建设（共计利旧已建设施占地10906m</w:t>
      </w:r>
      <w:r>
        <w:rPr>
          <w:rFonts w:hint="default" w:ascii="Times New Roman" w:hAnsi="Times New Roman" w:cs="Times New Roman"/>
          <w:color w:val="000000" w:themeColor="text1"/>
          <w:kern w:val="2"/>
          <w:szCs w:val="22"/>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kern w:val="2"/>
          <w:szCs w:val="22"/>
          <w:highlight w:val="none"/>
          <w:lang w:eastAsia="zh-CN"/>
          <w14:textFill>
            <w14:solidFill>
              <w14:schemeClr w14:val="tx1"/>
            </w14:solidFill>
          </w14:textFill>
        </w:rPr>
        <w:t>，其中利旧既有井场和集气站占地9226m</w:t>
      </w:r>
      <w:r>
        <w:rPr>
          <w:rFonts w:hint="default" w:ascii="Times New Roman" w:hAnsi="Times New Roman" w:cs="Times New Roman"/>
          <w:color w:val="000000" w:themeColor="text1"/>
          <w:kern w:val="2"/>
          <w:szCs w:val="22"/>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kern w:val="2"/>
          <w:szCs w:val="22"/>
          <w:highlight w:val="none"/>
          <w:lang w:eastAsia="zh-CN"/>
          <w14:textFill>
            <w14:solidFill>
              <w14:schemeClr w14:val="tx1"/>
            </w14:solidFill>
          </w14:textFill>
        </w:rPr>
        <w:t>，利旧2座放喷池共计占地700m</w:t>
      </w:r>
      <w:r>
        <w:rPr>
          <w:rFonts w:hint="default" w:ascii="Times New Roman" w:hAnsi="Times New Roman" w:cs="Times New Roman"/>
          <w:color w:val="000000" w:themeColor="text1"/>
          <w:kern w:val="2"/>
          <w:szCs w:val="22"/>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kern w:val="2"/>
          <w:szCs w:val="22"/>
          <w:highlight w:val="none"/>
          <w:lang w:eastAsia="zh-CN"/>
          <w14:textFill>
            <w14:solidFill>
              <w14:schemeClr w14:val="tx1"/>
            </w14:solidFill>
          </w14:textFill>
        </w:rPr>
        <w:t>，利旧1座清水池占地980m</w:t>
      </w:r>
      <w:r>
        <w:rPr>
          <w:rFonts w:hint="default" w:ascii="Times New Roman" w:hAnsi="Times New Roman" w:cs="Times New Roman"/>
          <w:color w:val="000000" w:themeColor="text1"/>
          <w:kern w:val="2"/>
          <w:szCs w:val="22"/>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kern w:val="2"/>
          <w:szCs w:val="22"/>
          <w:highlight w:val="none"/>
          <w:lang w:eastAsia="zh-CN"/>
          <w14:textFill>
            <w14:solidFill>
              <w14:schemeClr w14:val="tx1"/>
            </w14:solidFill>
          </w14:textFill>
        </w:rPr>
        <w:t>），仅生活区建设需占用少量土地，本项目新增占地约</w:t>
      </w:r>
      <w:r>
        <w:rPr>
          <w:rFonts w:hint="default" w:ascii="Times New Roman" w:hAnsi="Times New Roman" w:cs="Times New Roman"/>
          <w:color w:val="000000" w:themeColor="text1"/>
          <w:highlight w:val="none"/>
          <w:lang w:eastAsia="zh-CN"/>
          <w14:textFill>
            <w14:solidFill>
              <w14:schemeClr w14:val="tx1"/>
            </w14:solidFill>
          </w14:textFill>
        </w:rPr>
        <w:t>1400m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highlight w:val="none"/>
          <w:lang w:eastAsia="zh-CN"/>
          <w14:textFill>
            <w14:solidFill>
              <w14:schemeClr w14:val="tx1"/>
            </w14:solidFill>
          </w14:textFill>
        </w:rPr>
        <w:t>。主要占地类型为</w:t>
      </w:r>
      <w:r>
        <w:rPr>
          <w:rFonts w:hint="eastAsia" w:ascii="Times New Roman" w:hAnsi="Times New Roman" w:cs="Times New Roman"/>
          <w:color w:val="000000" w:themeColor="text1"/>
          <w:highlight w:val="none"/>
          <w:lang w:val="en-US" w:eastAsia="zh-CN"/>
          <w14:textFill>
            <w14:solidFill>
              <w14:schemeClr w14:val="tx1"/>
            </w14:solidFill>
          </w14:textFill>
        </w:rPr>
        <w:t>旱地</w:t>
      </w:r>
      <w:r>
        <w:rPr>
          <w:rFonts w:hint="default" w:ascii="Times New Roman" w:hAnsi="Times New Roman" w:cs="Times New Roman"/>
          <w:color w:val="000000" w:themeColor="text1"/>
          <w:highlight w:val="none"/>
          <w:lang w:eastAsia="zh-CN"/>
          <w14:textFill>
            <w14:solidFill>
              <w14:schemeClr w14:val="tx1"/>
            </w14:solidFill>
          </w14:textFill>
        </w:rPr>
        <w:t>，本项目不涉及</w:t>
      </w:r>
      <w:r>
        <w:rPr>
          <w:rFonts w:hint="default" w:ascii="Times New Roman" w:hAnsi="Times New Roman" w:cs="Times New Roman"/>
          <w:color w:val="000000" w:themeColor="text1"/>
          <w:kern w:val="2"/>
          <w:szCs w:val="22"/>
          <w:highlight w:val="none"/>
          <w:lang w:eastAsia="zh-CN"/>
          <w14:textFill>
            <w14:solidFill>
              <w14:schemeClr w14:val="tx1"/>
            </w14:solidFill>
          </w14:textFill>
        </w:rPr>
        <w:t>基本农田、</w:t>
      </w:r>
      <w:r>
        <w:rPr>
          <w:rFonts w:hint="default" w:ascii="Times New Roman" w:hAnsi="Times New Roman" w:cs="Times New Roman"/>
          <w:color w:val="000000" w:themeColor="text1"/>
          <w:highlight w:val="none"/>
          <w:lang w:eastAsia="zh-CN"/>
          <w14:textFill>
            <w14:solidFill>
              <w14:schemeClr w14:val="tx1"/>
            </w14:solidFill>
          </w14:textFill>
        </w:rPr>
        <w:t>天然林、公益林等占用。工程的具体占地情况见</w:t>
      </w:r>
      <w:r>
        <w:rPr>
          <w:rFonts w:hint="default" w:ascii="Times New Roman" w:hAnsi="Times New Roman" w:cs="Times New Roman"/>
          <w:color w:val="000000" w:themeColor="text1"/>
          <w:highlight w:val="none"/>
          <w:lang w:eastAsia="zh-CN"/>
          <w14:textFill>
            <w14:solidFill>
              <w14:schemeClr w14:val="tx1"/>
            </w14:solidFill>
          </w14:textFill>
        </w:rPr>
        <w:fldChar w:fldCharType="begin"/>
      </w:r>
      <w:r>
        <w:rPr>
          <w:rFonts w:hint="default" w:ascii="Times New Roman" w:hAnsi="Times New Roman" w:cs="Times New Roman"/>
          <w:color w:val="000000" w:themeColor="text1"/>
          <w:highlight w:val="none"/>
          <w:lang w:eastAsia="zh-CN"/>
          <w14:textFill>
            <w14:solidFill>
              <w14:schemeClr w14:val="tx1"/>
            </w14:solidFill>
          </w14:textFill>
        </w:rPr>
        <w:instrText xml:space="preserve"> REF _Ref142593399 \h  \* MERGEFORMAT </w:instrText>
      </w:r>
      <w:r>
        <w:rPr>
          <w:rFonts w:hint="default" w:ascii="Times New Roman" w:hAnsi="Times New Roman" w:cs="Times New Roman"/>
          <w:color w:val="000000" w:themeColor="text1"/>
          <w:highlight w:val="none"/>
          <w:lang w:eastAsia="zh-CN"/>
          <w14:textFill>
            <w14:solidFill>
              <w14:schemeClr w14:val="tx1"/>
            </w14:solidFill>
          </w14:textFill>
        </w:rPr>
        <w:fldChar w:fldCharType="separate"/>
      </w:r>
      <w:r>
        <w:rPr>
          <w:rFonts w:hint="default" w:ascii="Times New Roman" w:hAnsi="Times New Roman" w:cs="Times New Roman"/>
          <w:color w:val="000000" w:themeColor="text1"/>
          <w:highlight w:val="none"/>
          <w:lang w:eastAsia="zh-CN"/>
          <w14:textFill>
            <w14:solidFill>
              <w14:schemeClr w14:val="tx1"/>
            </w14:solidFill>
          </w14:textFill>
        </w:rPr>
        <w:t>表3.2</w:t>
      </w:r>
      <w:r>
        <w:rPr>
          <w:rFonts w:hint="default" w:ascii="Times New Roman" w:hAnsi="Times New Roman" w:cs="Times New Roman"/>
          <w:color w:val="000000" w:themeColor="text1"/>
          <w:highlight w:val="none"/>
          <w:lang w:eastAsia="zh-CN"/>
          <w14:textFill>
            <w14:solidFill>
              <w14:schemeClr w14:val="tx1"/>
            </w14:solidFill>
          </w14:textFill>
        </w:rPr>
        <w:noBreakHyphen/>
      </w:r>
      <w:r>
        <w:rPr>
          <w:rFonts w:hint="default" w:ascii="Times New Roman" w:hAnsi="Times New Roman" w:cs="Times New Roman"/>
          <w:color w:val="000000" w:themeColor="text1"/>
          <w:highlight w:val="none"/>
          <w:lang w:eastAsia="zh-CN"/>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8</w:t>
      </w:r>
      <w:r>
        <w:rPr>
          <w:rFonts w:hint="default" w:ascii="Times New Roman" w:hAnsi="Times New Roman" w:cs="Times New Roman"/>
          <w:color w:val="000000" w:themeColor="text1"/>
          <w:highlight w:val="none"/>
          <w:lang w:eastAsia="zh-CN"/>
          <w14:textFill>
            <w14:solidFill>
              <w14:schemeClr w14:val="tx1"/>
            </w14:solidFill>
          </w14:textFill>
        </w:rPr>
        <w:fldChar w:fldCharType="end"/>
      </w:r>
      <w:r>
        <w:rPr>
          <w:rFonts w:hint="default" w:ascii="Times New Roman" w:hAnsi="Times New Roman" w:cs="Times New Roman"/>
          <w:color w:val="000000" w:themeColor="text1"/>
          <w:highlight w:val="none"/>
          <w:lang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17" w:name="_Ref142593399"/>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fldChar w:fldCharType="end"/>
      </w:r>
      <w:bookmarkEnd w:id="117"/>
      <w:r>
        <w:rPr>
          <w:rFonts w:hint="default" w:ascii="Times New Roman" w:hAnsi="Times New Roman" w:cs="Times New Roman"/>
          <w:color w:val="000000" w:themeColor="text1"/>
          <w:highlight w:val="none"/>
          <w14:textFill>
            <w14:solidFill>
              <w14:schemeClr w14:val="tx1"/>
            </w14:solidFill>
          </w14:textFill>
        </w:rPr>
        <w:t xml:space="preserve"> 工程占地类型一览表   单位：m</w:t>
      </w:r>
      <w:r>
        <w:rPr>
          <w:rFonts w:hint="default" w:ascii="Times New Roman" w:hAnsi="Times New Roman" w:cs="Times New Roman"/>
          <w:color w:val="000000" w:themeColor="text1"/>
          <w:highlight w:val="none"/>
          <w:vertAlign w:val="superscript"/>
          <w14:textFill>
            <w14:solidFill>
              <w14:schemeClr w14:val="tx1"/>
            </w14:solidFill>
          </w14:textFill>
        </w:rPr>
        <w:t>2</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1"/>
        <w:gridCol w:w="1782"/>
        <w:gridCol w:w="1608"/>
        <w:gridCol w:w="1715"/>
        <w:gridCol w:w="1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1103"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项目组成</w:t>
            </w:r>
          </w:p>
        </w:tc>
        <w:tc>
          <w:tcPr>
            <w:tcW w:w="2993" w:type="pct"/>
            <w:gridSpan w:val="3"/>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占地类型（亩）</w:t>
            </w:r>
          </w:p>
        </w:tc>
        <w:tc>
          <w:tcPr>
            <w:tcW w:w="904"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103"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04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乔木林地</w:t>
            </w:r>
          </w:p>
        </w:tc>
        <w:tc>
          <w:tcPr>
            <w:tcW w:w="943"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旱地</w:t>
            </w:r>
          </w:p>
        </w:tc>
        <w:tc>
          <w:tcPr>
            <w:tcW w:w="1006"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其他草地</w:t>
            </w:r>
          </w:p>
        </w:tc>
        <w:tc>
          <w:tcPr>
            <w:tcW w:w="904"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103" w:type="pct"/>
            <w:vAlign w:val="center"/>
          </w:tcPr>
          <w:p>
            <w:pPr>
              <w:pStyle w:val="295"/>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生活营地</w:t>
            </w:r>
          </w:p>
        </w:tc>
        <w:tc>
          <w:tcPr>
            <w:tcW w:w="1045" w:type="pct"/>
            <w:vAlign w:val="center"/>
          </w:tcPr>
          <w:p>
            <w:pPr>
              <w:pStyle w:val="295"/>
              <w:rPr>
                <w:rFonts w:hint="eastAsia" w:ascii="Times New Roman" w:hAnsi="Times New Roman" w:eastAsia="宋体" w:cs="Times New Roman"/>
                <w:color w:val="000000" w:themeColor="text1"/>
                <w:kern w:val="0"/>
                <w:highlight w:val="none"/>
                <w:lang w:val="en-US" w:eastAsia="zh-CN"/>
                <w14:textFill>
                  <w14:solidFill>
                    <w14:schemeClr w14:val="tx1"/>
                  </w14:solidFill>
                </w14:textFill>
              </w:rPr>
            </w:pPr>
            <w:r>
              <w:rPr>
                <w:rFonts w:hint="eastAsia" w:cs="Times New Roman"/>
                <w:color w:val="000000" w:themeColor="text1"/>
                <w:kern w:val="0"/>
                <w:highlight w:val="none"/>
                <w:lang w:val="en-US" w:eastAsia="zh-CN"/>
                <w14:textFill>
                  <w14:solidFill>
                    <w14:schemeClr w14:val="tx1"/>
                  </w14:solidFill>
                </w14:textFill>
              </w:rPr>
              <w:t>/</w:t>
            </w:r>
          </w:p>
        </w:tc>
        <w:tc>
          <w:tcPr>
            <w:tcW w:w="943" w:type="pct"/>
            <w:vAlign w:val="center"/>
          </w:tcPr>
          <w:p>
            <w:pPr>
              <w:pStyle w:val="295"/>
              <w:rPr>
                <w:rFonts w:hint="default" w:ascii="Times New Roman" w:hAnsi="Times New Roman" w:eastAsia="宋体" w:cs="Times New Roman"/>
                <w:color w:val="000000" w:themeColor="text1"/>
                <w:kern w:val="0"/>
                <w:highlight w:val="none"/>
                <w:lang w:val="en-US" w:eastAsia="zh-CN"/>
                <w14:textFill>
                  <w14:solidFill>
                    <w14:schemeClr w14:val="tx1"/>
                  </w14:solidFill>
                </w14:textFill>
              </w:rPr>
            </w:pPr>
            <w:r>
              <w:rPr>
                <w:rFonts w:hint="eastAsia" w:cs="Times New Roman"/>
                <w:color w:val="000000" w:themeColor="text1"/>
                <w:kern w:val="0"/>
                <w:highlight w:val="none"/>
                <w:lang w:val="en-US" w:eastAsia="zh-CN"/>
                <w14:textFill>
                  <w14:solidFill>
                    <w14:schemeClr w14:val="tx1"/>
                  </w14:solidFill>
                </w14:textFill>
              </w:rPr>
              <w:t>1400</w:t>
            </w:r>
          </w:p>
        </w:tc>
        <w:tc>
          <w:tcPr>
            <w:tcW w:w="1006" w:type="pct"/>
          </w:tcPr>
          <w:p>
            <w:pPr>
              <w:pStyle w:val="295"/>
              <w:rPr>
                <w:rFonts w:hint="eastAsia" w:ascii="Times New Roman" w:hAnsi="Times New Roman" w:eastAsia="宋体" w:cs="Times New Roman"/>
                <w:color w:val="000000" w:themeColor="text1"/>
                <w:kern w:val="0"/>
                <w:highlight w:val="none"/>
                <w:lang w:eastAsia="zh-CN"/>
                <w14:textFill>
                  <w14:solidFill>
                    <w14:schemeClr w14:val="tx1"/>
                  </w14:solidFill>
                </w14:textFill>
              </w:rPr>
            </w:pPr>
            <w:r>
              <w:rPr>
                <w:rFonts w:hint="eastAsia" w:cs="Times New Roman"/>
                <w:color w:val="000000" w:themeColor="text1"/>
                <w:kern w:val="0"/>
                <w:highlight w:val="none"/>
                <w:lang w:val="en-US" w:eastAsia="zh-CN"/>
                <w14:textFill>
                  <w14:solidFill>
                    <w14:schemeClr w14:val="tx1"/>
                  </w14:solidFill>
                </w14:textFill>
              </w:rPr>
              <w:t>/</w:t>
            </w:r>
          </w:p>
        </w:tc>
        <w:tc>
          <w:tcPr>
            <w:tcW w:w="904" w:type="pct"/>
            <w:vAlign w:val="center"/>
          </w:tcPr>
          <w:p>
            <w:pPr>
              <w:pStyle w:val="295"/>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1400</w:t>
            </w:r>
          </w:p>
        </w:tc>
      </w:tr>
    </w:tbl>
    <w:p>
      <w:pPr>
        <w:pStyle w:val="21"/>
        <w:keepNext w:val="0"/>
        <w:keepLines w:val="0"/>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eastAsia="黑体" w:cs="Times New Roman"/>
          <w:color w:val="000000" w:themeColor="text1"/>
          <w:highlight w:val="none"/>
          <w:lang w:eastAsia="zh-CN"/>
          <w14:textFill>
            <w14:solidFill>
              <w14:schemeClr w14:val="tx1"/>
            </w14:solidFill>
          </w14:textFill>
        </w:rPr>
      </w:pPr>
    </w:p>
    <w:p>
      <w:pPr>
        <w:pStyle w:val="21"/>
        <w:keepNext w:val="0"/>
        <w:keepLines w:val="0"/>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2、工程土石方工程量</w:t>
      </w:r>
    </w:p>
    <w:p>
      <w:pPr>
        <w:keepNext w:val="0"/>
        <w:keepLines w:val="0"/>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（1）表土剥离</w:t>
      </w:r>
    </w:p>
    <w:p>
      <w:pPr>
        <w:keepNext w:val="0"/>
        <w:keepLines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本项目利旧已建井场建设，既有井场已经平整，本次涉及</w:t>
      </w:r>
      <w:r>
        <w:rPr>
          <w:rFonts w:hint="eastAsia" w:cs="Times New Roman"/>
          <w:color w:val="000000" w:themeColor="text1"/>
          <w:highlight w:val="none"/>
          <w:lang w:val="en-US" w:eastAsia="zh-CN"/>
          <w14:textFill>
            <w14:solidFill>
              <w14:schemeClr w14:val="tx1"/>
            </w14:solidFill>
          </w14:textFill>
        </w:rPr>
        <w:t>的</w:t>
      </w:r>
      <w:r>
        <w:rPr>
          <w:rFonts w:hint="default" w:ascii="Times New Roman" w:hAnsi="Times New Roman" w:cs="Times New Roman"/>
          <w:color w:val="000000" w:themeColor="text1"/>
          <w:highlight w:val="none"/>
          <w14:textFill>
            <w14:solidFill>
              <w14:schemeClr w14:val="tx1"/>
            </w14:solidFill>
          </w14:textFill>
        </w:rPr>
        <w:t>表土剥离</w:t>
      </w:r>
      <w:r>
        <w:rPr>
          <w:rFonts w:hint="eastAsia" w:cs="Times New Roman"/>
          <w:color w:val="000000" w:themeColor="text1"/>
          <w:highlight w:val="none"/>
          <w:lang w:val="en-US" w:eastAsia="zh-CN"/>
          <w14:textFill>
            <w14:solidFill>
              <w14:schemeClr w14:val="tx1"/>
            </w14:solidFill>
          </w14:textFill>
        </w:rPr>
        <w:t>主要在生活营地区建设处，约560m</w:t>
      </w:r>
      <w:r>
        <w:rPr>
          <w:rFonts w:hint="eastAsia" w:cs="Times New Roman"/>
          <w:color w:val="000000" w:themeColor="text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w:t>
      </w:r>
    </w:p>
    <w:p>
      <w:pPr>
        <w:keepNext w:val="0"/>
        <w:keepLines w:val="0"/>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（2）土石方</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根据钻前工程设计可知，项目</w:t>
      </w:r>
      <w:r>
        <w:rPr>
          <w:rFonts w:hint="eastAsia" w:cs="Times New Roman"/>
          <w:color w:val="000000" w:themeColor="text1"/>
          <w:highlight w:val="none"/>
          <w:lang w:val="en-US" w:eastAsia="zh-CN"/>
          <w14:textFill>
            <w14:solidFill>
              <w14:schemeClr w14:val="tx1"/>
            </w14:solidFill>
          </w14:textFill>
        </w:rPr>
        <w:t>生活营地建设、</w:t>
      </w:r>
      <w:r>
        <w:rPr>
          <w:rFonts w:hint="default" w:ascii="Times New Roman" w:hAnsi="Times New Roman" w:cs="Times New Roman"/>
          <w:color w:val="000000" w:themeColor="text1"/>
          <w:highlight w:val="none"/>
          <w14:textFill>
            <w14:solidFill>
              <w14:schemeClr w14:val="tx1"/>
            </w14:solidFill>
          </w14:textFill>
        </w:rPr>
        <w:t>井场设备基础等土石方总开挖方量较小。其中挖方约1100m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eastAsia" w:cs="Times New Roman"/>
          <w:color w:val="000000" w:themeColor="text1"/>
          <w:highlight w:val="none"/>
          <w:vertAlign w:val="baseline"/>
          <w:lang w:eastAsia="zh-CN"/>
          <w14:textFill>
            <w14:solidFill>
              <w14:schemeClr w14:val="tx1"/>
            </w14:solidFill>
          </w14:textFill>
        </w:rPr>
        <w:t>（</w:t>
      </w:r>
      <w:r>
        <w:rPr>
          <w:rFonts w:hint="eastAsia" w:cs="Times New Roman"/>
          <w:color w:val="000000" w:themeColor="text1"/>
          <w:highlight w:val="none"/>
          <w:vertAlign w:val="baseline"/>
          <w:lang w:val="en-US" w:eastAsia="zh-CN"/>
          <w14:textFill>
            <w14:solidFill>
              <w14:schemeClr w14:val="tx1"/>
            </w14:solidFill>
          </w14:textFill>
        </w:rPr>
        <w:t>含生活区建设剥离表土560m</w:t>
      </w:r>
      <w:r>
        <w:rPr>
          <w:rFonts w:hint="eastAsia" w:cs="Times New Roman"/>
          <w:color w:val="000000" w:themeColor="text1"/>
          <w:highlight w:val="none"/>
          <w:vertAlign w:val="superscript"/>
          <w:lang w:val="en-US" w:eastAsia="zh-CN"/>
          <w14:textFill>
            <w14:solidFill>
              <w14:schemeClr w14:val="tx1"/>
            </w14:solidFill>
          </w14:textFill>
        </w:rPr>
        <w:t>3</w:t>
      </w:r>
      <w:r>
        <w:rPr>
          <w:rFonts w:hint="eastAsia" w:cs="Times New Roman"/>
          <w:color w:val="000000" w:themeColor="text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，填方0方，余方约11</w:t>
      </w:r>
      <w:r>
        <w:rPr>
          <w:rFonts w:hint="eastAsia" w:ascii="Times New Roman" w:hAnsi="Times New Roman" w:cs="Times New Roman"/>
          <w:color w:val="000000" w:themeColor="text1"/>
          <w:highlight w:val="none"/>
          <w:lang w:val="en-US" w:eastAsia="zh-CN"/>
          <w14:textFill>
            <w14:solidFill>
              <w14:schemeClr w14:val="tx1"/>
            </w14:solidFill>
          </w14:textFill>
        </w:rPr>
        <w:t>0</w:t>
      </w:r>
      <w:r>
        <w:rPr>
          <w:rFonts w:hint="default" w:ascii="Times New Roman" w:hAnsi="Times New Roman" w:cs="Times New Roman"/>
          <w:color w:val="000000" w:themeColor="text1"/>
          <w:highlight w:val="none"/>
          <w14:textFill>
            <w14:solidFill>
              <w14:schemeClr w14:val="tx1"/>
            </w14:solidFill>
          </w14:textFill>
        </w:rPr>
        <w:t>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eastAsia" w:cs="Times New Roman"/>
          <w:color w:val="000000" w:themeColor="text1"/>
          <w:highlight w:val="none"/>
          <w:vertAlign w:val="baseline"/>
          <w:lang w:eastAsia="zh-CN"/>
          <w14:textFill>
            <w14:solidFill>
              <w14:schemeClr w14:val="tx1"/>
            </w14:solidFill>
          </w14:textFill>
        </w:rPr>
        <w:t>（</w:t>
      </w:r>
      <w:r>
        <w:rPr>
          <w:rFonts w:hint="eastAsia" w:cs="Times New Roman"/>
          <w:color w:val="000000" w:themeColor="text1"/>
          <w:highlight w:val="none"/>
          <w:vertAlign w:val="baseline"/>
          <w:lang w:val="en-US" w:eastAsia="zh-CN"/>
          <w14:textFill>
            <w14:solidFill>
              <w14:schemeClr w14:val="tx1"/>
            </w14:solidFill>
          </w14:textFill>
        </w:rPr>
        <w:t>含生活区建设剥离表土560m</w:t>
      </w:r>
      <w:r>
        <w:rPr>
          <w:rFonts w:hint="eastAsia" w:cs="Times New Roman"/>
          <w:color w:val="000000" w:themeColor="text1"/>
          <w:highlight w:val="none"/>
          <w:vertAlign w:val="superscript"/>
          <w:lang w:val="en-US" w:eastAsia="zh-CN"/>
          <w14:textFill>
            <w14:solidFill>
              <w14:schemeClr w14:val="tx1"/>
            </w14:solidFill>
          </w14:textFill>
        </w:rPr>
        <w:t>3</w:t>
      </w:r>
      <w:r>
        <w:rPr>
          <w:rFonts w:hint="eastAsia" w:cs="Times New Roman"/>
          <w:color w:val="000000" w:themeColor="text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。集中堆放至井场东侧的表土堆场，表土用于后期生态恢复，综合利用。</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项目土石方平衡见</w:t>
      </w:r>
      <w:r>
        <w:rPr>
          <w:rFonts w:hint="default" w:ascii="Times New Roman" w:hAnsi="Times New Roman" w:cs="Times New Roman"/>
          <w:color w:val="000000" w:themeColor="text1"/>
          <w:highlight w:val="none"/>
          <w:lang w:eastAsia="zh-CN"/>
          <w14:textFill>
            <w14:solidFill>
              <w14:schemeClr w14:val="tx1"/>
            </w14:solidFill>
          </w14:textFill>
        </w:rPr>
        <w:fldChar w:fldCharType="begin"/>
      </w:r>
      <w:r>
        <w:rPr>
          <w:rFonts w:hint="default" w:ascii="Times New Roman" w:hAnsi="Times New Roman" w:cs="Times New Roman"/>
          <w:color w:val="000000" w:themeColor="text1"/>
          <w:highlight w:val="none"/>
          <w:lang w:eastAsia="zh-CN"/>
          <w14:textFill>
            <w14:solidFill>
              <w14:schemeClr w14:val="tx1"/>
            </w14:solidFill>
          </w14:textFill>
        </w:rPr>
        <w:instrText xml:space="preserve"> REF _Ref142593419 \h  \* MERGEFORMAT </w:instrText>
      </w:r>
      <w:r>
        <w:rPr>
          <w:rFonts w:hint="default" w:ascii="Times New Roman" w:hAnsi="Times New Roman" w:cs="Times New Roman"/>
          <w:color w:val="000000" w:themeColor="text1"/>
          <w:highlight w:val="none"/>
          <w:lang w:eastAsia="zh-CN"/>
          <w14:textFill>
            <w14:solidFill>
              <w14:schemeClr w14:val="tx1"/>
            </w14:solidFill>
          </w14:textFill>
        </w:rPr>
        <w:fldChar w:fldCharType="separate"/>
      </w:r>
      <w:r>
        <w:rPr>
          <w:rFonts w:hint="default" w:ascii="Times New Roman" w:hAnsi="Times New Roman" w:cs="Times New Roman"/>
          <w:color w:val="000000" w:themeColor="text1"/>
          <w:highlight w:val="none"/>
          <w:lang w:eastAsia="zh-CN"/>
          <w14:textFill>
            <w14:solidFill>
              <w14:schemeClr w14:val="tx1"/>
            </w14:solidFill>
          </w14:textFill>
        </w:rPr>
        <w:t>表3.2</w:t>
      </w:r>
      <w:r>
        <w:rPr>
          <w:rFonts w:hint="default" w:ascii="Times New Roman" w:hAnsi="Times New Roman" w:cs="Times New Roman"/>
          <w:color w:val="000000" w:themeColor="text1"/>
          <w:highlight w:val="none"/>
          <w:lang w:eastAsia="zh-CN"/>
          <w14:textFill>
            <w14:solidFill>
              <w14:schemeClr w14:val="tx1"/>
            </w14:solidFill>
          </w14:textFill>
        </w:rPr>
        <w:noBreakHyphen/>
      </w:r>
      <w:r>
        <w:rPr>
          <w:rFonts w:hint="default" w:ascii="Times New Roman" w:hAnsi="Times New Roman" w:cs="Times New Roman"/>
          <w:color w:val="000000" w:themeColor="text1"/>
          <w:highlight w:val="none"/>
          <w:lang w:eastAsia="zh-CN"/>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9</w:t>
      </w:r>
      <w:r>
        <w:rPr>
          <w:rFonts w:hint="default" w:ascii="Times New Roman" w:hAnsi="Times New Roman" w:cs="Times New Roman"/>
          <w:color w:val="000000" w:themeColor="text1"/>
          <w:highlight w:val="none"/>
          <w:lang w:eastAsia="zh-CN"/>
          <w14:textFill>
            <w14:solidFill>
              <w14:schemeClr w14:val="tx1"/>
            </w14:solidFill>
          </w14:textFill>
        </w:rPr>
        <w:fldChar w:fldCharType="end"/>
      </w:r>
      <w:r>
        <w:rPr>
          <w:rFonts w:hint="default" w:ascii="Times New Roman" w:hAnsi="Times New Roman" w:cs="Times New Roman"/>
          <w:color w:val="000000" w:themeColor="text1"/>
          <w:highlight w:val="none"/>
          <w:lang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18" w:name="_Ref142593419"/>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9</w:t>
      </w:r>
      <w:r>
        <w:rPr>
          <w:rFonts w:hint="default" w:ascii="Times New Roman" w:hAnsi="Times New Roman" w:cs="Times New Roman"/>
          <w:color w:val="000000" w:themeColor="text1"/>
          <w:highlight w:val="none"/>
          <w14:textFill>
            <w14:solidFill>
              <w14:schemeClr w14:val="tx1"/>
            </w14:solidFill>
          </w14:textFill>
        </w:rPr>
        <w:fldChar w:fldCharType="end"/>
      </w:r>
      <w:bookmarkEnd w:id="118"/>
      <w:r>
        <w:rPr>
          <w:rFonts w:hint="eastAsia"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 xml:space="preserve"> 本项目土石方平衡一览表</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4"/>
        <w:gridCol w:w="1136"/>
        <w:gridCol w:w="918"/>
        <w:gridCol w:w="904"/>
        <w:gridCol w:w="1165"/>
        <w:gridCol w:w="1027"/>
        <w:gridCol w:w="2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 w:hRule="atLeast"/>
        </w:trPr>
        <w:tc>
          <w:tcPr>
            <w:tcW w:w="1020" w:type="pct"/>
            <w:gridSpan w:val="2"/>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项目</w:t>
            </w:r>
          </w:p>
        </w:tc>
        <w:tc>
          <w:tcPr>
            <w:tcW w:w="53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挖方</w:t>
            </w:r>
          </w:p>
        </w:tc>
        <w:tc>
          <w:tcPr>
            <w:tcW w:w="530"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填方</w:t>
            </w:r>
          </w:p>
        </w:tc>
        <w:tc>
          <w:tcPr>
            <w:tcW w:w="683" w:type="pct"/>
            <w:vAlign w:val="center"/>
          </w:tcPr>
          <w:p>
            <w:pPr>
              <w:pStyle w:val="295"/>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借方（调方）</w:t>
            </w:r>
          </w:p>
        </w:tc>
        <w:tc>
          <w:tcPr>
            <w:tcW w:w="60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余方</w:t>
            </w:r>
          </w:p>
        </w:tc>
        <w:tc>
          <w:tcPr>
            <w:tcW w:w="162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354"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井场工程</w:t>
            </w:r>
          </w:p>
        </w:tc>
        <w:tc>
          <w:tcPr>
            <w:tcW w:w="666" w:type="pct"/>
            <w:vAlign w:val="center"/>
          </w:tcPr>
          <w:p>
            <w:pPr>
              <w:pStyle w:val="295"/>
              <w:rPr>
                <w:rFonts w:hint="eastAsia"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生活营地建设、</w:t>
            </w:r>
            <w:r>
              <w:rPr>
                <w:rFonts w:hint="default" w:ascii="Times New Roman" w:hAnsi="Times New Roman" w:cs="Times New Roman"/>
                <w:bCs/>
                <w:color w:val="000000" w:themeColor="text1"/>
                <w:highlight w:val="none"/>
                <w14:textFill>
                  <w14:solidFill>
                    <w14:schemeClr w14:val="tx1"/>
                  </w14:solidFill>
                </w14:textFill>
              </w:rPr>
              <w:t>设备基础</w:t>
            </w:r>
            <w:r>
              <w:rPr>
                <w:rFonts w:hint="eastAsia" w:cs="Times New Roman"/>
                <w:bCs/>
                <w:color w:val="000000" w:themeColor="text1"/>
                <w:highlight w:val="none"/>
                <w:lang w:val="en-US" w:eastAsia="zh-CN"/>
                <w14:textFill>
                  <w14:solidFill>
                    <w14:schemeClr w14:val="tx1"/>
                  </w14:solidFill>
                </w14:textFill>
              </w:rPr>
              <w:t>等</w:t>
            </w:r>
          </w:p>
        </w:tc>
        <w:tc>
          <w:tcPr>
            <w:tcW w:w="538"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1100</w:t>
            </w:r>
          </w:p>
        </w:tc>
        <w:tc>
          <w:tcPr>
            <w:tcW w:w="530"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w:t>
            </w:r>
          </w:p>
        </w:tc>
        <w:tc>
          <w:tcPr>
            <w:tcW w:w="683"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0</w:t>
            </w:r>
          </w:p>
        </w:tc>
        <w:tc>
          <w:tcPr>
            <w:tcW w:w="602"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1100</w:t>
            </w:r>
          </w:p>
        </w:tc>
        <w:tc>
          <w:tcPr>
            <w:tcW w:w="1625"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集中堆放至井场东侧的表土堆场</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将</w:t>
            </w:r>
            <w:r>
              <w:rPr>
                <w:rFonts w:hint="eastAsia"/>
                <w:color w:val="000000" w:themeColor="text1"/>
                <w:highlight w:val="none"/>
                <w:lang w:val="en-US" w:eastAsia="zh-CN"/>
                <w14:textFill>
                  <w14:solidFill>
                    <w14:schemeClr w14:val="tx1"/>
                  </w14:solidFill>
                </w14:textFill>
              </w:rPr>
              <w:t>表土和下层土分区堆放）</w:t>
            </w:r>
            <w:r>
              <w:rPr>
                <w:rFonts w:hint="default" w:ascii="Times New Roman" w:hAnsi="Times New Roman" w:cs="Times New Roman"/>
                <w:color w:val="000000" w:themeColor="text1"/>
                <w:highlight w:val="none"/>
                <w14:textFill>
                  <w14:solidFill>
                    <w14:schemeClr w14:val="tx1"/>
                  </w14:solidFill>
                </w14:textFill>
              </w:rPr>
              <w:t>，表土用于后期生态恢复，综合利用</w:t>
            </w:r>
          </w:p>
        </w:tc>
      </w:tr>
    </w:tbl>
    <w:p>
      <w:pPr>
        <w:pStyle w:val="202"/>
        <w:pageBreakBefore w:val="0"/>
        <w:kinsoku/>
        <w:wordWrap/>
        <w:overflowPunct/>
        <w:topLinePunct w:val="0"/>
        <w:bidi w:val="0"/>
        <w:adjustRightInd w:val="0"/>
        <w:snapToGrid w:val="0"/>
        <w:spacing w:before="0" w:after="0"/>
        <w:rPr>
          <w:rFonts w:hint="default"/>
          <w:color w:val="000000" w:themeColor="text1"/>
          <w:highlight w:val="none"/>
          <w14:textFill>
            <w14:solidFill>
              <w14:schemeClr w14:val="tx1"/>
            </w14:solidFill>
          </w14:textFill>
        </w:rPr>
      </w:pPr>
    </w:p>
    <w:p>
      <w:pPr>
        <w:pStyle w:val="4"/>
        <w:pageBreakBefore w:val="0"/>
        <w:kinsoku/>
        <w:wordWrap/>
        <w:overflowPunct/>
        <w:topLinePunct w:val="0"/>
        <w:bidi w:val="0"/>
        <w:adjustRightInd w:val="0"/>
        <w:snapToGrid w:val="0"/>
        <w:spacing w:before="0" w:beforeLines="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119" w:name="_Toc120173106"/>
      <w:r>
        <w:rPr>
          <w:rFonts w:hint="default" w:ascii="Times New Roman" w:hAnsi="Times New Roman" w:cs="Times New Roman"/>
          <w:color w:val="000000" w:themeColor="text1"/>
          <w:highlight w:val="none"/>
          <w:lang w:eastAsia="zh-CN"/>
          <w14:textFill>
            <w14:solidFill>
              <w14:schemeClr w14:val="tx1"/>
            </w14:solidFill>
          </w14:textFill>
        </w:rPr>
        <w:t>劳动定员及工作制度</w:t>
      </w:r>
      <w:bookmarkEnd w:id="119"/>
    </w:p>
    <w:p>
      <w:pPr>
        <w:pStyle w:val="21"/>
        <w:pageBreakBefore w:val="0"/>
        <w:kinsoku/>
        <w:wordWrap/>
        <w:overflowPunct/>
        <w:topLinePunct w:val="0"/>
        <w:bidi w:val="0"/>
        <w:adjustRightInd w:val="0"/>
        <w:snapToGrid w:val="0"/>
        <w:spacing w:before="0"/>
        <w:ind w:left="0" w:firstLine="480"/>
        <w:jc w:val="both"/>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1、钻前工程</w:t>
      </w:r>
    </w:p>
    <w:p>
      <w:pPr>
        <w:pStyle w:val="21"/>
        <w:pageBreakBefore w:val="0"/>
        <w:kinsoku/>
        <w:wordWrap/>
        <w:overflowPunct/>
        <w:topLinePunct w:val="0"/>
        <w:bidi w:val="0"/>
        <w:adjustRightInd w:val="0"/>
        <w:snapToGrid w:val="0"/>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为土建施工，由专业施工单位组织当地民工施工作业为主，高峰时每天施工人员约30人，施工工期约60天，白天施工，夜间不作业。</w:t>
      </w:r>
    </w:p>
    <w:p>
      <w:pPr>
        <w:pStyle w:val="21"/>
        <w:spacing w:before="0"/>
        <w:ind w:left="0" w:firstLine="480"/>
        <w:jc w:val="both"/>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2、钻井工程</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由专业人员组成，钻井队编制约45人，其中，管理人员有队长、副队长、钻井工程师、地质工程师、泥浆工程师、动力机械师、HSE管理员；下设3个钻井班、一个地质资料组、一个后勤组，外加炊事人员、医疗人员、勤杂人员等。施工工期约75天。</w:t>
      </w:r>
    </w:p>
    <w:p>
      <w:pPr>
        <w:pStyle w:val="21"/>
        <w:spacing w:before="0"/>
        <w:ind w:left="0" w:firstLine="480"/>
        <w:jc w:val="both"/>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3、储层改造</w:t>
      </w:r>
    </w:p>
    <w:p>
      <w:pPr>
        <w:pStyle w:val="21"/>
        <w:spacing w:before="0"/>
        <w:ind w:left="0" w:firstLine="480"/>
        <w:jc w:val="both"/>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储层改造工程压裂作业时间约为35天，压裂作业人员40人，仅白天施工，夜间不作业</w:t>
      </w:r>
      <w:r>
        <w:rPr>
          <w:rFonts w:hint="eastAsia" w:ascii="Times New Roman" w:hAnsi="Times New Roman" w:cs="Times New Roman"/>
          <w:color w:val="000000" w:themeColor="text1"/>
          <w:highlight w:val="none"/>
          <w:lang w:eastAsia="zh-CN"/>
          <w14:textFill>
            <w14:solidFill>
              <w14:schemeClr w14:val="tx1"/>
            </w14:solidFill>
          </w14:textFill>
        </w:rPr>
        <w:t>。</w:t>
      </w:r>
    </w:p>
    <w:p>
      <w:pPr>
        <w:pStyle w:val="21"/>
        <w:spacing w:before="0"/>
        <w:ind w:left="0" w:firstLine="480"/>
        <w:jc w:val="both"/>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4、</w:t>
      </w:r>
      <w:r>
        <w:rPr>
          <w:rFonts w:hint="eastAsia" w:ascii="Times New Roman" w:hAnsi="Times New Roman" w:eastAsia="黑体" w:cs="Times New Roman"/>
          <w:color w:val="000000" w:themeColor="text1"/>
          <w:highlight w:val="none"/>
          <w:lang w:val="en-US" w:eastAsia="zh-CN"/>
          <w14:textFill>
            <w14:solidFill>
              <w14:schemeClr w14:val="tx1"/>
            </w14:solidFill>
          </w14:textFill>
        </w:rPr>
        <w:t>油气集输</w:t>
      </w:r>
      <w:r>
        <w:rPr>
          <w:rFonts w:hint="default" w:ascii="Times New Roman" w:hAnsi="Times New Roman" w:eastAsia="黑体" w:cs="Times New Roman"/>
          <w:color w:val="000000" w:themeColor="text1"/>
          <w:highlight w:val="none"/>
          <w:lang w:eastAsia="zh-CN"/>
          <w14:textFill>
            <w14:solidFill>
              <w14:schemeClr w14:val="tx1"/>
            </w14:solidFill>
          </w14:textFill>
        </w:rPr>
        <w:t>工程</w:t>
      </w:r>
      <w:r>
        <w:rPr>
          <w:rFonts w:hint="eastAsia" w:ascii="Times New Roman" w:hAnsi="Times New Roman" w:eastAsia="黑体" w:cs="Times New Roman"/>
          <w:color w:val="000000" w:themeColor="text1"/>
          <w:highlight w:val="none"/>
          <w:lang w:eastAsia="zh-CN"/>
          <w14:textFill>
            <w14:solidFill>
              <w14:schemeClr w14:val="tx1"/>
            </w14:solidFill>
          </w14:textFill>
        </w:rPr>
        <w:t>（</w:t>
      </w:r>
      <w:r>
        <w:rPr>
          <w:rFonts w:hint="eastAsia" w:ascii="Times New Roman" w:hAnsi="Times New Roman" w:eastAsia="黑体" w:cs="Times New Roman"/>
          <w:color w:val="000000" w:themeColor="text1"/>
          <w:highlight w:val="none"/>
          <w:lang w:val="en-US" w:eastAsia="zh-CN"/>
          <w14:textFill>
            <w14:solidFill>
              <w14:schemeClr w14:val="tx1"/>
            </w14:solidFill>
          </w14:textFill>
        </w:rPr>
        <w:t>地面建设阶段）</w:t>
      </w:r>
    </w:p>
    <w:p>
      <w:pPr>
        <w:pStyle w:val="21"/>
        <w:ind w:firstLine="480"/>
        <w:jc w:val="both"/>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油气集输</w:t>
      </w:r>
      <w:r>
        <w:rPr>
          <w:rFonts w:hint="default" w:ascii="Times New Roman" w:hAnsi="Times New Roman" w:eastAsia="宋体" w:cs="Times New Roman"/>
          <w:color w:val="000000" w:themeColor="text1"/>
          <w:highlight w:val="none"/>
          <w:lang w:eastAsia="zh-CN"/>
          <w14:textFill>
            <w14:solidFill>
              <w14:schemeClr w14:val="tx1"/>
            </w14:solidFill>
          </w14:textFill>
        </w:rPr>
        <w:t>工程</w:t>
      </w:r>
      <w:r>
        <w:rPr>
          <w:rFonts w:hint="eastAsia" w:ascii="Times New Roman" w:hAnsi="Times New Roman" w:eastAsia="宋体" w:cs="Times New Roman"/>
          <w:color w:val="000000" w:themeColor="text1"/>
          <w:highlight w:val="none"/>
          <w:lang w:val="en-US" w:eastAsia="zh-CN"/>
          <w14:textFill>
            <w14:solidFill>
              <w14:schemeClr w14:val="tx1"/>
            </w14:solidFill>
          </w14:textFill>
        </w:rPr>
        <w:t>进行地面建设时，</w:t>
      </w:r>
      <w:r>
        <w:rPr>
          <w:rFonts w:hint="default" w:ascii="Times New Roman" w:hAnsi="Times New Roman" w:eastAsia="宋体" w:cs="Times New Roman"/>
          <w:color w:val="000000" w:themeColor="text1"/>
          <w:highlight w:val="none"/>
          <w:lang w:eastAsia="zh-CN"/>
          <w14:textFill>
            <w14:solidFill>
              <w14:schemeClr w14:val="tx1"/>
            </w14:solidFill>
          </w14:textFill>
        </w:rPr>
        <w:t>高峰施工期约20人，施工工期约60天，仅白天施工，夜间不作业。</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eastAsia" w:ascii="Times New Roman" w:hAnsi="Times New Roman" w:cs="Times New Roman"/>
          <w:color w:val="000000" w:themeColor="text1"/>
          <w:highlight w:val="none"/>
          <w:lang w:val="en-US" w:eastAsia="zh-CN"/>
          <w14:textFill>
            <w14:solidFill>
              <w14:schemeClr w14:val="tx1"/>
            </w14:solidFill>
          </w14:textFill>
        </w:rPr>
        <w:t xml:space="preserve">20 </w:t>
      </w:r>
      <w:r>
        <w:rPr>
          <w:rFonts w:hint="default" w:ascii="Times New Roman" w:hAnsi="Times New Roman" w:cs="Times New Roman"/>
          <w:color w:val="000000" w:themeColor="text1"/>
          <w:highlight w:val="none"/>
          <w14:textFill>
            <w14:solidFill>
              <w14:schemeClr w14:val="tx1"/>
            </w14:solidFill>
          </w14:textFill>
        </w:rPr>
        <w:t>项目钻井施工工期一览表</w:t>
      </w:r>
    </w:p>
    <w:tbl>
      <w:tblPr>
        <w:tblStyle w:val="52"/>
        <w:tblW w:w="452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8"/>
        <w:gridCol w:w="343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3" w:type="pct"/>
            <w:tcBorders>
              <w:top w:val="single" w:color="auto" w:sz="4" w:space="0"/>
              <w:left w:val="single" w:color="auto" w:sz="4" w:space="0"/>
              <w:tl2br w:val="single" w:color="auto" w:sz="4" w:space="0"/>
            </w:tcBorders>
            <w:vAlign w:val="center"/>
          </w:tcPr>
          <w:p>
            <w:pPr>
              <w:pStyle w:val="295"/>
              <w:jc w:val="right"/>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井号</w:t>
            </w:r>
          </w:p>
          <w:p>
            <w:pPr>
              <w:pStyle w:val="295"/>
              <w:jc w:val="both"/>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周期</w:t>
            </w:r>
          </w:p>
        </w:tc>
        <w:tc>
          <w:tcPr>
            <w:tcW w:w="2227" w:type="pct"/>
            <w:tcBorders>
              <w:top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普光106-2H侧钻井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3" w:type="pct"/>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钻前（d）</w:t>
            </w:r>
          </w:p>
        </w:tc>
        <w:tc>
          <w:tcPr>
            <w:tcW w:w="2227" w:type="pct"/>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2773" w:type="pct"/>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钻井工程（d）</w:t>
            </w:r>
          </w:p>
        </w:tc>
        <w:tc>
          <w:tcPr>
            <w:tcW w:w="2227" w:type="pct"/>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3" w:type="pct"/>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储层改造工程</w:t>
            </w:r>
          </w:p>
        </w:tc>
        <w:tc>
          <w:tcPr>
            <w:tcW w:w="2227" w:type="pct"/>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3" w:type="pct"/>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地面工程（d）</w:t>
            </w:r>
          </w:p>
        </w:tc>
        <w:tc>
          <w:tcPr>
            <w:tcW w:w="2227" w:type="pct"/>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3" w:type="pct"/>
            <w:tcBorders>
              <w:left w:val="single" w:color="auto" w:sz="4" w:space="0"/>
              <w:bottom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总计（d）</w:t>
            </w:r>
          </w:p>
        </w:tc>
        <w:tc>
          <w:tcPr>
            <w:tcW w:w="2227" w:type="pct"/>
            <w:tcBorders>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230</w:t>
            </w:r>
          </w:p>
        </w:tc>
      </w:tr>
    </w:tbl>
    <w:p>
      <w:pPr>
        <w:pStyle w:val="21"/>
        <w:spacing w:before="120" w:beforeLines="50"/>
        <w:ind w:left="0" w:firstLine="480"/>
        <w:jc w:val="both"/>
        <w:rPr>
          <w:rFonts w:hint="default" w:ascii="Times New Roman" w:hAnsi="Times New Roman" w:eastAsia="黑体" w:cs="Times New Roman"/>
          <w:color w:val="000000" w:themeColor="text1"/>
          <w:highlight w:val="none"/>
          <w:lang w:eastAsia="zh-CN"/>
          <w14:textFill>
            <w14:solidFill>
              <w14:schemeClr w14:val="tx1"/>
            </w14:solidFill>
          </w14:textFill>
        </w:rPr>
      </w:pPr>
    </w:p>
    <w:p>
      <w:pPr>
        <w:pStyle w:val="21"/>
        <w:spacing w:before="120" w:beforeLines="50"/>
        <w:ind w:left="0" w:firstLine="480"/>
        <w:jc w:val="both"/>
        <w:rPr>
          <w:rFonts w:hint="default" w:ascii="Times New Roman" w:hAnsi="Times New Roman" w:eastAsia="黑体" w:cs="Times New Roman"/>
          <w:color w:val="000000" w:themeColor="text1"/>
          <w:highlight w:val="none"/>
          <w:lang w:eastAsia="zh-CN"/>
          <w14:textFill>
            <w14:solidFill>
              <w14:schemeClr w14:val="tx1"/>
            </w14:solidFill>
          </w14:textFill>
        </w:rPr>
      </w:pPr>
      <w:r>
        <w:rPr>
          <w:rFonts w:hint="default" w:ascii="Times New Roman" w:hAnsi="Times New Roman" w:eastAsia="黑体" w:cs="Times New Roman"/>
          <w:color w:val="000000" w:themeColor="text1"/>
          <w:highlight w:val="none"/>
          <w:lang w:eastAsia="zh-CN"/>
          <w14:textFill>
            <w14:solidFill>
              <w14:schemeClr w14:val="tx1"/>
            </w14:solidFill>
          </w14:textFill>
        </w:rPr>
        <w:t>5、试采工程</w:t>
      </w:r>
    </w:p>
    <w:p>
      <w:pPr>
        <w:ind w:firstLine="480"/>
        <w:rPr>
          <w:rFonts w:hint="default" w:ascii="Times New Roman" w:hAnsi="Times New Roman" w:cs="Times New Roman"/>
          <w:color w:val="000000" w:themeColor="text1"/>
          <w:highlight w:val="none"/>
          <w14:textFill>
            <w14:solidFill>
              <w14:schemeClr w14:val="tx1"/>
            </w14:solidFill>
          </w14:textFill>
        </w:rPr>
      </w:pPr>
      <w:bookmarkStart w:id="120" w:name="_Hlk88749992"/>
      <w:r>
        <w:rPr>
          <w:rFonts w:hint="default" w:ascii="Times New Roman" w:hAnsi="Times New Roman" w:cs="Times New Roman"/>
          <w:color w:val="000000" w:themeColor="text1"/>
          <w:highlight w:val="none"/>
          <w14:textFill>
            <w14:solidFill>
              <w14:schemeClr w14:val="tx1"/>
            </w14:solidFill>
          </w14:textFill>
        </w:rPr>
        <w:t>本项目采气生产依托P106集气站进行，普光P106集气站为有人值守站场，值守</w:t>
      </w:r>
      <w:r>
        <w:rPr>
          <w:rFonts w:hint="default" w:ascii="Times New Roman" w:hAnsi="Times New Roman" w:cs="Times New Roman"/>
          <w:color w:val="000000" w:themeColor="text1"/>
          <w:highlight w:val="none"/>
          <w:lang w:eastAsia="zh-CN"/>
          <w14:textFill>
            <w14:solidFill>
              <w14:schemeClr w14:val="tx1"/>
            </w14:solidFill>
          </w14:textFill>
        </w:rPr>
        <w:t>人大约</w:t>
      </w:r>
      <w:r>
        <w:rPr>
          <w:rFonts w:hint="default" w:ascii="Times New Roman" w:hAnsi="Times New Roman" w:cs="Times New Roman"/>
          <w:color w:val="000000" w:themeColor="text1"/>
          <w:highlight w:val="none"/>
          <w14:textFill>
            <w14:solidFill>
              <w14:schemeClr w14:val="tx1"/>
            </w14:solidFill>
          </w14:textFill>
        </w:rPr>
        <w:t>2人，</w:t>
      </w:r>
      <w:r>
        <w:rPr>
          <w:rFonts w:hint="eastAsia" w:cs="Times New Roman"/>
          <w:color w:val="000000" w:themeColor="text1"/>
          <w:highlight w:val="none"/>
          <w:lang w:val="en-US" w:eastAsia="zh-CN"/>
          <w14:textFill>
            <w14:solidFill>
              <w14:schemeClr w14:val="tx1"/>
            </w14:solidFill>
          </w14:textFill>
        </w:rPr>
        <w:t>本次不新增定员，</w:t>
      </w:r>
      <w:r>
        <w:rPr>
          <w:rFonts w:hint="default" w:ascii="Times New Roman" w:hAnsi="Times New Roman" w:cs="Times New Roman"/>
          <w:color w:val="000000" w:themeColor="text1"/>
          <w:highlight w:val="none"/>
          <w14:textFill>
            <w14:solidFill>
              <w14:schemeClr w14:val="tx1"/>
            </w14:solidFill>
          </w14:textFill>
        </w:rPr>
        <w:t>实行连续24h不间断生产，年运行365天。</w:t>
      </w:r>
      <w:bookmarkEnd w:id="120"/>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121" w:name="_Toc26395"/>
      <w:r>
        <w:rPr>
          <w:rFonts w:hint="default" w:ascii="Times New Roman" w:hAnsi="Times New Roman" w:cs="Times New Roman"/>
          <w:color w:val="000000" w:themeColor="text1"/>
          <w:highlight w:val="none"/>
          <w:lang w:eastAsia="zh-CN"/>
          <w14:textFill>
            <w14:solidFill>
              <w14:schemeClr w14:val="tx1"/>
            </w14:solidFill>
          </w14:textFill>
        </w:rPr>
        <w:t>建设项目工程分析</w:t>
      </w:r>
      <w:bookmarkEnd w:id="121"/>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包含钻前工程、钻完井工程、地面工程及试采工程。本项目充分参考了《陆上钻井作业环境保护推荐作法》的相关要求，并结合项目拟建地周边环境情况和中国石油化工股份有限公司多年的钻井工程经验，各项作业均达到该地区行业推荐作业方案的要求。钻井过程主要包括钻前工程（设备基础施工、放喷池修复等）、设备搬运及安装、钻井（固井、录井）、洗井、完井作业、设备搬迁及污染物治理等，项目工艺过程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_Ref142593685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图3.3</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margin">
                  <wp:posOffset>2049780</wp:posOffset>
                </wp:positionH>
                <wp:positionV relativeFrom="paragraph">
                  <wp:posOffset>2874010</wp:posOffset>
                </wp:positionV>
                <wp:extent cx="1264920" cy="251460"/>
                <wp:effectExtent l="0" t="0" r="11430" b="15240"/>
                <wp:wrapNone/>
                <wp:docPr id="91924" name="文本框 91924"/>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rPr>
                            </w:pPr>
                            <w:r>
                              <w:rPr>
                                <w:rFonts w:hint="eastAsia"/>
                                <w:sz w:val="18"/>
                                <w:szCs w:val="18"/>
                              </w:rPr>
                              <w:t>集气站运营</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61.4pt;margin-top:226.3pt;height:19.8pt;width:99.6pt;mso-position-horizontal-relative:margin;z-index:251660288;mso-width-relative:page;mso-height-relative:page;" fillcolor="#FFFFFF" filled="t" stroked="t" coordsize="21600,21600" o:gfxdata="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&#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wfzly2gAAAAsBAAAPAAAAAAAAAAEAIAAAACIAAABk&#10;cnMvZG93bnJldi54bWxQSwECFAAUAAAACACHTuJAQEWdjnYCAADxBAAADgAAAAAAAAABACAAAAAp&#10;AQAAZHJzL2Uyb0RvYy54bWxQSwUGAAAAAAYABgBZAQAAEQYAAAAA&#10;">
                <v:fill on="t" focussize="0,0"/>
                <v:stroke color="#000000" miterlimit="8" joinstyle="miter"/>
                <v:imagedata o:title=""/>
                <o:lock v:ext="edit" aspectratio="f"/>
                <v:textbox>
                  <w:txbxContent>
                    <w:p>
                      <w:pPr>
                        <w:spacing w:line="240" w:lineRule="auto"/>
                        <w:ind w:firstLine="0" w:firstLineChars="0"/>
                        <w:jc w:val="center"/>
                        <w:rPr>
                          <w:sz w:val="18"/>
                          <w:szCs w:val="18"/>
                        </w:rPr>
                      </w:pPr>
                      <w:r>
                        <w:rPr>
                          <w:rFonts w:hint="eastAsia"/>
                          <w:sz w:val="18"/>
                          <w:szCs w:val="18"/>
                        </w:rPr>
                        <w:t>集气站运营</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margin">
                  <wp:posOffset>2048510</wp:posOffset>
                </wp:positionH>
                <wp:positionV relativeFrom="paragraph">
                  <wp:posOffset>2344420</wp:posOffset>
                </wp:positionV>
                <wp:extent cx="1264920" cy="251460"/>
                <wp:effectExtent l="0" t="0" r="11430" b="15240"/>
                <wp:wrapNone/>
                <wp:docPr id="1826" name="文本框 1826"/>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rPr>
                            </w:pPr>
                            <w:r>
                              <w:rPr>
                                <w:rFonts w:hint="eastAsia"/>
                                <w:sz w:val="18"/>
                                <w:szCs w:val="18"/>
                              </w:rPr>
                              <w:t>集气站建设</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61.3pt;margin-top:184.6pt;height:19.8pt;width:99.6pt;mso-position-horizontal-relative:margin;z-index:251659264;mso-width-relative:page;mso-height-relative:page;" fillcolor="#FFFFFF" filled="t" stroked="t" coordsize="21600,21600" o:gfxdata="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&#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UBoGTaAAAACwEAAA8AAAAAAAAAAQAgAAAAIgAAAGRy&#10;cy9kb3ducmV2LnhtbFBLAQIUABQAAAAIAIdO4kDX81k4dQIAAO8EAAAOAAAAAAAAAAEAIAAAACkB&#10;AABkcnMvZTJvRG9jLnhtbFBLBQYAAAAABgAGAFkBAAAQBgAAAAA=&#10;">
                <v:fill on="t" focussize="0,0"/>
                <v:stroke color="#000000" miterlimit="8" joinstyle="miter"/>
                <v:imagedata o:title=""/>
                <o:lock v:ext="edit" aspectratio="f"/>
                <v:textbox>
                  <w:txbxContent>
                    <w:p>
                      <w:pPr>
                        <w:spacing w:line="240" w:lineRule="auto"/>
                        <w:ind w:firstLine="0" w:firstLineChars="0"/>
                        <w:jc w:val="center"/>
                        <w:rPr>
                          <w:sz w:val="18"/>
                          <w:szCs w:val="18"/>
                        </w:rPr>
                      </w:pPr>
                      <w:r>
                        <w:rPr>
                          <w:rFonts w:hint="eastAsia"/>
                          <w:sz w:val="18"/>
                          <w:szCs w:val="18"/>
                        </w:rPr>
                        <w:t>集气站建设</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margin">
                  <wp:posOffset>3686175</wp:posOffset>
                </wp:positionH>
                <wp:positionV relativeFrom="paragraph">
                  <wp:posOffset>50165</wp:posOffset>
                </wp:positionV>
                <wp:extent cx="1162050" cy="251460"/>
                <wp:effectExtent l="0" t="0" r="0" b="0"/>
                <wp:wrapNone/>
                <wp:docPr id="91925" name="文本框 91925"/>
                <wp:cNvGraphicFramePr/>
                <a:graphic xmlns:a="http://schemas.openxmlformats.org/drawingml/2006/main">
                  <a:graphicData uri="http://schemas.microsoft.com/office/word/2010/wordprocessingShape">
                    <wps:wsp>
                      <wps:cNvSpPr txBox="1"/>
                      <wps:spPr bwMode="auto">
                        <a:xfrm>
                          <a:off x="0" y="0"/>
                          <a:ext cx="1162050" cy="251460"/>
                        </a:xfrm>
                        <a:prstGeom prst="rect">
                          <a:avLst/>
                        </a:prstGeom>
                        <a:solidFill>
                          <a:srgbClr val="FFFFFF"/>
                        </a:solidFill>
                        <a:ln w="9525">
                          <a:noFill/>
                          <a:miter lim="800000"/>
                        </a:ln>
                      </wps:spPr>
                      <wps:txbx>
                        <w:txbxContent>
                          <w:p>
                            <w:pPr>
                              <w:ind w:firstLine="360"/>
                              <w:rPr>
                                <w:sz w:val="18"/>
                                <w:szCs w:val="18"/>
                              </w:rPr>
                            </w:pPr>
                            <w:r>
                              <w:rPr>
                                <w:rFonts w:hint="eastAsia"/>
                                <w:sz w:val="18"/>
                                <w:szCs w:val="18"/>
                              </w:rPr>
                              <w:t>水土流失</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90.25pt;margin-top:3.95pt;height:19.8pt;width:91.5pt;mso-position-horizontal-relative:margin;z-index:251661312;mso-width-relative:page;mso-height-relative:page;" fillcolor="#FFFFFF" filled="t" stroked="f" coordsize="21600,21600" o:gfxdata="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T2h9n1gAAAAgBAAAPAAAAAAAAAAEAIAAAACIAAABkcnMvZG93bnJl&#10;di54bWxQSwECFAAUAAAACACHTuJATUCl2HECAADIBAAADgAAAAAAAAABACAAAAAlAQAAZHJzL2Uy&#10;b0RvYy54bWxQSwUGAAAAAAYABgBZAQAACAYAAAAA&#10;">
                <v:fill on="t" focussize="0,0"/>
                <v:stroke on="f" miterlimit="8" joinstyle="miter"/>
                <v:imagedata o:title=""/>
                <o:lock v:ext="edit" aspectratio="f"/>
                <v:textbox>
                  <w:txbxContent>
                    <w:p>
                      <w:pPr>
                        <w:ind w:firstLine="360"/>
                        <w:rPr>
                          <w:sz w:val="18"/>
                          <w:szCs w:val="18"/>
                        </w:rPr>
                      </w:pPr>
                      <w:r>
                        <w:rPr>
                          <w:rFonts w:hint="eastAsia"/>
                          <w:sz w:val="18"/>
                          <w:szCs w:val="18"/>
                        </w:rPr>
                        <w:t>水土流失</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42560" cy="3129915"/>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279139" cy="3151603"/>
                    </a:xfrm>
                    <a:prstGeom prst="rect">
                      <a:avLst/>
                    </a:prstGeom>
                    <a:solidFill>
                      <a:srgbClr val="000000"/>
                    </a:solidFill>
                    <a:ln>
                      <a:noFill/>
                    </a:ln>
                  </pic:spPr>
                </pic:pic>
              </a:graphicData>
            </a:graphic>
          </wp:inline>
        </w:drawing>
      </w:r>
    </w:p>
    <w:p>
      <w:pPr>
        <w:pStyle w:val="163"/>
        <w:rPr>
          <w:rFonts w:hint="default" w:ascii="Times New Roman" w:hAnsi="Times New Roman" w:cs="Times New Roman"/>
          <w:b/>
          <w:color w:val="000000" w:themeColor="text1"/>
          <w:szCs w:val="21"/>
          <w:highlight w:val="none"/>
          <w14:textFill>
            <w14:solidFill>
              <w14:schemeClr w14:val="tx1"/>
            </w14:solidFill>
          </w14:textFill>
        </w:rPr>
      </w:pPr>
      <w:bookmarkStart w:id="122" w:name="_Ref142593685"/>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122"/>
      <w:r>
        <w:rPr>
          <w:rFonts w:hint="default" w:ascii="Times New Roman" w:hAnsi="Times New Roman" w:cs="Times New Roman"/>
          <w:color w:val="000000" w:themeColor="text1"/>
          <w:highlight w:val="none"/>
          <w14:textFill>
            <w14:solidFill>
              <w14:schemeClr w14:val="tx1"/>
            </w14:solidFill>
          </w14:textFill>
        </w:rPr>
        <w:t xml:space="preserve"> 项目工艺概况图</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123" w:name="3.3.1施工期污染源"/>
      <w:bookmarkEnd w:id="123"/>
      <w:bookmarkStart w:id="124" w:name="_bookmark20"/>
      <w:bookmarkEnd w:id="124"/>
      <w:bookmarkStart w:id="125" w:name="_Toc120173108"/>
      <w:r>
        <w:rPr>
          <w:rFonts w:hint="default" w:ascii="Times New Roman" w:hAnsi="Times New Roman" w:cs="Times New Roman"/>
          <w:color w:val="000000" w:themeColor="text1"/>
          <w:highlight w:val="none"/>
          <w:lang w:eastAsia="zh-CN"/>
          <w14:textFill>
            <w14:solidFill>
              <w14:schemeClr w14:val="tx1"/>
            </w14:solidFill>
          </w14:textFill>
        </w:rPr>
        <w:t>施工期工程分析</w:t>
      </w:r>
      <w:bookmarkEnd w:id="125"/>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施工期主要有钻前工程、钻井工程、</w:t>
      </w:r>
      <w:r>
        <w:rPr>
          <w:rFonts w:hint="default" w:ascii="Times New Roman" w:hAnsi="Times New Roman" w:cs="Times New Roman"/>
          <w:color w:val="000000" w:themeColor="text1"/>
          <w:highlight w:val="none"/>
          <w:lang w:eastAsia="zh-CN"/>
          <w14:textFill>
            <w14:solidFill>
              <w14:schemeClr w14:val="tx1"/>
            </w14:solidFill>
          </w14:textFill>
        </w:rPr>
        <w:t>储层改造工程（</w:t>
      </w:r>
      <w:r>
        <w:rPr>
          <w:rFonts w:hint="default" w:ascii="Times New Roman" w:hAnsi="Times New Roman" w:cs="Times New Roman"/>
          <w:color w:val="000000" w:themeColor="text1"/>
          <w:highlight w:val="none"/>
          <w:lang w:val="en-US" w:eastAsia="zh-CN"/>
          <w14:textFill>
            <w14:solidFill>
              <w14:schemeClr w14:val="tx1"/>
            </w14:solidFill>
          </w14:textFill>
        </w:rPr>
        <w:t>含完井测试）</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油气</w:t>
      </w:r>
      <w:r>
        <w:rPr>
          <w:rFonts w:hint="default" w:ascii="Times New Roman" w:hAnsi="Times New Roman" w:cs="Times New Roman"/>
          <w:color w:val="000000" w:themeColor="text1"/>
          <w:highlight w:val="none"/>
          <w14:textFill>
            <w14:solidFill>
              <w14:schemeClr w14:val="tx1"/>
            </w14:solidFill>
          </w14:textFill>
        </w:rPr>
        <w:t>集输工程（</w:t>
      </w:r>
      <w:r>
        <w:rPr>
          <w:rFonts w:hint="default" w:ascii="Times New Roman" w:hAnsi="Times New Roman" w:cs="Times New Roman"/>
          <w:color w:val="000000" w:themeColor="text1"/>
          <w:highlight w:val="none"/>
          <w:lang w:val="en-US" w:eastAsia="zh-CN"/>
          <w14:textFill>
            <w14:solidFill>
              <w14:schemeClr w14:val="tx1"/>
            </w14:solidFill>
          </w14:textFill>
        </w:rPr>
        <w:t>地面集输设施的建设</w:t>
      </w:r>
      <w:r>
        <w:rPr>
          <w:rFonts w:hint="default" w:ascii="Times New Roman" w:hAnsi="Times New Roman" w:cs="Times New Roman"/>
          <w:color w:val="000000" w:themeColor="text1"/>
          <w:highlight w:val="none"/>
          <w14:textFill>
            <w14:solidFill>
              <w14:schemeClr w14:val="tx1"/>
            </w14:solidFill>
          </w14:textFill>
        </w:rPr>
        <w:t>），总的施工期工艺流程如</w:t>
      </w: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REF _Ref142594245 \h  \* MERGEFORMAT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default" w:ascii="Times New Roman" w:hAnsi="Times New Roman" w:cs="Times New Roman"/>
          <w:color w:val="000000" w:themeColor="text1"/>
          <w:kern w:val="0"/>
          <w:szCs w:val="24"/>
          <w:highlight w:val="none"/>
          <w14:textFill>
            <w14:solidFill>
              <w14:schemeClr w14:val="tx1"/>
            </w14:solidFill>
          </w14:textFill>
        </w:rPr>
        <w:t>图3.3</w:t>
      </w:r>
      <w:r>
        <w:rPr>
          <w:rFonts w:hint="default" w:ascii="Times New Roman" w:hAnsi="Times New Roman" w:cs="Times New Roman"/>
          <w:color w:val="000000" w:themeColor="text1"/>
          <w:kern w:val="0"/>
          <w:szCs w:val="24"/>
          <w:highlight w:val="none"/>
          <w14:textFill>
            <w14:solidFill>
              <w14:schemeClr w14:val="tx1"/>
            </w14:solidFill>
          </w14:textFill>
        </w:rPr>
        <w:noBreakHyphen/>
      </w:r>
      <w:r>
        <w:rPr>
          <w:rFonts w:hint="default" w:ascii="Times New Roman" w:hAnsi="Times New Roman" w:cs="Times New Roman"/>
          <w:color w:val="000000" w:themeColor="text1"/>
          <w:kern w:val="0"/>
          <w:szCs w:val="24"/>
          <w:highlight w:val="none"/>
          <w14:textFill>
            <w14:solidFill>
              <w14:schemeClr w14:val="tx1"/>
            </w14:solidFill>
          </w14:textFill>
        </w:rPr>
        <w:t>2</w:t>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t>。</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9"/>
          <w:highlight w:val="none"/>
          <w14:textFill>
            <w14:solidFill>
              <w14:schemeClr w14:val="tx1"/>
            </w14:solidFill>
          </w14:textFill>
        </w:rPr>
        <mc:AlternateContent>
          <mc:Choice Requires="wps">
            <w:drawing>
              <wp:anchor distT="0" distB="0" distL="114300" distR="114300" simplePos="0" relativeHeight="251725824" behindDoc="0" locked="0" layoutInCell="1" allowOverlap="1">
                <wp:simplePos x="0" y="0"/>
                <wp:positionH relativeFrom="column">
                  <wp:posOffset>3468370</wp:posOffset>
                </wp:positionH>
                <wp:positionV relativeFrom="paragraph">
                  <wp:posOffset>70485</wp:posOffset>
                </wp:positionV>
                <wp:extent cx="697865" cy="227330"/>
                <wp:effectExtent l="4445" t="4445" r="8890" b="9525"/>
                <wp:wrapNone/>
                <wp:docPr id="6" name="文本框 6"/>
                <wp:cNvGraphicFramePr/>
                <a:graphic xmlns:a="http://schemas.openxmlformats.org/drawingml/2006/main">
                  <a:graphicData uri="http://schemas.microsoft.com/office/word/2010/wordprocessingShape">
                    <wps:wsp>
                      <wps:cNvSpPr txBox="1"/>
                      <wps:spPr>
                        <a:xfrm>
                          <a:off x="0" y="0"/>
                          <a:ext cx="697865" cy="227330"/>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完井测试</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73.1pt;margin-top:5.55pt;height:17.9pt;width:54.95pt;z-index:251725824;mso-width-relative:page;mso-height-relative:page;" fillcolor="#FFFFFF" filled="t" stroked="t" coordsize="21600,21600" o:gfxdata="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u4dw02AAAAAkBAAAPAAAAAAAAAAEAIAAAACIAAABkcnMvZG93bnJldi54bWxQ&#10;SwECFAAUAAAACACHTuJAQppLhmkCAADaBAAADgAAAAAAAAABACAAAAAnAQAAZHJzL2Uyb0RvYy54&#10;bWxQSwUGAAAAAAYABgBZAQAAAgY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完井测试</w:t>
                      </w:r>
                    </w:p>
                  </w:txbxContent>
                </v:textbox>
              </v:shape>
            </w:pict>
          </mc:Fallback>
        </mc:AlternateContent>
      </w:r>
      <w:r>
        <w:rPr>
          <w:rFonts w:hint="default" w:ascii="Times New Roman" w:hAnsi="Times New Roman" w:cs="Times New Roman"/>
          <w:color w:val="000000" w:themeColor="text1"/>
          <w:sz w:val="29"/>
          <w:highlight w:val="none"/>
          <w14:textFill>
            <w14:solidFill>
              <w14:schemeClr w14:val="tx1"/>
            </w14:solidFill>
          </w14:textFill>
        </w:rPr>
        <mc:AlternateContent>
          <mc:Choice Requires="wps">
            <w:drawing>
              <wp:anchor distT="0" distB="0" distL="114300" distR="114300" simplePos="0" relativeHeight="251726848" behindDoc="0" locked="0" layoutInCell="1" allowOverlap="1">
                <wp:simplePos x="0" y="0"/>
                <wp:positionH relativeFrom="column">
                  <wp:posOffset>4427220</wp:posOffset>
                </wp:positionH>
                <wp:positionV relativeFrom="paragraph">
                  <wp:posOffset>77470</wp:posOffset>
                </wp:positionV>
                <wp:extent cx="769620" cy="226060"/>
                <wp:effectExtent l="4445" t="4445" r="13335" b="10795"/>
                <wp:wrapNone/>
                <wp:docPr id="13" name="文本框 13"/>
                <wp:cNvGraphicFramePr/>
                <a:graphic xmlns:a="http://schemas.openxmlformats.org/drawingml/2006/main">
                  <a:graphicData uri="http://schemas.microsoft.com/office/word/2010/wordprocessingShape">
                    <wps:wsp>
                      <wps:cNvSpPr txBox="1"/>
                      <wps:spPr>
                        <a:xfrm>
                          <a:off x="0" y="0"/>
                          <a:ext cx="769620" cy="226060"/>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油气集输工程</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48.6pt;margin-top:6.1pt;height:17.8pt;width:60.6pt;z-index:251726848;mso-width-relative:page;mso-height-relative:page;" fillcolor="#FFFFFF" filled="t" stroked="t" coordsize="21600,21600" o:gfxdata="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S6hxUtgAAAAJAQAADwAAAAAAAAABACAAAAAiAAAAZHJzL2Rvd25yZXYueG1sUEsB&#10;AhQAFAAAAAgAh07iQJU3dk5nAgAA3AQAAA4AAAAAAAAAAQAgAAAAJwEAAGRycy9lMm9Eb2MueG1s&#10;UEsFBgAAAAAGAAYAWQEAAAAGA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油气集输工程</w:t>
                      </w:r>
                    </w:p>
                  </w:txbxContent>
                </v:textbox>
              </v:shape>
            </w:pict>
          </mc:Fallback>
        </mc:AlternateContent>
      </w:r>
      <w:r>
        <w:rPr>
          <w:rFonts w:hint="default" w:ascii="Times New Roman" w:hAnsi="Times New Roman" w:cs="Times New Roman"/>
          <w:color w:val="000000" w:themeColor="text1"/>
          <w:sz w:val="29"/>
          <w:highlight w:val="none"/>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2381885</wp:posOffset>
                </wp:positionH>
                <wp:positionV relativeFrom="paragraph">
                  <wp:posOffset>70485</wp:posOffset>
                </wp:positionV>
                <wp:extent cx="768985" cy="233045"/>
                <wp:effectExtent l="4445" t="4445" r="13970" b="16510"/>
                <wp:wrapNone/>
                <wp:docPr id="5" name="文本框 5"/>
                <wp:cNvGraphicFramePr/>
                <a:graphic xmlns:a="http://schemas.openxmlformats.org/drawingml/2006/main">
                  <a:graphicData uri="http://schemas.microsoft.com/office/word/2010/wordprocessingShape">
                    <wps:wsp>
                      <wps:cNvSpPr txBox="1"/>
                      <wps:spPr>
                        <a:xfrm>
                          <a:off x="0" y="0"/>
                          <a:ext cx="768985" cy="233045"/>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default" w:eastAsia="宋体"/>
                                <w:sz w:val="15"/>
                                <w:szCs w:val="15"/>
                                <w:lang w:val="en-US" w:eastAsia="zh-CN"/>
                              </w:rPr>
                            </w:pPr>
                            <w:r>
                              <w:rPr>
                                <w:rFonts w:hint="eastAsia"/>
                                <w:sz w:val="15"/>
                                <w:szCs w:val="15"/>
                                <w:lang w:val="en-US" w:eastAsia="zh-CN"/>
                              </w:rPr>
                              <w:t>储层改造工程</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7.55pt;margin-top:5.55pt;height:18.35pt;width:60.55pt;z-index:251724800;mso-width-relative:page;mso-height-relative:page;" fillcolor="#FFFFFF" filled="t" stroked="t" coordsize="21600,21600" o:gfxdata="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JsTDZ2QAAAAkBAAAPAAAAAAAAAAEAIAAAACIAAABkcnMvZG93bnJldi54bWxQ&#10;SwECFAAUAAAACACHTuJAiZrs7GgCAADaBAAADgAAAAAAAAABACAAAAAoAQAAZHJzL2Uyb0RvYy54&#10;bWxQSwUGAAAAAAYABgBZAQAAAgY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both"/>
                        <w:textAlignment w:val="auto"/>
                        <w:rPr>
                          <w:rFonts w:hint="default" w:eastAsia="宋体"/>
                          <w:sz w:val="15"/>
                          <w:szCs w:val="15"/>
                          <w:lang w:val="en-US" w:eastAsia="zh-CN"/>
                        </w:rPr>
                      </w:pPr>
                      <w:r>
                        <w:rPr>
                          <w:rFonts w:hint="eastAsia"/>
                          <w:sz w:val="15"/>
                          <w:szCs w:val="15"/>
                          <w:lang w:val="en-US" w:eastAsia="zh-CN"/>
                        </w:rPr>
                        <w:t>储层改造工程</w:t>
                      </w:r>
                    </w:p>
                  </w:txbxContent>
                </v:textbox>
              </v:shape>
            </w:pict>
          </mc:Fallback>
        </mc:AlternateContent>
      </w:r>
      <w:r>
        <w:rPr>
          <w:rFonts w:hint="default" w:ascii="Times New Roman" w:hAnsi="Times New Roman" w:cs="Times New Roman"/>
          <w:color w:val="000000" w:themeColor="text1"/>
          <w:sz w:val="29"/>
          <w:highlight w:val="none"/>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1287780</wp:posOffset>
                </wp:positionH>
                <wp:positionV relativeFrom="paragraph">
                  <wp:posOffset>77470</wp:posOffset>
                </wp:positionV>
                <wp:extent cx="734060" cy="226060"/>
                <wp:effectExtent l="4445" t="4445" r="10795" b="10795"/>
                <wp:wrapNone/>
                <wp:docPr id="2" name="文本框 2"/>
                <wp:cNvGraphicFramePr/>
                <a:graphic xmlns:a="http://schemas.openxmlformats.org/drawingml/2006/main">
                  <a:graphicData uri="http://schemas.microsoft.com/office/word/2010/wordprocessingShape">
                    <wps:wsp>
                      <wps:cNvSpPr txBox="1"/>
                      <wps:spPr>
                        <a:xfrm>
                          <a:off x="0" y="0"/>
                          <a:ext cx="734060" cy="226060"/>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钻井工程</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01.4pt;margin-top:6.1pt;height:17.8pt;width:57.8pt;z-index:251723776;mso-width-relative:page;mso-height-relative:page;" fillcolor="#FFFFFF" filled="t" stroked="t" coordsize="21600,21600" o:gfxdata="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kxWn52AAAAAkBAAAPAAAAAAAAAAEAIAAAACIAAABkcnMvZG93bnJldi54bWxQSwECFAAU&#10;AAAACACHTuJAz6mB7WMCAADaBAAADgAAAAAAAAABACAAAAAnAQAAZHJzL2Uyb0RvYy54bWxQSwUG&#10;AAAAAAYABgBZAQAA/AU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钻井工程</w:t>
                      </w:r>
                    </w:p>
                  </w:txbxContent>
                </v:textbox>
              </v:shape>
            </w:pict>
          </mc:Fallback>
        </mc:AlternateContent>
      </w:r>
      <w:r>
        <w:rPr>
          <w:rFonts w:hint="default" w:ascii="Times New Roman" w:hAnsi="Times New Roman" w:cs="Times New Roman"/>
          <w:color w:val="000000" w:themeColor="text1"/>
          <w:sz w:val="29"/>
          <w:highlight w:val="none"/>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144780</wp:posOffset>
                </wp:positionH>
                <wp:positionV relativeFrom="paragraph">
                  <wp:posOffset>70485</wp:posOffset>
                </wp:positionV>
                <wp:extent cx="671195" cy="240030"/>
                <wp:effectExtent l="4445" t="5080" r="10160" b="8890"/>
                <wp:wrapNone/>
                <wp:docPr id="1" name="文本框 1"/>
                <wp:cNvGraphicFramePr/>
                <a:graphic xmlns:a="http://schemas.openxmlformats.org/drawingml/2006/main">
                  <a:graphicData uri="http://schemas.microsoft.com/office/word/2010/wordprocessingShape">
                    <wps:wsp>
                      <wps:cNvSpPr txBox="1"/>
                      <wps:spPr>
                        <a:xfrm>
                          <a:off x="1287780" y="5339715"/>
                          <a:ext cx="671195" cy="240030"/>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钻前工程</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4pt;margin-top:5.55pt;height:18.9pt;width:52.85pt;z-index:251722752;mso-width-relative:page;mso-height-relative:page;" fillcolor="#FFFFFF" filled="t" stroked="t" coordsize="21600,21600" o:gfxdata="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cCINcAAAAIAQAADwAAAAAAAAABACAAAAAiAAAAZHJzL2Rv&#10;d25yZXYueG1sUEsBAhQAFAAAAAgAh07iQLspbEx0AgAA5gQAAA4AAAAAAAAAAQAgAAAAJgEAAGRy&#10;cy9lMm9Eb2MueG1sUEsFBgAAAAAGAAYAWQEAAAwGA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钻前工程</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039995" cy="370205"/>
            <wp:effectExtent l="0" t="0" r="0" b="0"/>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图片 1619"/>
                    <pic:cNvPicPr>
                      <a:picLocks noChangeAspect="1"/>
                    </pic:cNvPicPr>
                  </pic:nvPicPr>
                  <pic:blipFill>
                    <a:blip r:embed="rId31"/>
                    <a:stretch>
                      <a:fillRect/>
                    </a:stretch>
                  </pic:blipFill>
                  <pic:spPr>
                    <a:xfrm>
                      <a:off x="0" y="0"/>
                      <a:ext cx="5040000" cy="370570"/>
                    </a:xfrm>
                    <a:prstGeom prst="rect">
                      <a:avLst/>
                    </a:prstGeom>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126" w:name="_Ref142594245"/>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bookmarkEnd w:id="126"/>
      <w:r>
        <w:rPr>
          <w:rFonts w:hint="default" w:ascii="Times New Roman" w:hAnsi="Times New Roman" w:cs="Times New Roman"/>
          <w:color w:val="000000" w:themeColor="text1"/>
          <w:highlight w:val="none"/>
          <w14:textFill>
            <w14:solidFill>
              <w14:schemeClr w14:val="tx1"/>
            </w14:solidFill>
          </w14:textFill>
        </w:rPr>
        <w:t xml:space="preserve"> 施工工艺流程示意图</w:t>
      </w:r>
    </w:p>
    <w:p>
      <w:pPr>
        <w:pStyle w:val="5"/>
        <w:pageBreakBefore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钻前工程</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（1）钻前工程工艺流程简述</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依托P106-2井已建井场进行建设，利旧方井1口、井架基础1座，修复利旧原井场放喷池、清水池，新建泥浆罐、泥浆不落地系统、循环罐、储备罐、油罐、发电机房等设备基础等；此外，</w:t>
      </w:r>
      <w:r>
        <w:rPr>
          <w:rFonts w:hint="default" w:ascii="Times New Roman" w:hAnsi="Times New Roman" w:cs="Times New Roman"/>
          <w:bCs/>
          <w:color w:val="000000" w:themeColor="text1"/>
          <w:highlight w:val="none"/>
          <w14:textFill>
            <w14:solidFill>
              <w14:schemeClr w14:val="tx1"/>
            </w14:solidFill>
          </w14:textFill>
        </w:rPr>
        <w:t>钻井设备的搬运及安装、井口设备准备、清污分流系统以及活动房布置等，主要为土建施工，由专业施工单位组织当地民工作业。</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钻前工程工艺流程及产污环节如</w:t>
      </w:r>
      <w:r>
        <w:rPr>
          <w:rFonts w:hint="default" w:ascii="Times New Roman" w:hAnsi="Times New Roman" w:cs="Times New Roman"/>
          <w:color w:val="000000" w:themeColor="text1"/>
          <w:highlight w:val="none"/>
          <w:lang w:eastAsia="zh-CN"/>
          <w14:textFill>
            <w14:solidFill>
              <w14:schemeClr w14:val="tx1"/>
            </w14:solidFill>
          </w14:textFill>
        </w:rPr>
        <w:fldChar w:fldCharType="begin"/>
      </w:r>
      <w:r>
        <w:rPr>
          <w:rFonts w:hint="default" w:ascii="Times New Roman" w:hAnsi="Times New Roman" w:cs="Times New Roman"/>
          <w:color w:val="000000" w:themeColor="text1"/>
          <w:highlight w:val="none"/>
          <w:lang w:eastAsia="zh-CN"/>
          <w14:textFill>
            <w14:solidFill>
              <w14:schemeClr w14:val="tx1"/>
            </w14:solidFill>
          </w14:textFill>
        </w:rPr>
        <w:instrText xml:space="preserve"> REF _Ref142594235 \h  \* MERGEFORMAT </w:instrText>
      </w:r>
      <w:r>
        <w:rPr>
          <w:rFonts w:hint="default" w:ascii="Times New Roman" w:hAnsi="Times New Roman" w:cs="Times New Roman"/>
          <w:color w:val="000000" w:themeColor="text1"/>
          <w:highlight w:val="none"/>
          <w:lang w:eastAsia="zh-CN"/>
          <w14:textFill>
            <w14:solidFill>
              <w14:schemeClr w14:val="tx1"/>
            </w14:solidFill>
          </w14:textFill>
        </w:rPr>
        <w:fldChar w:fldCharType="separate"/>
      </w:r>
      <w:r>
        <w:rPr>
          <w:rFonts w:hint="default" w:ascii="Times New Roman" w:hAnsi="Times New Roman" w:cs="Times New Roman"/>
          <w:color w:val="000000" w:themeColor="text1"/>
          <w:highlight w:val="none"/>
          <w:lang w:eastAsia="zh-CN"/>
          <w14:textFill>
            <w14:solidFill>
              <w14:schemeClr w14:val="tx1"/>
            </w14:solidFill>
          </w14:textFill>
        </w:rPr>
        <w:t>图3.3</w:t>
      </w:r>
      <w:r>
        <w:rPr>
          <w:rFonts w:hint="default" w:ascii="Times New Roman" w:hAnsi="Times New Roman" w:cs="Times New Roman"/>
          <w:color w:val="000000" w:themeColor="text1"/>
          <w:highlight w:val="none"/>
          <w:lang w:eastAsia="zh-CN"/>
          <w14:textFill>
            <w14:solidFill>
              <w14:schemeClr w14:val="tx1"/>
            </w14:solidFill>
          </w14:textFill>
        </w:rPr>
        <w:noBreakHyphen/>
      </w:r>
      <w:r>
        <w:rPr>
          <w:rFonts w:hint="default" w:ascii="Times New Roman" w:hAnsi="Times New Roman" w:cs="Times New Roman"/>
          <w:color w:val="000000" w:themeColor="text1"/>
          <w:highlight w:val="none"/>
          <w:lang w:eastAsia="zh-CN"/>
          <w14:textFill>
            <w14:solidFill>
              <w14:schemeClr w14:val="tx1"/>
            </w14:solidFill>
          </w14:textFill>
        </w:rPr>
        <w:t>3</w:t>
      </w:r>
      <w:r>
        <w:rPr>
          <w:rFonts w:hint="default" w:ascii="Times New Roman" w:hAnsi="Times New Roman" w:cs="Times New Roman"/>
          <w:color w:val="000000" w:themeColor="text1"/>
          <w:highlight w:val="none"/>
          <w:lang w:eastAsia="zh-CN"/>
          <w14:textFill>
            <w14:solidFill>
              <w14:schemeClr w14:val="tx1"/>
            </w14:solidFill>
          </w14:textFill>
        </w:rPr>
        <w:fldChar w:fldCharType="end"/>
      </w:r>
      <w:r>
        <w:rPr>
          <w:rFonts w:hint="default" w:ascii="Times New Roman" w:hAnsi="Times New Roman" w:cs="Times New Roman"/>
          <w:color w:val="000000" w:themeColor="text1"/>
          <w:highlight w:val="none"/>
          <w:lang w:eastAsia="zh-CN"/>
          <w14:textFill>
            <w14:solidFill>
              <w14:schemeClr w14:val="tx1"/>
            </w14:solidFill>
          </w14:textFill>
        </w:rPr>
        <w:t>所示。</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4855210" cy="1720850"/>
            <wp:effectExtent l="0" t="0" r="2540" b="0"/>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1622"/>
                    <pic:cNvPicPr>
                      <a:picLocks noChangeAspect="1"/>
                    </pic:cNvPicPr>
                  </pic:nvPicPr>
                  <pic:blipFill>
                    <a:blip r:embed="rId32"/>
                    <a:stretch>
                      <a:fillRect/>
                    </a:stretch>
                  </pic:blipFill>
                  <pic:spPr>
                    <a:xfrm>
                      <a:off x="0" y="0"/>
                      <a:ext cx="4897509" cy="1736229"/>
                    </a:xfrm>
                    <a:prstGeom prst="rect">
                      <a:avLst/>
                    </a:prstGeom>
                  </pic:spPr>
                </pic:pic>
              </a:graphicData>
            </a:graphic>
          </wp:inline>
        </w:drawing>
      </w:r>
    </w:p>
    <w:p>
      <w:pPr>
        <w:pStyle w:val="163"/>
        <w:rPr>
          <w:rFonts w:hint="default" w:ascii="Times New Roman" w:hAnsi="Times New Roman" w:cs="Times New Roman"/>
          <w:color w:val="000000" w:themeColor="text1"/>
          <w:szCs w:val="21"/>
          <w:highlight w:val="none"/>
          <w14:textFill>
            <w14:solidFill>
              <w14:schemeClr w14:val="tx1"/>
            </w14:solidFill>
          </w14:textFill>
        </w:rPr>
      </w:pPr>
      <w:bookmarkStart w:id="127" w:name="_Ref142594235"/>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bookmarkEnd w:id="127"/>
      <w:r>
        <w:rPr>
          <w:rFonts w:hint="default" w:ascii="Times New Roman" w:hAnsi="Times New Roman" w:cs="Times New Roman"/>
          <w:color w:val="000000" w:themeColor="text1"/>
          <w:highlight w:val="none"/>
          <w14:textFill>
            <w14:solidFill>
              <w14:schemeClr w14:val="tx1"/>
            </w14:solidFill>
          </w14:textFill>
        </w:rPr>
        <w:t xml:space="preserve"> 钻前工程施工过程及主要环境影响示意图</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1）道路工程</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进场道路依托井场现有进场道路，道路路基宽度4.5m，路面宽度4.0m，长度约160m，采用20cm厚6%水泥稳定碎石路面+20cm级配碎石+20cmC30混凝土。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2）井场平整及硬化</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①井场平整：本项目利旧已建设井场施工，井场已完成场地平整。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②硬化区域：除井架基础、方井、厕所不硬化外，其余地方已全部硬化（本项目方井等均为硬化防渗状态），采用C20混凝土硬化，厚度0.2m；</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③场基结构基层为压实厚度400mm毛石，面层为压实厚度100mm碎石（已硬化）；</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④泥浆车道（长35m×宽3.5m）在基层上浇注200mm厚C20混凝土，泥浆材料台80m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在基层上浇筑C15混凝土厚200mm（已建设），见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_Ref142597415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图3.3</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19700" cy="1530350"/>
            <wp:effectExtent l="0" t="0" r="0" b="0"/>
            <wp:docPr id="141" name="图片 141" descr="井场硬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井场硬化"/>
                    <pic:cNvPicPr>
                      <a:picLocks noChangeAspect="1" noChangeArrowheads="1"/>
                    </pic:cNvPicPr>
                  </pic:nvPicPr>
                  <pic:blipFill>
                    <a:blip r:embed="rId33">
                      <a:extLst>
                        <a:ext uri="{28A0092B-C50C-407E-A947-70E740481C1C}">
                          <a14:useLocalDpi xmlns:a14="http://schemas.microsoft.com/office/drawing/2010/main" val="0"/>
                        </a:ext>
                      </a:extLst>
                    </a:blip>
                    <a:srcRect l="-1540" t="77849" r="2420" b="1460"/>
                    <a:stretch>
                      <a:fillRect/>
                    </a:stretch>
                  </pic:blipFill>
                  <pic:spPr>
                    <a:xfrm>
                      <a:off x="0" y="0"/>
                      <a:ext cx="5220000" cy="1530603"/>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128" w:name="_Ref142597415"/>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bookmarkEnd w:id="128"/>
      <w:r>
        <w:rPr>
          <w:rFonts w:hint="default" w:ascii="Times New Roman" w:hAnsi="Times New Roman" w:cs="Times New Roman"/>
          <w:color w:val="000000" w:themeColor="text1"/>
          <w:highlight w:val="none"/>
          <w14:textFill>
            <w14:solidFill>
              <w14:schemeClr w14:val="tx1"/>
            </w14:solidFill>
          </w14:textFill>
        </w:rPr>
        <w:t xml:space="preserve"> 井场场基结构图</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3）井场建设</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项目井场利旧原井场建设，仅建设少量设备基础，井场基础采用C20混凝土基础，基础厚度1200mm，基础置于天然地基持力层上，地基承载力不小于0.15MPa，基础下先浇筑C15垫层厚度100mm，其设计结构图如下。</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5" o:spt="75" type="#_x0000_t75" style="height:107.15pt;width:194.25pt;" o:ole="t" filled="f" coordsize="21600,21600">
            <v:path/>
            <v:fill on="f" focussize="0,0"/>
            <v:stroke/>
            <v:imagedata r:id="rId35" cropleft="32204f" croptop="45407f" cropright="15532f" cropbottom="5124f" o:title=""/>
            <o:lock v:ext="edit" aspectratio="t"/>
            <w10:wrap type="none"/>
            <w10:anchorlock/>
          </v:shape>
          <o:OLEObject Type="Embed" ProgID="AutoCAD.Drawing.18" ShapeID="_x0000_i1025" DrawAspect="Content" ObjectID="_1468075725" r:id="rId34">
            <o:LockedField>false</o:LockedField>
          </o:OLEObject>
        </w:objec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614930" cy="133477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36" cstate="print">
                      <a:extLst>
                        <a:ext uri="{28A0092B-C50C-407E-A947-70E740481C1C}">
                          <a14:useLocalDpi xmlns:a14="http://schemas.microsoft.com/office/drawing/2010/main" val="0"/>
                        </a:ext>
                      </a:extLst>
                    </a:blip>
                    <a:srcRect l="48778" t="26443" r="20851" b="28958"/>
                    <a:stretch>
                      <a:fillRect/>
                    </a:stretch>
                  </pic:blipFill>
                  <pic:spPr>
                    <a:xfrm>
                      <a:off x="0" y="0"/>
                      <a:ext cx="2639776" cy="1347817"/>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井场基础设计结构图</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4）清污分流</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可利用原P106-2井井场既有四周外环沟，便于排除场地内雨水等清水。为满足钻井期间污水不渗入井场，井场内泥浆循环系统区域和清洁生产操作平台区域设置排污沟，离污水罐或放喷池较近区域设置净空0.5m×0.5m×0.5m的集污坑（共计4个），若场内雨水被污染流入外环沟，则需封闭沟渠由作业队伍从集水坑抽汲至废水罐、废水池或放喷池，集污坑体宽度12cm，底板浇筑10cmC15混凝土。井场排水沟结构图见下图。井场排水沟结构图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_Ref142597404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图3.3</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93"/>
        <w:keepNex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3244215</wp:posOffset>
                </wp:positionH>
                <wp:positionV relativeFrom="paragraph">
                  <wp:posOffset>1135380</wp:posOffset>
                </wp:positionV>
                <wp:extent cx="250825" cy="125095"/>
                <wp:effectExtent l="0" t="0" r="0" b="8255"/>
                <wp:wrapNone/>
                <wp:docPr id="21" name="文本框 21"/>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ln>
                      </wps:spPr>
                      <wps:txbx>
                        <w:txbxContent>
                          <w:p>
                            <w:pPr>
                              <w:ind w:firstLine="360"/>
                              <w:rPr>
                                <w:sz w:val="18"/>
                                <w:szCs w:val="18"/>
                              </w:rPr>
                            </w:pPr>
                            <w:r>
                              <w:rPr>
                                <w:sz w:val="18"/>
                                <w:szCs w:val="18"/>
                              </w:rPr>
                              <w:t>350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55.45pt;margin-top:89.4pt;height:9.85pt;width:19.75pt;z-index:251663360;mso-width-relative:page;mso-height-relative:page;" fillcolor="#FFFFFF" filled="t" stroked="f" coordsize="21600,21600" o:gfxdata="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Ey2x3ZAAAACwEAAA8AAAAAAAAAAQAgAAAAIgAAAGRycy9kb3ducmV2LnhtbFBLAQIU&#10;ABQAAAAIAIdO4kCJ96eJZAIAALEEAAAOAAAAAAAAAAEAIAAAACgBAABkcnMvZTJvRG9jLnhtbFBL&#10;BQYAAAAABgAGAFkBAAD+BQAAAAA=&#10;">
                <v:fill on="t" focussize="0,0"/>
                <v:stroke on="f" miterlimit="8" joinstyle="miter"/>
                <v:imagedata o:title=""/>
                <o:lock v:ext="edit" aspectratio="f"/>
                <v:textbox inset="0mm,0mm,0mm,0mm">
                  <w:txbxContent>
                    <w:p>
                      <w:pPr>
                        <w:ind w:firstLine="360"/>
                        <w:rPr>
                          <w:sz w:val="18"/>
                          <w:szCs w:val="18"/>
                        </w:rPr>
                      </w:pPr>
                      <w:r>
                        <w:rPr>
                          <w:sz w:val="18"/>
                          <w:szCs w:val="18"/>
                        </w:rPr>
                        <w:t>350</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1423035</wp:posOffset>
                </wp:positionH>
                <wp:positionV relativeFrom="paragraph">
                  <wp:posOffset>1157605</wp:posOffset>
                </wp:positionV>
                <wp:extent cx="250825" cy="125095"/>
                <wp:effectExtent l="0" t="0" r="0" b="8255"/>
                <wp:wrapNone/>
                <wp:docPr id="20" name="文本框 20"/>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ln>
                      </wps:spPr>
                      <wps:txbx>
                        <w:txbxContent>
                          <w:p>
                            <w:pPr>
                              <w:ind w:firstLine="300"/>
                              <w:rPr>
                                <w:sz w:val="15"/>
                                <w:szCs w:val="15"/>
                              </w:rPr>
                            </w:pPr>
                            <w:r>
                              <w:rPr>
                                <w:sz w:val="15"/>
                                <w:szCs w:val="15"/>
                              </w:rPr>
                              <w:t>350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2.05pt;margin-top:91.15pt;height:9.85pt;width:19.75pt;z-index:251662336;mso-width-relative:page;mso-height-relative:page;" fillcolor="#FFFFFF" filled="t" stroked="f" coordsize="21600,21600" o:gfxdata="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O8xjdgAAAALAQAADwAAAAAAAAABACAAAAAiAAAAZHJzL2Rvd25yZXYueG1sUEsBAhQA&#10;FAAAAAgAh07iQGbKdX1kAgAAsQQAAA4AAAAAAAAAAQAgAAAAJwEAAGRycy9lMm9Eb2MueG1sUEsF&#10;BgAAAAAGAAYAWQEAAP0FAAAAAA==&#10;">
                <v:fill on="t" focussize="0,0"/>
                <v:stroke on="f" miterlimit="8" joinstyle="miter"/>
                <v:imagedata o:title=""/>
                <o:lock v:ext="edit" aspectratio="f"/>
                <v:textbox inset="0mm,0mm,0mm,0mm">
                  <w:txbxContent>
                    <w:p>
                      <w:pPr>
                        <w:ind w:firstLine="300"/>
                        <w:rPr>
                          <w:sz w:val="15"/>
                          <w:szCs w:val="15"/>
                        </w:rPr>
                      </w:pPr>
                      <w:r>
                        <w:rPr>
                          <w:sz w:val="15"/>
                          <w:szCs w:val="15"/>
                        </w:rPr>
                        <w:t>350</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007235" cy="167449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37">
                      <a:extLst>
                        <a:ext uri="{28A0092B-C50C-407E-A947-70E740481C1C}">
                          <a14:useLocalDpi xmlns:a14="http://schemas.microsoft.com/office/drawing/2010/main" val="0"/>
                        </a:ext>
                      </a:extLst>
                    </a:blip>
                    <a:srcRect t="22746" r="60754" b="-15460"/>
                    <a:stretch>
                      <a:fillRect/>
                    </a:stretch>
                  </pic:blipFill>
                  <pic:spPr>
                    <a:xfrm>
                      <a:off x="0" y="0"/>
                      <a:ext cx="2007235" cy="167449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731135" cy="1674495"/>
            <wp:effectExtent l="0" t="0" r="0" b="19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38" cstate="print">
                      <a:extLst>
                        <a:ext uri="{28A0092B-C50C-407E-A947-70E740481C1C}">
                          <a14:useLocalDpi xmlns:a14="http://schemas.microsoft.com/office/drawing/2010/main" val="0"/>
                        </a:ext>
                      </a:extLst>
                    </a:blip>
                    <a:srcRect l="31598" t="43660" r="46407" b="20622"/>
                    <a:stretch>
                      <a:fillRect/>
                    </a:stretch>
                  </pic:blipFill>
                  <pic:spPr>
                    <a:xfrm>
                      <a:off x="0" y="0"/>
                      <a:ext cx="2731135" cy="1674495"/>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129" w:name="_Ref142597404"/>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bookmarkEnd w:id="129"/>
      <w:r>
        <w:rPr>
          <w:rFonts w:hint="default" w:ascii="Times New Roman" w:hAnsi="Times New Roman" w:cs="Times New Roman"/>
          <w:color w:val="000000" w:themeColor="text1"/>
          <w:highlight w:val="none"/>
          <w14:textFill>
            <w14:solidFill>
              <w14:schemeClr w14:val="tx1"/>
            </w14:solidFill>
          </w14:textFill>
        </w:rPr>
        <w:t xml:space="preserve"> 井场排水沟结构图</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5）清洁生产操作平台区</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清洁生产操作平台区占地面积约310m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，采用</w:t>
      </w:r>
      <w:r>
        <w:rPr>
          <w:rFonts w:hint="default" w:ascii="Times New Roman" w:hAnsi="Times New Roman" w:cs="Times New Roman"/>
          <w:bCs/>
          <w:color w:val="000000" w:themeColor="text1"/>
          <w:highlight w:val="none"/>
          <w14:textFill>
            <w14:solidFill>
              <w14:schemeClr w14:val="tx1"/>
            </w14:solidFill>
          </w14:textFill>
        </w:rPr>
        <w:t>10cm厚C25钢筋混凝土垫层+30cmC25钢筋混凝土面层+2cm厚1：3水泥砂浆抹面+聚乙烯丙纶防渗层。</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设置40m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废水罐4个，20m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岩屑固化罐4个，3m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岩屑收集罐8个，化学品存放区1处。</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6）放喷池</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修复利旧放喷池2座，尺寸均为10m×20m×1.5m，容积均为300m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，用于测试放喷，池内重点防渗；用于测试放喷，池内重点防渗。主放</w:t>
      </w:r>
      <w:r>
        <w:rPr>
          <w:rFonts w:hint="default" w:ascii="Times New Roman" w:hAnsi="Times New Roman" w:cs="Times New Roman"/>
          <w:bCs/>
          <w:color w:val="000000" w:themeColor="text1"/>
          <w:szCs w:val="24"/>
          <w:highlight w:val="none"/>
          <w14:textFill>
            <w14:solidFill>
              <w14:schemeClr w14:val="tx1"/>
            </w14:solidFill>
          </w14:textFill>
        </w:rPr>
        <w:t>喷池位于井场外东北侧，距离井口约105m；副放喷池位于井场东南侧，距离井口约112m，</w:t>
      </w:r>
      <w:r>
        <w:rPr>
          <w:rFonts w:hint="default" w:ascii="Times New Roman" w:hAnsi="Times New Roman" w:cs="Times New Roman"/>
          <w:color w:val="000000" w:themeColor="text1"/>
          <w:szCs w:val="24"/>
          <w:highlight w:val="none"/>
          <w14:textFill>
            <w14:solidFill>
              <w14:schemeClr w14:val="tx1"/>
            </w14:solidFill>
          </w14:textFill>
        </w:rPr>
        <w:t>放喷</w:t>
      </w:r>
      <w:r>
        <w:rPr>
          <w:rFonts w:hint="default" w:ascii="Times New Roman" w:hAnsi="Times New Roman" w:cs="Times New Roman"/>
          <w:color w:val="000000" w:themeColor="text1"/>
          <w:highlight w:val="none"/>
          <w14:textFill>
            <w14:solidFill>
              <w14:schemeClr w14:val="tx1"/>
            </w14:solidFill>
          </w14:textFill>
        </w:rPr>
        <w:t>池配10m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集酸坑1座。放喷管使用双四通、二条放喷管线，放喷池具体结构图见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_Ref142597398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图3.3</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163"/>
        <w:keepNex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6" o:spt="75" type="#_x0000_t75" style="height:183.35pt;width:416.95pt;" o:ole="t" filled="f" coordsize="21600,21600">
            <v:path/>
            <v:fill on="f" focussize="0,0"/>
            <v:stroke/>
            <v:imagedata r:id="rId40" o:title=""/>
            <o:lock v:ext="edit" aspectratio="t"/>
            <w10:wrap type="none"/>
            <w10:anchorlock/>
          </v:shape>
          <o:OLEObject Type="Embed" ProgID="Equation.3" ShapeID="_x0000_i1026" DrawAspect="Content" ObjectID="_1468075726" r:id="rId39">
            <o:LockedField>false</o:LockedField>
          </o:OLEObject>
        </w:object>
      </w:r>
    </w:p>
    <w:p>
      <w:pPr>
        <w:pStyle w:val="163"/>
        <w:rPr>
          <w:rFonts w:hint="default" w:ascii="Times New Roman" w:hAnsi="Times New Roman" w:cs="Times New Roman"/>
          <w:color w:val="000000" w:themeColor="text1"/>
          <w:highlight w:val="none"/>
          <w14:textFill>
            <w14:solidFill>
              <w14:schemeClr w14:val="tx1"/>
            </w14:solidFill>
          </w14:textFill>
        </w:rPr>
      </w:pPr>
      <w:bookmarkStart w:id="130" w:name="_Ref142597398"/>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fldChar w:fldCharType="end"/>
      </w:r>
      <w:bookmarkEnd w:id="130"/>
      <w:r>
        <w:rPr>
          <w:rFonts w:hint="default" w:ascii="Times New Roman" w:hAnsi="Times New Roman" w:cs="Times New Roman"/>
          <w:color w:val="000000" w:themeColor="text1"/>
          <w:highlight w:val="none"/>
          <w14:textFill>
            <w14:solidFill>
              <w14:schemeClr w14:val="tx1"/>
            </w14:solidFill>
          </w14:textFill>
        </w:rPr>
        <w:t xml:space="preserve"> 井场放喷池结构图</w:t>
      </w:r>
    </w:p>
    <w:p>
      <w:pPr>
        <w:overflowPunct w:val="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7）分区防渗</w:t>
      </w:r>
    </w:p>
    <w:p>
      <w:pPr>
        <w:overflowPunct w:val="0"/>
        <w:ind w:firstLine="480"/>
        <w:rPr>
          <w:rFonts w:hint="default" w:ascii="Times New Roman" w:hAnsi="Times New Roman" w:cs="Times New Roman"/>
          <w:color w:val="000000" w:themeColor="text1"/>
          <w:highlight w:val="none"/>
          <w14:textFill>
            <w14:solidFill>
              <w14:schemeClr w14:val="tx1"/>
            </w14:solidFill>
          </w14:textFill>
        </w:rPr>
      </w:pPr>
      <w:bookmarkStart w:id="131" w:name="_Hlk56241817"/>
      <w:r>
        <w:rPr>
          <w:rFonts w:hint="default" w:ascii="Times New Roman" w:hAnsi="Times New Roman" w:cs="Times New Roman"/>
          <w:color w:val="000000" w:themeColor="text1"/>
          <w:highlight w:val="none"/>
          <w14:textFill>
            <w14:solidFill>
              <w14:schemeClr w14:val="tx1"/>
            </w14:solidFill>
          </w14:textFill>
        </w:rPr>
        <w:t>本项目井场内除放喷池、清水池外，主要存水和泥浆设备均为罐体，设置于防渗基础上，四周修建防渗沟，能有效防止废水、泥浆都撒漏进入外环境。</w:t>
      </w:r>
      <w:bookmarkEnd w:id="131"/>
      <w:r>
        <w:rPr>
          <w:rFonts w:hint="default" w:ascii="Times New Roman" w:hAnsi="Times New Roman" w:cs="Times New Roman"/>
          <w:color w:val="000000" w:themeColor="text1"/>
          <w:szCs w:val="24"/>
          <w:highlight w:val="none"/>
          <w14:textFill>
            <w14:solidFill>
              <w14:schemeClr w14:val="tx1"/>
            </w14:solidFill>
          </w14:textFill>
        </w:rPr>
        <w:t>场地内方井、泥浆循环系统区域、泥浆不落地系统区域（含油桶堆放区）、泥浆储备罐区、循环罐区、柴油罐区、放喷池、埋地管道等采取重点防渗措施；井架基础、发电机房、钻井固废暂存区、气源房、材料棚、雨、污分流区域以及厕所等区域采取一般防渗措施；其他区域等采取简单防渗措施。</w:t>
      </w:r>
    </w:p>
    <w:p>
      <w:pPr>
        <w:overflowPunct w:val="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8）设备设施的搬运及安装</w:t>
      </w:r>
    </w:p>
    <w:p>
      <w:pPr>
        <w:overflowPunct w:val="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用汽车将钻井设备和泥浆罐、泥浆不落地装置等设施运至</w:t>
      </w:r>
      <w:r>
        <w:rPr>
          <w:rFonts w:hint="default" w:ascii="Times New Roman" w:hAnsi="Times New Roman" w:cs="Times New Roman"/>
          <w:color w:val="000000" w:themeColor="text1"/>
          <w:highlight w:val="none"/>
          <w:lang w:eastAsia="zh-CN"/>
          <w14:textFill>
            <w14:solidFill>
              <w14:schemeClr w14:val="tx1"/>
            </w14:solidFill>
          </w14:textFill>
        </w:rPr>
        <w:t>井场</w:t>
      </w:r>
      <w:r>
        <w:rPr>
          <w:rFonts w:hint="default" w:ascii="Times New Roman" w:hAnsi="Times New Roman" w:cs="Times New Roman"/>
          <w:color w:val="000000" w:themeColor="text1"/>
          <w:highlight w:val="none"/>
          <w14:textFill>
            <w14:solidFill>
              <w14:schemeClr w14:val="tx1"/>
            </w14:solidFill>
          </w14:textFill>
        </w:rPr>
        <w:t>并安装，通常2</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5天安装完毕。</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（2）钻前工程产污环节分析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1）生态影响</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本项目为利用P106-2井已建井场进行建设，本项目仅施工期生活区临时占地为新增占地，主要占用</w:t>
      </w:r>
      <w:r>
        <w:rPr>
          <w:rFonts w:hint="eastAsia" w:cs="Times New Roman"/>
          <w:bCs/>
          <w:color w:val="000000" w:themeColor="text1"/>
          <w:szCs w:val="24"/>
          <w:highlight w:val="none"/>
          <w:lang w:val="en-US" w:eastAsia="zh-CN"/>
          <w14:textFill>
            <w14:solidFill>
              <w14:schemeClr w14:val="tx1"/>
            </w14:solidFill>
          </w14:textFill>
        </w:rPr>
        <w:t>旱</w:t>
      </w:r>
      <w:r>
        <w:rPr>
          <w:rFonts w:hint="default" w:ascii="Times New Roman" w:hAnsi="Times New Roman" w:cs="Times New Roman"/>
          <w:bCs/>
          <w:color w:val="000000" w:themeColor="text1"/>
          <w:szCs w:val="24"/>
          <w:highlight w:val="none"/>
          <w14:textFill>
            <w14:solidFill>
              <w14:schemeClr w14:val="tx1"/>
            </w14:solidFill>
          </w14:textFill>
        </w:rPr>
        <w:t>地，改变土地使用功能，将造成地表裸露，形成水土流失。</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2）污染影响</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钻前工程污染物有机械废气和施工扬尘、生活污水、施工噪声和生活垃圾。</w:t>
      </w:r>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钻井工程</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工程是本项目施工期最主要的施工活动之一，主要包括钻井、固井、完井阶段。钻井工程以网电为动力（备用柴油发电机），通过钻机、转盘，带动钻头切削地层，同时由泥浆泵经钻杆向井内注入高压泥浆，冲刷井底，将切削下的岩屑不断带至地面，整个过程循环进行，直至目的井深；钻井中途需要停钻，以便起下钻具更换钻头、下套管、固井、替换洗井液和检修设备；当钻井钻至目的层位后即可进入完井阶段，完井阶段采用的是衬管完井（备用裸眼），然后再进行压裂作业，以实现储层改造。钻井作业24小时连续作业。</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（1）钻井工程工艺流程简述</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本项目钻井方式为泥浆钻井方式，采用气体钻或水基泥浆钻井，钻井工艺流程及产污环节见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_Ref142597391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图3.3</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ind w:firstLine="480"/>
        <w:jc w:val="center"/>
        <w:rPr>
          <w:rFonts w:hint="default" w:ascii="Times New Roman" w:hAnsi="Times New Roman" w:cs="Times New Roman"/>
          <w:color w:val="000000" w:themeColor="text1"/>
          <w:szCs w:val="24"/>
          <w:highlight w:val="none"/>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3818255</wp:posOffset>
                </wp:positionH>
                <wp:positionV relativeFrom="paragraph">
                  <wp:posOffset>1772920</wp:posOffset>
                </wp:positionV>
                <wp:extent cx="2115185" cy="699770"/>
                <wp:effectExtent l="0" t="0" r="19050" b="24765"/>
                <wp:wrapNone/>
                <wp:docPr id="95" name="文本框 95"/>
                <wp:cNvGraphicFramePr/>
                <a:graphic xmlns:a="http://schemas.openxmlformats.org/drawingml/2006/main">
                  <a:graphicData uri="http://schemas.microsoft.com/office/word/2010/wordprocessingShape">
                    <wps:wsp>
                      <wps:cNvSpPr txBox="1"/>
                      <wps:spPr bwMode="auto">
                        <a:xfrm>
                          <a:off x="0" y="0"/>
                          <a:ext cx="2115047" cy="699715"/>
                        </a:xfrm>
                        <a:prstGeom prst="rect">
                          <a:avLst/>
                        </a:prstGeom>
                        <a:solidFill>
                          <a:schemeClr val="accent1">
                            <a:lumMod val="40000"/>
                            <a:lumOff val="60000"/>
                          </a:schemeClr>
                        </a:solidFill>
                        <a:ln w="9525">
                          <a:solidFill>
                            <a:srgbClr val="000000"/>
                          </a:solidFill>
                          <a:miter lim="800000"/>
                        </a:ln>
                      </wps:spPr>
                      <wps:txbx>
                        <w:txbxContent>
                          <w:p>
                            <w:pPr>
                              <w:spacing w:line="240" w:lineRule="auto"/>
                              <w:ind w:firstLine="0" w:firstLineChars="0"/>
                              <w:rPr>
                                <w:rFonts w:ascii="宋体" w:hAnsi="宋体" w:cs="宋体"/>
                                <w:color w:val="000000" w:themeColor="text1"/>
                                <w:sz w:val="13"/>
                                <w:szCs w:val="13"/>
                                <w14:textFill>
                                  <w14:solidFill>
                                    <w14:schemeClr w14:val="tx1"/>
                                  </w14:solidFill>
                                </w14:textFill>
                              </w:rPr>
                            </w:pPr>
                            <w:bookmarkStart w:id="561" w:name="_Hlk156340123"/>
                            <w:r>
                              <w:rPr>
                                <w:rFonts w:hint="eastAsia" w:ascii="宋体" w:hAnsi="宋体" w:cs="宋体"/>
                                <w:color w:val="000000" w:themeColor="text1"/>
                                <w:sz w:val="13"/>
                                <w:szCs w:val="13"/>
                                <w14:textFill>
                                  <w14:solidFill>
                                    <w14:schemeClr w14:val="tx1"/>
                                  </w14:solidFill>
                                </w14:textFill>
                              </w:rPr>
                              <w:t>水基钻井固废：</w:t>
                            </w:r>
                            <w:r>
                              <w:rPr>
                                <w:rFonts w:ascii="宋体" w:hAnsi="宋体" w:cs="宋体"/>
                                <w:color w:val="000000" w:themeColor="text1"/>
                                <w:sz w:val="13"/>
                                <w:szCs w:val="13"/>
                                <w14:textFill>
                                  <w14:solidFill>
                                    <w14:schemeClr w14:val="tx1"/>
                                  </w14:solidFill>
                                </w14:textFill>
                              </w:rPr>
                              <w:t>按照达市环办发〔2021〕24号文件要求，</w:t>
                            </w:r>
                            <w:r>
                              <w:rPr>
                                <w:rFonts w:hint="eastAsia" w:ascii="宋体" w:hAnsi="宋体" w:cs="宋体"/>
                                <w:color w:val="000000" w:themeColor="text1"/>
                                <w:sz w:val="13"/>
                                <w:szCs w:val="13"/>
                                <w14:textFill>
                                  <w14:solidFill>
                                    <w14:schemeClr w14:val="tx1"/>
                                  </w14:solidFill>
                                </w14:textFill>
                              </w:rPr>
                              <w:t>近交给依法取得生态环境部门关于利用和处置相关工业固体废物项目环评批复、具有处理处置相应固体废物能力并配套建设有废气、废水、固废等污染物治理设施的单位进行资源化利用；</w:t>
                            </w:r>
                          </w:p>
                          <w:bookmarkEnd w:id="561"/>
                          <w:p>
                            <w:pPr>
                              <w:spacing w:line="240" w:lineRule="auto"/>
                              <w:ind w:firstLine="0" w:firstLineChars="0"/>
                              <w:rPr>
                                <w:rFonts w:ascii="宋体" w:hAnsi="宋体" w:cs="宋体"/>
                                <w:sz w:val="13"/>
                                <w:szCs w:val="13"/>
                              </w:rPr>
                            </w:pPr>
                            <w:r>
                              <w:rPr>
                                <w:rFonts w:hint="eastAsia" w:ascii="宋体" w:hAnsi="宋体" w:cs="宋体"/>
                                <w:sz w:val="13"/>
                                <w:szCs w:val="13"/>
                              </w:rPr>
                              <w:t>油基钻井固废（若钻遇复杂地层）：</w:t>
                            </w:r>
                            <w:r>
                              <w:rPr>
                                <w:rFonts w:hint="eastAsia" w:ascii="宋体" w:hAnsi="宋体" w:cs="宋体"/>
                                <w:color w:val="000000" w:themeColor="text1"/>
                                <w:sz w:val="13"/>
                                <w:szCs w:val="13"/>
                                <w14:textFill>
                                  <w14:solidFill>
                                    <w14:schemeClr w14:val="tx1"/>
                                  </w14:solidFill>
                                </w14:textFill>
                              </w:rPr>
                              <w:t>委托有资质单位处置。</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00.65pt;margin-top:139.6pt;height:55.1pt;width:166.55pt;z-index:251682816;mso-width-relative:page;mso-height-relative:page;" fillcolor="#B4C7E7 [1300]" filled="t" stroked="t" coordsize="21600,21600" o:gfxdata="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C3w3PbcAAAACwEA&#10;AA8AAAAAAAAAAQAgAAAAIgAAAGRycy9kb3ducmV2LnhtbFBLAQIUABQAAAAIAIdO4kChqADbiAIA&#10;ABQFAAAOAAAAAAAAAAEAIAAAACsBAABkcnMvZTJvRG9jLnhtbFBLBQYAAAAABgAGAFkBAAAlBgAA&#10;AAA=&#10;">
                <v:fill on="t" focussize="0,0"/>
                <v:stroke color="#000000" miterlimit="8" joinstyle="miter"/>
                <v:imagedata o:title=""/>
                <o:lock v:ext="edit" aspectratio="f"/>
                <v:textbox inset="0mm,0mm,0mm,0mm">
                  <w:txbxContent>
                    <w:p>
                      <w:pPr>
                        <w:spacing w:line="240" w:lineRule="auto"/>
                        <w:ind w:firstLine="0" w:firstLineChars="0"/>
                        <w:rPr>
                          <w:rFonts w:ascii="宋体" w:hAnsi="宋体" w:cs="宋体"/>
                          <w:color w:val="000000" w:themeColor="text1"/>
                          <w:sz w:val="13"/>
                          <w:szCs w:val="13"/>
                          <w14:textFill>
                            <w14:solidFill>
                              <w14:schemeClr w14:val="tx1"/>
                            </w14:solidFill>
                          </w14:textFill>
                        </w:rPr>
                      </w:pPr>
                      <w:bookmarkStart w:id="561" w:name="_Hlk156340123"/>
                      <w:r>
                        <w:rPr>
                          <w:rFonts w:hint="eastAsia" w:ascii="宋体" w:hAnsi="宋体" w:cs="宋体"/>
                          <w:color w:val="000000" w:themeColor="text1"/>
                          <w:sz w:val="13"/>
                          <w:szCs w:val="13"/>
                          <w14:textFill>
                            <w14:solidFill>
                              <w14:schemeClr w14:val="tx1"/>
                            </w14:solidFill>
                          </w14:textFill>
                        </w:rPr>
                        <w:t>水基钻井固废：</w:t>
                      </w:r>
                      <w:r>
                        <w:rPr>
                          <w:rFonts w:ascii="宋体" w:hAnsi="宋体" w:cs="宋体"/>
                          <w:color w:val="000000" w:themeColor="text1"/>
                          <w:sz w:val="13"/>
                          <w:szCs w:val="13"/>
                          <w14:textFill>
                            <w14:solidFill>
                              <w14:schemeClr w14:val="tx1"/>
                            </w14:solidFill>
                          </w14:textFill>
                        </w:rPr>
                        <w:t>按照达市环办发〔2021〕24号文件要求，</w:t>
                      </w:r>
                      <w:r>
                        <w:rPr>
                          <w:rFonts w:hint="eastAsia" w:ascii="宋体" w:hAnsi="宋体" w:cs="宋体"/>
                          <w:color w:val="000000" w:themeColor="text1"/>
                          <w:sz w:val="13"/>
                          <w:szCs w:val="13"/>
                          <w14:textFill>
                            <w14:solidFill>
                              <w14:schemeClr w14:val="tx1"/>
                            </w14:solidFill>
                          </w14:textFill>
                        </w:rPr>
                        <w:t>近交给依法取得生态环境部门关于利用和处置相关工业固体废物项目环评批复、具有处理处置相应固体废物能力并配套建设有废气、废水、固废等污染物治理设施的单位进行资源化利用；</w:t>
                      </w:r>
                    </w:p>
                    <w:bookmarkEnd w:id="561"/>
                    <w:p>
                      <w:pPr>
                        <w:spacing w:line="240" w:lineRule="auto"/>
                        <w:ind w:firstLine="0" w:firstLineChars="0"/>
                        <w:rPr>
                          <w:rFonts w:ascii="宋体" w:hAnsi="宋体" w:cs="宋体"/>
                          <w:sz w:val="13"/>
                          <w:szCs w:val="13"/>
                        </w:rPr>
                      </w:pPr>
                      <w:r>
                        <w:rPr>
                          <w:rFonts w:hint="eastAsia" w:ascii="宋体" w:hAnsi="宋体" w:cs="宋体"/>
                          <w:sz w:val="13"/>
                          <w:szCs w:val="13"/>
                        </w:rPr>
                        <w:t>油基钻井固废（若钻遇复杂地层）：</w:t>
                      </w:r>
                      <w:r>
                        <w:rPr>
                          <w:rFonts w:hint="eastAsia" w:ascii="宋体" w:hAnsi="宋体" w:cs="宋体"/>
                          <w:color w:val="000000" w:themeColor="text1"/>
                          <w:sz w:val="13"/>
                          <w:szCs w:val="13"/>
                          <w14:textFill>
                            <w14:solidFill>
                              <w14:schemeClr w14:val="tx1"/>
                            </w14:solidFill>
                          </w14:textFill>
                        </w:rPr>
                        <w:t>委托有资质单位处置。</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2117725</wp:posOffset>
                </wp:positionH>
                <wp:positionV relativeFrom="paragraph">
                  <wp:posOffset>2044065</wp:posOffset>
                </wp:positionV>
                <wp:extent cx="1405890" cy="233045"/>
                <wp:effectExtent l="0" t="0" r="22860" b="15240"/>
                <wp:wrapNone/>
                <wp:docPr id="91926" name="文本框 91926"/>
                <wp:cNvGraphicFramePr/>
                <a:graphic xmlns:a="http://schemas.openxmlformats.org/drawingml/2006/main">
                  <a:graphicData uri="http://schemas.microsoft.com/office/word/2010/wordprocessingShape">
                    <wps:wsp>
                      <wps:cNvSpPr txBox="1"/>
                      <wps:spPr bwMode="auto">
                        <a:xfrm>
                          <a:off x="0" y="0"/>
                          <a:ext cx="1406106" cy="232914"/>
                        </a:xfrm>
                        <a:prstGeom prst="rect">
                          <a:avLst/>
                        </a:prstGeom>
                        <a:solidFill>
                          <a:schemeClr val="accent1">
                            <a:lumMod val="40000"/>
                            <a:lumOff val="60000"/>
                          </a:schemeClr>
                        </a:solidFill>
                        <a:ln w="9525">
                          <a:solidFill>
                            <a:srgbClr val="000000"/>
                          </a:solidFill>
                          <a:miter lim="800000"/>
                        </a:ln>
                      </wps:spPr>
                      <wps:txbx>
                        <w:txbxContent>
                          <w:p>
                            <w:pPr>
                              <w:spacing w:line="240" w:lineRule="auto"/>
                              <w:ind w:firstLine="0" w:firstLineChars="0"/>
                              <w:jc w:val="center"/>
                              <w:rPr>
                                <w:sz w:val="16"/>
                                <w:szCs w:val="15"/>
                              </w:rPr>
                            </w:pPr>
                            <w:r>
                              <w:rPr>
                                <w:rFonts w:hint="eastAsia"/>
                                <w:sz w:val="16"/>
                                <w:szCs w:val="15"/>
                              </w:rPr>
                              <w:t>普光11井回注站回注</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66.75pt;margin-top:160.95pt;height:18.35pt;width:110.7pt;z-index:251681792;mso-width-relative:page;mso-height-relative:page;" fillcolor="#B4C7E7 [1300]" filled="t" stroked="t" coordsize="21600,21600" o:gfxdata="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6Q57&#10;RdkAAAALAQAADwAAAAAAAAABACAAAAAiAAAAZHJzL2Rvd25yZXYueG1sUEsBAhQAFAAAAAgAh07i&#10;QGsRZSiTAgAAKgUAAA4AAAAAAAAAAQAgAAAAKAEAAGRycy9lMm9Eb2MueG1sUEsFBgAAAAAGAAYA&#10;WQEAAC0GAAAAAA==&#10;">
                <v:fill on="t" focussize="0,0"/>
                <v:stroke color="#000000" miterlimit="8" joinstyle="miter"/>
                <v:imagedata o:title=""/>
                <o:lock v:ext="edit" aspectratio="f"/>
                <v:textbox>
                  <w:txbxContent>
                    <w:p>
                      <w:pPr>
                        <w:spacing w:line="240" w:lineRule="auto"/>
                        <w:ind w:firstLine="0" w:firstLineChars="0"/>
                        <w:jc w:val="center"/>
                        <w:rPr>
                          <w:sz w:val="16"/>
                          <w:szCs w:val="15"/>
                        </w:rPr>
                      </w:pPr>
                      <w:r>
                        <w:rPr>
                          <w:rFonts w:hint="eastAsia"/>
                          <w:sz w:val="16"/>
                          <w:szCs w:val="15"/>
                        </w:rPr>
                        <w:t>普光11井回注站回注</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76850" cy="2343150"/>
            <wp:effectExtent l="0" t="0" r="0" b="0"/>
            <wp:docPr id="1827" name="图片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图片 18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276850" cy="2343552"/>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132" w:name="_Ref142597391"/>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fldChar w:fldCharType="end"/>
      </w:r>
      <w:bookmarkEnd w:id="132"/>
      <w:r>
        <w:rPr>
          <w:rFonts w:hint="default" w:ascii="Times New Roman" w:hAnsi="Times New Roman" w:cs="Times New Roman"/>
          <w:color w:val="000000" w:themeColor="text1"/>
          <w:highlight w:val="none"/>
          <w14:textFill>
            <w14:solidFill>
              <w14:schemeClr w14:val="tx1"/>
            </w14:solidFill>
          </w14:textFill>
        </w:rPr>
        <w:t xml:space="preserve"> 钻井工程工艺流程及产污环节图</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1）钻井</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采用常规钻井工艺，钻井工程作业正常情况下以网电为动力，停电等非正常情况下以柴油机为动力，通过钻机、转盘，带动钻杆切削地层，同时用泥浆泵经钻杆向井内注入高压泥浆，冲刷井底，将切削下的岩屑不断带至地面，整个过程循环进行，使井不断加深，直至目的井深。钻井中途会停钻，以起下钻具更换钻头、下套管、固井、替换洗井液、设备检修等。钻井工艺设备组成示意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_Ref142597382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图3.3</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9</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黑体" w:cs="Times New Roman"/>
          <w:color w:val="000000" w:themeColor="text1"/>
          <w:highlight w:val="none"/>
          <w14:textFill>
            <w14:solidFill>
              <w14:schemeClr w14:val="tx1"/>
            </w14:solidFill>
          </w14:textFill>
        </w:rPr>
        <w:drawing>
          <wp:inline distT="0" distB="0" distL="0" distR="0">
            <wp:extent cx="2576830" cy="3432175"/>
            <wp:effectExtent l="0" t="0" r="0" b="0"/>
            <wp:docPr id="1631" name="图片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1631"/>
                    <pic:cNvPicPr>
                      <a:picLocks noChangeAspect="1" noChangeArrowheads="1"/>
                    </pic:cNvPicPr>
                  </pic:nvPicPr>
                  <pic:blipFill>
                    <a:blip r:embed="rId42">
                      <a:extLst>
                        <a:ext uri="{28A0092B-C50C-407E-A947-70E740481C1C}">
                          <a14:useLocalDpi xmlns:a14="http://schemas.microsoft.com/office/drawing/2010/main" val="0"/>
                        </a:ext>
                      </a:extLst>
                    </a:blip>
                    <a:srcRect l="22397"/>
                    <a:stretch>
                      <a:fillRect/>
                    </a:stretch>
                  </pic:blipFill>
                  <pic:spPr>
                    <a:xfrm>
                      <a:off x="0" y="0"/>
                      <a:ext cx="2576830" cy="3432175"/>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133" w:name="_Ref142597382"/>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9</w:t>
      </w:r>
      <w:r>
        <w:rPr>
          <w:rFonts w:hint="default" w:ascii="Times New Roman" w:hAnsi="Times New Roman" w:cs="Times New Roman"/>
          <w:color w:val="000000" w:themeColor="text1"/>
          <w:highlight w:val="none"/>
          <w14:textFill>
            <w14:solidFill>
              <w14:schemeClr w14:val="tx1"/>
            </w14:solidFill>
          </w14:textFill>
        </w:rPr>
        <w:fldChar w:fldCharType="end"/>
      </w:r>
      <w:bookmarkEnd w:id="133"/>
      <w:r>
        <w:rPr>
          <w:rFonts w:hint="default" w:ascii="Times New Roman" w:hAnsi="Times New Roman" w:cs="Times New Roman"/>
          <w:color w:val="000000" w:themeColor="text1"/>
          <w:highlight w:val="none"/>
          <w14:textFill>
            <w14:solidFill>
              <w14:schemeClr w14:val="tx1"/>
            </w14:solidFill>
          </w14:textFill>
        </w:rPr>
        <w:t xml:space="preserve"> 钻井工艺设备组成示意图</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2）钻井液循环系统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泥浆系统是钻井工程的核心部分，钻井泥浆分为可生物降解、水基、油基三种，清洁性能依次减弱。本工程采用的钻井泥浆为水基钻井泥浆（若遇特殊地层情况，三开段可能会转为油基钻井），不含重金属物质。泥浆循环系统主要包括钻井液振动筛、真空除气器、除砂器、除泥器，除砂除泥一体机、液气分离器、搅拌器、砂泵、泥浆罐等石油钻井固控设备及成套泥浆循环系统，泥浆循环系统，适用于油井、水井钻探中泥浆循环作业。箱体外壳均用钢板压制成型，外形美观，强度高。</w:t>
      </w:r>
    </w:p>
    <w:p>
      <w:pPr>
        <w:ind w:firstLine="480"/>
        <w:rPr>
          <w:rFonts w:hint="default" w:ascii="Times New Roman" w:hAnsi="Times New Roman" w:cs="Times New Roman"/>
          <w:color w:val="000000" w:themeColor="text1"/>
          <w:highlight w:val="none"/>
          <w14:textFill>
            <w14:solidFill>
              <w14:schemeClr w14:val="tx1"/>
            </w14:solidFill>
          </w14:textFill>
        </w:rPr>
      </w:pPr>
      <w:bookmarkStart w:id="134" w:name="_Hlk90917264"/>
      <w:r>
        <w:rPr>
          <w:rFonts w:hint="default" w:ascii="Times New Roman" w:hAnsi="Times New Roman" w:cs="Times New Roman"/>
          <w:color w:val="000000" w:themeColor="text1"/>
          <w:highlight w:val="none"/>
          <w14:textFill>
            <w14:solidFill>
              <w14:schemeClr w14:val="tx1"/>
            </w14:solidFill>
          </w14:textFill>
        </w:rPr>
        <w:t>钻井泥浆泵经钻杆向井内注入高压钻井泥浆，通过钻头挤入井底，冲刷井底，将钻头切削下的岩屑不断地带至地面，通过泥浆循环系统实现泥浆与岩屑的分离，回收泥浆进入泥浆罐再利用。本工程采用常规钻井工艺进行钻井，为保护气层，优先采用含封堵性聚合物的水基钻井液体系（若遇特殊地层情况，可能会转为油基钻井），有利于降低作业成本，减少对地层污染。钻井过程严格按照中国石油化工股份有限公司中原油田普光分公司钻井作业指导书进行，强化泥浆的循环利用率。完井后泥浆循环系统中产生的合格泥浆暂存在泥浆储备罐内，用于区域内其他井水基泥浆配置。钻井过程中产生的废弃泥浆通过现场泥浆不落地工艺进行固液分离，回收上清液用于泥浆配置，剩余废水定期由罐车拉运至赵家坝污水处理站达标后管输至普光11井回注站回注，不外排；水基钻井固废按照《关于进一步加强固体废物污染防治工作的通知》（达市环办发</w:t>
      </w:r>
      <w:r>
        <w:rPr>
          <w:rFonts w:hint="default" w:ascii="Times New Roman" w:hAnsi="Times New Roman" w:cs="Times New Roman"/>
          <w:bCs/>
          <w:color w:val="000000" w:themeColor="text1"/>
          <w:szCs w:val="24"/>
          <w:highlight w:val="none"/>
          <w14:textFill>
            <w14:solidFill>
              <w14:schemeClr w14:val="tx1"/>
            </w14:solidFill>
          </w14:textFill>
        </w:rPr>
        <w:t>〔2021〕</w:t>
      </w:r>
      <w:r>
        <w:rPr>
          <w:rFonts w:hint="default" w:ascii="Times New Roman" w:hAnsi="Times New Roman" w:cs="Times New Roman"/>
          <w:color w:val="000000" w:themeColor="text1"/>
          <w:highlight w:val="none"/>
          <w14:textFill>
            <w14:solidFill>
              <w14:schemeClr w14:val="tx1"/>
            </w14:solidFill>
          </w14:textFill>
        </w:rPr>
        <w:t>24号）要求，就近交给依法取得生态环境部门关于利用和处置相关工业固体废物项目环评批复、具有处理处置相应固体废物能力并配套建设有废气、废水、固废等污染物治理设施的单位进行资源化利用。</w:t>
      </w:r>
      <w:bookmarkEnd w:id="134"/>
    </w:p>
    <w:p>
      <w:pPr>
        <w:ind w:firstLine="480"/>
        <w:rPr>
          <w:rFonts w:hint="default" w:ascii="Times New Roman" w:hAnsi="Times New Roman" w:cs="Times New Roman"/>
          <w:color w:val="000000" w:themeColor="text1"/>
          <w:highlight w:val="none"/>
          <w14:textFill>
            <w14:solidFill>
              <w14:schemeClr w14:val="tx1"/>
            </w14:solidFill>
          </w14:textFill>
        </w:rPr>
      </w:pPr>
      <w:bookmarkStart w:id="135" w:name="_Ref142906909"/>
      <w:r>
        <w:rPr>
          <w:rFonts w:hint="default" w:ascii="Times New Roman" w:hAnsi="Times New Roman" w:cs="Times New Roman"/>
          <w:color w:val="000000" w:themeColor="text1"/>
          <w:highlight w:val="none"/>
          <w14:textFill>
            <w14:solidFill>
              <w14:schemeClr w14:val="tx1"/>
            </w14:solidFill>
          </w14:textFill>
        </w:rPr>
        <w:t>3）清洁化操作工艺</w:t>
      </w:r>
    </w:p>
    <w:p>
      <w:pPr>
        <w:ind w:firstLine="480"/>
        <w:rPr>
          <w:rFonts w:hint="default" w:ascii="Times New Roman" w:hAnsi="Times New Roman" w:cs="Times New Roman"/>
          <w:color w:val="000000" w:themeColor="text1"/>
          <w:highlight w:val="none"/>
          <w14:textFill>
            <w14:solidFill>
              <w14:schemeClr w14:val="tx1"/>
            </w14:solidFill>
          </w14:textFill>
        </w:rPr>
      </w:pPr>
      <w:bookmarkStart w:id="136" w:name="_Hlk107412190"/>
      <w:r>
        <w:rPr>
          <w:rFonts w:hint="default" w:ascii="Times New Roman" w:hAnsi="Times New Roman" w:cs="Times New Roman"/>
          <w:color w:val="000000" w:themeColor="text1"/>
          <w:highlight w:val="none"/>
          <w14:textFill>
            <w14:solidFill>
              <w14:schemeClr w14:val="tx1"/>
            </w14:solidFill>
          </w14:textFill>
        </w:rPr>
        <w:t>由于钻井工程按照清洁化生产方案组织钻井施工，实施的清洁生产分为收集、处理系统两部分，主要对钻井过程产生的废泥浆及岩屑实时处理、设备冲洗废水实时处理和场地</w:t>
      </w:r>
      <w:r>
        <w:rPr>
          <w:rFonts w:hint="default" w:ascii="Times New Roman" w:hAnsi="Times New Roman" w:cs="Times New Roman"/>
          <w:color w:val="000000" w:themeColor="text1"/>
          <w:highlight w:val="none"/>
          <w:lang w:val="en-US" w:eastAsia="zh-CN"/>
          <w14:textFill>
            <w14:solidFill>
              <w14:schemeClr w14:val="tx1"/>
            </w14:solidFill>
          </w14:textFill>
        </w:rPr>
        <w:t>初期</w:t>
      </w:r>
      <w:r>
        <w:rPr>
          <w:rFonts w:hint="default" w:ascii="Times New Roman" w:hAnsi="Times New Roman" w:cs="Times New Roman"/>
          <w:color w:val="000000" w:themeColor="text1"/>
          <w:highlight w:val="none"/>
          <w14:textFill>
            <w14:solidFill>
              <w14:schemeClr w14:val="tx1"/>
            </w14:solidFill>
          </w14:textFill>
        </w:rPr>
        <w:t>雨水收集处理排放，随钻不落地处置工艺流程图</w:t>
      </w:r>
      <w:bookmarkEnd w:id="136"/>
      <w:r>
        <w:rPr>
          <w:rFonts w:hint="default" w:ascii="Times New Roman" w:hAnsi="Times New Roman" w:cs="Times New Roman"/>
          <w:color w:val="000000" w:themeColor="text1"/>
          <w:highlight w:val="none"/>
          <w14:textFill>
            <w14:solidFill>
              <w14:schemeClr w14:val="tx1"/>
            </w14:solidFill>
          </w14:textFill>
        </w:rPr>
        <w:t>见下图：</w:t>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76850" cy="31578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3"/>
                    <a:stretch>
                      <a:fillRect/>
                    </a:stretch>
                  </pic:blipFill>
                  <pic:spPr>
                    <a:xfrm>
                      <a:off x="0" y="0"/>
                      <a:ext cx="5276850" cy="3157855"/>
                    </a:xfrm>
                    <a:prstGeom prst="rect">
                      <a:avLst/>
                    </a:prstGeom>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10</w:t>
      </w:r>
      <w:r>
        <w:rPr>
          <w:rFonts w:hint="default" w:ascii="Times New Roman" w:hAnsi="Times New Roman" w:cs="Times New Roman"/>
          <w:color w:val="000000" w:themeColor="text1"/>
          <w:highlight w:val="none"/>
          <w14:textFill>
            <w14:solidFill>
              <w14:schemeClr w14:val="tx1"/>
            </w14:solidFill>
          </w14:textFill>
        </w:rPr>
        <w:fldChar w:fldCharType="end"/>
      </w:r>
      <w:bookmarkEnd w:id="135"/>
      <w:r>
        <w:rPr>
          <w:rFonts w:hint="default" w:ascii="Times New Roman" w:hAnsi="Times New Roman" w:cs="Times New Roman"/>
          <w:color w:val="000000" w:themeColor="text1"/>
          <w:highlight w:val="none"/>
          <w14:textFill>
            <w14:solidFill>
              <w14:schemeClr w14:val="tx1"/>
            </w14:solidFill>
          </w14:textFill>
        </w:rPr>
        <w:t xml:space="preserve"> 随钻不落地处置工艺</w:t>
      </w:r>
      <w:bookmarkStart w:id="137" w:name="_Hlk152596808"/>
      <w:r>
        <w:rPr>
          <w:rFonts w:hint="default" w:ascii="Times New Roman" w:hAnsi="Times New Roman" w:cs="Times New Roman"/>
          <w:color w:val="000000" w:themeColor="text1"/>
          <w:highlight w:val="none"/>
          <w14:textFill>
            <w14:solidFill>
              <w14:schemeClr w14:val="tx1"/>
            </w14:solidFill>
          </w14:textFill>
        </w:rPr>
        <w:t>（清洁化操作工艺）</w:t>
      </w:r>
      <w:bookmarkEnd w:id="137"/>
      <w:r>
        <w:rPr>
          <w:rFonts w:hint="default" w:ascii="Times New Roman" w:hAnsi="Times New Roman" w:cs="Times New Roman"/>
          <w:color w:val="000000" w:themeColor="text1"/>
          <w:highlight w:val="none"/>
          <w14:textFill>
            <w14:solidFill>
              <w14:schemeClr w14:val="tx1"/>
            </w14:solidFill>
          </w14:textFill>
        </w:rPr>
        <w:t>流程图</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随钻不落地处理工艺含泥浆不落地装置一套，占地面积310m</w:t>
      </w:r>
      <w:r>
        <w:rPr>
          <w:rFonts w:hint="default" w:ascii="Times New Roman" w:hAnsi="Times New Roman" w:cs="Times New Roman"/>
          <w:color w:val="000000" w:themeColor="text1"/>
          <w:szCs w:val="24"/>
          <w:highlight w:val="none"/>
          <w:vertAlign w:val="super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。主要包含40m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废水罐4个；20m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岩屑固化罐4个；3m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岩屑收集罐8个；化学品存放区。</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①泥浆循环及岩屑处理清洁生产方案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在清水及水基泥浆钻井过程中，仅泥浆参与钻井循环带动钻头不断钻进地层，井下岩屑也随钻井泥浆一并返排地面，返排泥浆经钻井泥浆循环系统自带的振动筛分、除砂分离后分离成三部分：</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A可循环利用钻井泥浆：直接再次进入泥浆循环系统，重复利用于钻井作业，减少钻井泥浆的调配量；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B废泥浆：泥浆循环系统分离产生的废泥浆（失效泥浆），通过螺旋输送装置输送进收集罐，收集后叉车转运至井场旁的清洁生产操作平台再次进行脱水处理，脱水产生的废水经固化操作平台内的废水处理罐混凝沉淀处理后，上清液重复利用于钻井泥浆现场调配生产用水，下部沉淀污泥和脱水后的泥浆由叉车转运至固化罐进行固化后，就近交给依法取得生态环境部门关于利用和处置相关工业固体废物项目环评批复、具有处理处置相应固体废物能力并配套建设有废气、废水、固废等污染物治理设施的单位进行资源化利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C钻井岩屑：振动筛分分离产生的</w:t>
      </w:r>
      <w:r>
        <w:rPr>
          <w:rFonts w:hint="default" w:ascii="Times New Roman" w:hAnsi="Times New Roman" w:cs="Times New Roman"/>
          <w:color w:val="000000" w:themeColor="text1"/>
          <w:highlight w:val="none"/>
          <w:lang w:eastAsia="zh-CN"/>
          <w14:textFill>
            <w14:solidFill>
              <w14:schemeClr w14:val="tx1"/>
            </w14:solidFill>
          </w14:textFill>
        </w:rPr>
        <w:t>岩屑</w:t>
      </w:r>
      <w:r>
        <w:rPr>
          <w:rFonts w:hint="default" w:ascii="Times New Roman" w:hAnsi="Times New Roman" w:cs="Times New Roman"/>
          <w:color w:val="000000" w:themeColor="text1"/>
          <w:highlight w:val="none"/>
          <w14:textFill>
            <w14:solidFill>
              <w14:schemeClr w14:val="tx1"/>
            </w14:solidFill>
          </w14:textFill>
        </w:rPr>
        <w:t>由螺旋输送装置输送进岩屑收集罐，收集后叉车转运至井场旁的清洁生产操作平台固化罐进行固化。岩屑经固化罐进行固化后，钻井产生的水基岩屑就近交给依法取得生态环境部门关于利用和处置相关工业固体废物项目环评批复、具有处理处置相应固体废物能力并配套建设有废气、废水、固废等污染物治理设施的单位进行资源化利用。若钻遇复杂地层，则采用油基泥浆钻井，在钻井过程中，油基泥浆钻井阶段产生的含油岩屑经振动筛分离产生的岩屑由钢体收集桶收集后叉车转运至清洁生产操作平台内的岩屑存放区采用岩屑罐（刚体罐）暂存，定期交由有危废处理资质单位处理。</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基泥浆、岩屑固化工艺：泥浆、岩屑通过机械设备进行脱水。固化剂包括传统固化剂、聚合氯化铝、石灰等不含Fe、Mg离子的碱性药剂。固液分离后含水率小于等于60%的固相转运至岩屑堆放区暂存，定期就近交给依法取得生态环境部门关于利用和处置相关工业固体废物项目环评批复、具有处理处置相应固体废物能力并配套建设有废气、废水、固废等污染物治理设施的单位进行资源化利用；含水率高于60%的部分则再次进行固化处理，直至含水率降低至60%以下。固化预处理使用一般水基钻屑固化剂，处置过程中应控制Ca离子的掺入，包括硅酸盐水泥或含Ca离子为主的固化剂，使用此类药剂时，其与水基钻屑质量比应控制在4%以内。分离出的液相导入其它暂存罐收集，达到回用要求的液相抽至井队配浆罐回用，达不到回用要求的液相暂存于暂存罐，外运处置。钻井废弃物通过上述脱水工艺处理后，固相含水率≤60%，转运外委处置。</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②油基泥浆循环及岩屑处理清洁生产方案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基钻井作业：本项目若遇特殊地层情况，可能会转为油基钻井液钻井，钻井过程中以钻井液作为载体将岩屑带至地面，返排钻井液与岩屑混合物经钻井液循环处理系统固液分离实现钻井液的循环利用，分离的固相（钻井岩屑）进入油基钻井液清洁化生产随钻处理系统处理。油基钻井液清洁化生产随钻处理系统由收集油基钻井液钻井污染物清洁生产随钻处理系统单元、输送装置（螺旋输送机）、脱油装置（油基岩屑和废弃油基钻井泥浆甩干机1套）三部分组成，实现对油基岩屑和废弃油基钻井泥浆和钻井废水等污染物的随钻处理。</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清洁生产随钻处理系统工艺步骤：钻井液循环处理系统分离的油基钻井岩屑（振动筛和除砂器、除泥器分离的岩屑）收集后通过螺旋输送机送入油基岩屑和废弃油基钻井泥浆甩干机处理，甩干后的干岩屑通过岩屑收集罐和储存罐收集，暂存在</w:t>
      </w:r>
      <w:r>
        <w:rPr>
          <w:rFonts w:hint="default" w:ascii="Times New Roman" w:hAnsi="Times New Roman" w:cs="Times New Roman"/>
          <w:color w:val="000000" w:themeColor="text1"/>
          <w:highlight w:val="none"/>
          <w:lang w:eastAsia="zh-CN"/>
          <w14:textFill>
            <w14:solidFill>
              <w14:schemeClr w14:val="tx1"/>
            </w14:solidFill>
          </w14:textFill>
        </w:rPr>
        <w:t>不落地操作平台</w:t>
      </w:r>
      <w:r>
        <w:rPr>
          <w:rFonts w:hint="default" w:ascii="Times New Roman" w:hAnsi="Times New Roman" w:cs="Times New Roman"/>
          <w:color w:val="000000" w:themeColor="text1"/>
          <w:highlight w:val="none"/>
          <w14:textFill>
            <w14:solidFill>
              <w14:schemeClr w14:val="tx1"/>
            </w14:solidFill>
          </w14:textFill>
        </w:rPr>
        <w:t>，及时交有资质单位外运处置，甩干机分离后的液体钻井液进入钻井液循环系统重新用于钻井。</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清洁生产随钻处理系统分离后的油基岩屑和废弃油基钻井泥浆，转移至</w:t>
      </w:r>
      <w:r>
        <w:rPr>
          <w:rFonts w:hint="default" w:ascii="Times New Roman" w:hAnsi="Times New Roman" w:cs="Times New Roman"/>
          <w:color w:val="000000" w:themeColor="text1"/>
          <w:highlight w:val="none"/>
          <w:lang w:eastAsia="zh-CN"/>
          <w14:textFill>
            <w14:solidFill>
              <w14:schemeClr w14:val="tx1"/>
            </w14:solidFill>
          </w14:textFill>
        </w:rPr>
        <w:t>不落地操作平台</w:t>
      </w:r>
      <w:r>
        <w:rPr>
          <w:rFonts w:hint="default" w:ascii="Times New Roman" w:hAnsi="Times New Roman" w:cs="Times New Roman"/>
          <w:color w:val="000000" w:themeColor="text1"/>
          <w:highlight w:val="none"/>
          <w14:textFill>
            <w14:solidFill>
              <w14:schemeClr w14:val="tx1"/>
            </w14:solidFill>
          </w14:textFill>
        </w:rPr>
        <w:t>岩屑堆放区（按危废贮存场地采取防渗、防扩散、防流失措施）暂存，及时交由危废处置资质单位妥善处置</w:t>
      </w:r>
      <w:r>
        <w:rPr>
          <w:rFonts w:hint="default" w:ascii="Times New Roman" w:hAnsi="Times New Roman" w:cs="Times New Roman"/>
          <w:color w:val="000000" w:themeColor="text1"/>
          <w:szCs w:val="24"/>
          <w:highlight w:val="none"/>
          <w14:textFill>
            <w14:solidFill>
              <w14:schemeClr w14:val="tx1"/>
            </w14:solidFill>
          </w14:textFill>
        </w:rPr>
        <w:t>。</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4）测井、取心、录井</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测井是把利用电、磁、声、热、核等物理原理制造的各种测井仪器，由测井电缆下入井内，使地面电测仪可沿着井筒连续记录随深度变化的各种参数。通过表示这类参数的曲线，来识别地下的岩层，如油、气、水层、煤层、金属矿床等。</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取心是在钻井过程中使用特殊的取心工具把地下岩石成块地取到地面上来，这种成块的岩石叫做岩心，通过它可以测定岩石的各种性质，直观地研究地下构造和岩石沉积环境，了解其中的流体性质等。</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录井是根据</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"http://baike.baidu.com/view/1231512.htm" \t "_blank"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szCs w:val="24"/>
          <w:highlight w:val="none"/>
          <w14:textFill>
            <w14:solidFill>
              <w14:schemeClr w14:val="tx1"/>
            </w14:solidFill>
          </w14:textFill>
        </w:rPr>
        <w:t>测井</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数据、现场录井数据及综合分析化验数据进行岩性解释、归位，确定含油、气、水产状。</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测井、取心、录井主要就是取样分析地质等情况，该过程基本不涉及污染物。</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5）固井作业</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固井是钻井达到预定深度后，下入套管并注入水泥浆，封固套管和井壁之间的环形空间的作业。固井的主要目的是封隔疏松的易塌、易漏地层；封隔油、气、水层，防止互相窜漏。固井作业的主要设备有水泥车、下灰罐车、混合漏斗和其他附属设备等。</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固井是钻井过程中的重要作业，最上面的固井是</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"http://baike.baidu.com/view/2376304.htm" \t "_blank"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szCs w:val="24"/>
          <w:highlight w:val="none"/>
          <w14:textFill>
            <w14:solidFill>
              <w14:schemeClr w14:val="tx1"/>
            </w14:solidFill>
          </w14:textFill>
        </w:rPr>
        <w:t>表层套管</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固井，它起的是“泥浆通路，油气门户”的作用。在下一次开钻之前，表层套管上要装防喷器预防井喷。防喷器之上要装泥浆导管，是</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HYPERLINK "http://baike.baidu.com/view/94622.htm" \t "_blank"</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szCs w:val="24"/>
          <w:highlight w:val="none"/>
          <w14:textFill>
            <w14:solidFill>
              <w14:schemeClr w14:val="tx1"/>
            </w14:solidFill>
          </w14:textFill>
        </w:rPr>
        <w:t>钻井液</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返回泥浆池的通路。钻井过程中往往要下技术套管固井，它起的是“巩固后方，安全探路”的作用。和公路的隧道、煤矿中的巷道一样，钻井过程中也会遇到井塌、高压和不稳定的地层，同时也是为了在向前“探路”中遇险有个退路，起到“救助”的作用。</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固井主要是注入水泥，基本无污染物产生，固井过程分为三步如下：</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下套管：套管有不同的尺寸和钢级。根据用途、地层预测压力和套管下入深度设计套管的强度，确定套管的使用壁厚，钢级和丝扣类型。套管与钻杆不同，是一次性下入的管材，没有加厚部分，长度没有严格规定。为保证固井质量和顺利地下入套管，要做套管柱的结构设计。</w:t>
      </w:r>
      <w:bookmarkStart w:id="138" w:name="4_2"/>
      <w:bookmarkEnd w:id="138"/>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注水泥：是套管下入井后的关键工序，其作用是将套管和井壁的环形空间封固起来，以封隔油气水层，使套管成为油气通向井中的通道。</w:t>
      </w:r>
      <w:bookmarkStart w:id="139" w:name="4_3"/>
      <w:bookmarkEnd w:id="139"/>
      <w:bookmarkStart w:id="140" w:name="4_5"/>
      <w:bookmarkEnd w:id="140"/>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井口安装和套管试压，下套管注水泥之后，在水泥凝固期间就要安装井口。表层套管的顶端要安套管头的壳体。各层套管的顶端都挂在套管头内，套管头主要用来支撑技术套管和油层套管的重量，这对</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HYPERLINK "http://baike.baidu.com/view/2326697.htm" \t "_blank"</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szCs w:val="24"/>
          <w:highlight w:val="none"/>
          <w14:textFill>
            <w14:solidFill>
              <w14:schemeClr w14:val="tx1"/>
            </w14:solidFill>
          </w14:textFill>
        </w:rPr>
        <w:t>固井水泥</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未返至地面尤为重要。套管头还用来密封套管间的环形空间，防止压力互窜。套管头还是防喷器、油管头的过渡连接。陆地上使用的套管头上还有两个侧口，可以进行补挤水泥、监控井况、注平衡液等作业。</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套管试压是检查固井质量的重要组成部分。安装好套管头和接好防喷器及防喷管线后，要做套管头密封的耐压力检查，和与防喷器联接的密封试压。探套管内水泥塞后要做套管柱的压力检验，钻穿套管鞋5～10m后（表层套管）要做地层压裂试验。固井后要用声波检测固井质量。固井质量的全部指标合格后，才能进入到下一个作业程序。</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（2）钻井工程产污环节分析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钻井期间主要的环境影响因素是备用柴油机运行产生的废气，钻井、起下钻和固井作业等产生的钻井废水，机械设备运转时产生的噪声，以及钻井固废、废弃泥浆、废油等固体废物。</w:t>
      </w:r>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储层改造</w:t>
      </w:r>
      <w:r>
        <w:rPr>
          <w:rFonts w:hint="default" w:ascii="Times New Roman" w:hAnsi="Times New Roman" w:cs="Times New Roman"/>
          <w:color w:val="000000" w:themeColor="text1"/>
          <w:highlight w:val="none"/>
          <w14:textFill>
            <w14:solidFill>
              <w14:schemeClr w14:val="tx1"/>
            </w14:solidFill>
          </w14:textFill>
        </w:rPr>
        <w:t>工程</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w:t>
      </w:r>
      <w:r>
        <w:rPr>
          <w:rFonts w:hint="default" w:ascii="Times New Roman" w:hAnsi="Times New Roman" w:cs="Times New Roman"/>
          <w:b/>
          <w:bCs/>
          <w:color w:val="000000" w:themeColor="text1"/>
          <w:highlight w:val="none"/>
          <w:lang w:val="en-US" w:eastAsia="zh-CN"/>
          <w14:textFill>
            <w14:solidFill>
              <w14:schemeClr w14:val="tx1"/>
            </w14:solidFill>
          </w14:textFill>
        </w:rPr>
        <w:t>储层改造</w:t>
      </w:r>
      <w:r>
        <w:rPr>
          <w:rFonts w:hint="default" w:ascii="Times New Roman" w:hAnsi="Times New Roman" w:cs="Times New Roman"/>
          <w:b/>
          <w:bCs/>
          <w:color w:val="000000" w:themeColor="text1"/>
          <w:highlight w:val="none"/>
          <w14:textFill>
            <w14:solidFill>
              <w14:schemeClr w14:val="tx1"/>
            </w14:solidFill>
          </w14:textFill>
        </w:rPr>
        <w:t>工程工艺流程简述</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w:t>
      </w:r>
      <w:r>
        <w:rPr>
          <w:rFonts w:hint="default" w:ascii="Times New Roman" w:hAnsi="Times New Roman" w:cs="Times New Roman"/>
          <w:color w:val="000000" w:themeColor="text1"/>
          <w:szCs w:val="24"/>
          <w:highlight w:val="none"/>
          <w:lang w:val="en-US" w:eastAsia="zh-CN"/>
          <w14:textFill>
            <w14:solidFill>
              <w14:schemeClr w14:val="tx1"/>
            </w14:solidFill>
          </w14:textFill>
        </w:rPr>
        <w:t>储层改造工程</w:t>
      </w:r>
      <w:r>
        <w:rPr>
          <w:rFonts w:hint="default" w:ascii="Times New Roman" w:hAnsi="Times New Roman" w:cs="Times New Roman"/>
          <w:color w:val="000000" w:themeColor="text1"/>
          <w:szCs w:val="24"/>
          <w:highlight w:val="none"/>
          <w14:textFill>
            <w14:solidFill>
              <w14:schemeClr w14:val="tx1"/>
            </w14:solidFill>
          </w14:textFill>
        </w:rPr>
        <w:t>包括洗井、射孔、酸化压裂、测试放喷等过程。其中酸化压裂和测试放喷是最主要工序，也是主要产生污染物排放的工艺环节。</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①洗井作业</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当钻至目的层后，首先是进行洗井作业，采用碱水进行洗井作业，洗井作业首先在井筒内下入洗井管柱，洗井液由井筒注入清洗井壁，清洗后通过位于井底的返液口经洗井管柱返回地面。该环节的主要污染物为返回地面的洗井废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②射孔作业</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洗净作业完成后，将进行射孔作业，射孔完井是指下入油层套管封固产层后再用射孔弹将套管、水泥环、部分产层射穿，形成油气流通通道。射穿产层后油气井的生产能力受产层压力、产层性质和射孔参数及质量影响。采用油管传输射孔工艺，分段延时起爆，一次性射开飞仙关组储层。射孔采用4.5in（Φ114.3×7.37mm）油管+Φ102mm射孔枪。</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③下完井管柱</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采用分段酸化</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生产一体化完井管柱，悬挂封隔器及以上完井油管采用Φ160mm 4c类镍基合金油管，718材质完井工具；悬挂封隔器以下采用110SS材质油管和完井工具。</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④酸化压裂作业</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压裂是指在井筒中形成高压迫使地层形成裂缝的施工过程。本项目采用酸化压裂，使用压裂车从地面泵入酸化高压工作液，酸液在高压下进入储层，与储层中的裂缝壁面岩石反应，形成具有一定几何尺寸和导流能力的人工裂缝，以达到增产的目的。</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本项目采用分级酸化生产一体化管柱，通过滑套进行定点酸化。压裂作业在白天进行，压裂液泵入时间约2</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3小时，参与作业的压裂车8台（4用4备），压裂液的主要原料是清水、稀盐酸及一些外加剂如硼砂等。受压力作用，压裂过程会产生压裂返排液，返排周期为3天～5天。</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该环节产生的污染物主要为压裂作业设备产生的噪声及返排出的压裂液。压裂作业过程及压裂液使用流程见</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_Ref142597368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图3.3</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11</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045710" cy="1852295"/>
            <wp:effectExtent l="0" t="0" r="2540" b="0"/>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16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055575" cy="1856060"/>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141" w:name="_Ref142597368"/>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11</w:t>
      </w:r>
      <w:r>
        <w:rPr>
          <w:rFonts w:hint="default" w:ascii="Times New Roman" w:hAnsi="Times New Roman" w:cs="Times New Roman"/>
          <w:color w:val="000000" w:themeColor="text1"/>
          <w:highlight w:val="none"/>
          <w14:textFill>
            <w14:solidFill>
              <w14:schemeClr w14:val="tx1"/>
            </w14:solidFill>
          </w14:textFill>
        </w:rPr>
        <w:fldChar w:fldCharType="end"/>
      </w:r>
      <w:bookmarkEnd w:id="141"/>
      <w:r>
        <w:rPr>
          <w:rFonts w:hint="default" w:ascii="Times New Roman" w:hAnsi="Times New Roman" w:cs="Times New Roman"/>
          <w:color w:val="000000" w:themeColor="text1"/>
          <w:highlight w:val="none"/>
          <w14:textFill>
            <w14:solidFill>
              <w14:schemeClr w14:val="tx1"/>
            </w14:solidFill>
          </w14:textFill>
        </w:rPr>
        <w:t xml:space="preserve"> 压裂作业示意图</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④测试放喷</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天然气测试放喷前需换装井口接测试管线，井内天然气经该管线，通过专用产量测试仪器测定天然气产量及气质。为了测试安全和减轻对环境的污染，点火烧掉测试放喷的天然气，测试放喷燃烧筒一般为高度1m的地面火炬，燃烧池内放喷，燃烧池设有耐火砖挡墙减轻热辐射影响。出于安全操作和有利于燃烧废气污染物大气扩散考虑，测试放喷一般在白天进行。</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fldChar w:fldCharType="begin"/>
      </w:r>
      <w:r>
        <w:rPr>
          <w:rFonts w:hint="default" w:ascii="Times New Roman" w:hAnsi="Times New Roman" w:cs="Times New Roman"/>
          <w:color w:val="000000" w:themeColor="text1"/>
          <w:highlight w:val="none"/>
          <w:lang w:val="en-US" w:eastAsia="zh-CN"/>
          <w14:textFill>
            <w14:solidFill>
              <w14:schemeClr w14:val="tx1"/>
            </w14:solidFill>
          </w14:textFill>
        </w:rPr>
        <w:instrText xml:space="preserve"> = 5 \* GB3 \* MERGEFORMAT </w:instrText>
      </w:r>
      <w:r>
        <w:rPr>
          <w:rFonts w:hint="default" w:ascii="Times New Roman" w:hAnsi="Times New Roman" w:cs="Times New Roman"/>
          <w:color w:val="000000" w:themeColor="text1"/>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⑤</w:t>
      </w:r>
      <w:r>
        <w:rPr>
          <w:rFonts w:hint="default" w:ascii="Times New Roman" w:hAnsi="Times New Roman" w:cs="Times New Roman"/>
          <w:color w:val="000000" w:themeColor="text1"/>
          <w:highlight w:val="none"/>
          <w:lang w:val="en-US" w:eastAsia="zh-CN"/>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完井搬迁及恢复</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测试结果若表明气井有工业试采的价值，则在井口装上采气装置试采气，其余设备将拆除搬迁，对基础进行拆除，场地进行平整，并对井场废弃物进行无害化治理。若不产天然气或所产气量无工业试采价值且确定无后续开发计划后，则将井口用水泥封固后搬迁。在搬迁前钻后污染物应得到妥善处理，做到工完、料净、场地清，放弃的井场应尽可能地恢复其原来的土地利用状况或者按土地承包人的意愿转换土地用途。此过程对环境基本无影响。</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建设单位依法办理环保手续并按照钻井井场环保标准进行验收，验收合格方可交井，并对后续可能出现的环保问题负责。</w:t>
      </w:r>
    </w:p>
    <w:p>
      <w:pPr>
        <w:ind w:firstLine="480"/>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2）储层改造工程产污环节分析</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储层改造工程</w:t>
      </w:r>
      <w:r>
        <w:rPr>
          <w:rFonts w:hint="default" w:ascii="Times New Roman" w:hAnsi="Times New Roman" w:cs="Times New Roman"/>
          <w:bCs/>
          <w:color w:val="000000" w:themeColor="text1"/>
          <w:szCs w:val="24"/>
          <w:highlight w:val="none"/>
          <w14:textFill>
            <w14:solidFill>
              <w14:schemeClr w14:val="tx1"/>
            </w14:solidFill>
          </w14:textFill>
        </w:rPr>
        <w:t>主要污染为压裂过程中会产生噪声、施工人员生活垃圾和生活污水，测试放喷阶段的污染物主要是压裂返排液、天然气点火产生的废气、气流噪声以及热辐射影响。</w:t>
      </w:r>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油气集输</w:t>
      </w:r>
      <w:r>
        <w:rPr>
          <w:rFonts w:hint="default" w:ascii="Times New Roman" w:hAnsi="Times New Roman" w:cs="Times New Roman"/>
          <w:color w:val="000000" w:themeColor="text1"/>
          <w:highlight w:val="none"/>
          <w14:textFill>
            <w14:solidFill>
              <w14:schemeClr w14:val="tx1"/>
            </w14:solidFill>
          </w14:textFill>
        </w:rPr>
        <w:t>工程</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w:t>
      </w:r>
      <w:r>
        <w:rPr>
          <w:rFonts w:hint="default" w:ascii="Times New Roman" w:hAnsi="Times New Roman" w:cs="Times New Roman"/>
          <w:color w:val="000000" w:themeColor="text1"/>
          <w:szCs w:val="24"/>
          <w:highlight w:val="none"/>
          <w14:textFill>
            <w14:solidFill>
              <w14:schemeClr w14:val="tx1"/>
            </w14:solidFill>
          </w14:textFill>
        </w:rPr>
        <w:t>完毕后，通过测试并获得天然气产量后，</w:t>
      </w:r>
      <w:r>
        <w:rPr>
          <w:rFonts w:hint="default" w:ascii="Times New Roman" w:hAnsi="Times New Roman" w:cs="Times New Roman"/>
          <w:color w:val="000000" w:themeColor="text1"/>
          <w:highlight w:val="none"/>
          <w14:textFill>
            <w14:solidFill>
              <w14:schemeClr w14:val="tx1"/>
            </w14:solidFill>
          </w14:textFill>
        </w:rPr>
        <w:t>本项目试采期普光106-2H侧钻井产气经复建后的P106集气站的加热炉加热、节流计量后依托原有已建管线外输至天然气净化厂。</w:t>
      </w:r>
      <w:r>
        <w:rPr>
          <w:rFonts w:hint="default" w:ascii="Times New Roman" w:hAnsi="Times New Roman" w:cs="Times New Roman"/>
          <w:bCs/>
          <w:color w:val="000000" w:themeColor="text1"/>
          <w:szCs w:val="24"/>
          <w:highlight w:val="none"/>
          <w14:textFill>
            <w14:solidFill>
              <w14:schemeClr w14:val="tx1"/>
            </w14:solidFill>
          </w14:textFill>
        </w:rPr>
        <w:t>集气站复建在原集气站所在位置上建设，工艺设备简单，</w:t>
      </w:r>
      <w:r>
        <w:rPr>
          <w:rFonts w:hint="default" w:ascii="Times New Roman" w:hAnsi="Times New Roman" w:cs="Times New Roman"/>
          <w:color w:val="000000" w:themeColor="text1"/>
          <w:highlight w:val="none"/>
          <w14:textFill>
            <w14:solidFill>
              <w14:schemeClr w14:val="tx1"/>
            </w14:solidFill>
          </w14:textFill>
        </w:rPr>
        <w:t>本次地面工程内容主要为拆除井口 BDV 流程，其他拆除流程均原位置复建，</w:t>
      </w:r>
      <w:r>
        <w:rPr>
          <w:rFonts w:hint="eastAsia" w:cs="Times New Roman"/>
          <w:color w:val="000000" w:themeColor="text1"/>
          <w:highlight w:val="none"/>
          <w:lang w:eastAsia="zh-CN"/>
          <w14:textFill>
            <w14:solidFill>
              <w14:schemeClr w14:val="tx1"/>
            </w14:solidFill>
          </w14:textFill>
        </w:rPr>
        <w:t>同时新建临时分酸分离器、移动式乙二醇加注撬车1套</w:t>
      </w:r>
      <w:r>
        <w:rPr>
          <w:rFonts w:hint="default" w:ascii="Times New Roman" w:hAnsi="Times New Roman" w:cs="Times New Roman"/>
          <w:color w:val="000000" w:themeColor="text1"/>
          <w:highlight w:val="none"/>
          <w14:textFill>
            <w14:solidFill>
              <w14:schemeClr w14:val="tx1"/>
            </w14:solidFill>
          </w14:textFill>
        </w:rPr>
        <w:t>，配套站控室、围墙、大门等设施均依托原P106集气站站内已建设施，不改变原 P106 集气站性质，复建后流程与拆除前基本一致。</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集气站复建过程产生扬尘、机械设备噪声、施工队生活污水、生活垃圾及建筑垃圾等。这些污染贯穿整个施工过程，但站场部分施工量小，施工时间较短，污染物产生量少。</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142" w:name="3.3.2营运期污染源"/>
      <w:bookmarkEnd w:id="142"/>
      <w:bookmarkStart w:id="143" w:name="_Toc120173109"/>
      <w:r>
        <w:rPr>
          <w:rFonts w:hint="default" w:ascii="Times New Roman" w:hAnsi="Times New Roman" w:cs="Times New Roman"/>
          <w:color w:val="000000" w:themeColor="text1"/>
          <w:highlight w:val="none"/>
          <w:lang w:eastAsia="zh-CN"/>
          <w14:textFill>
            <w14:solidFill>
              <w14:schemeClr w14:val="tx1"/>
            </w14:solidFill>
          </w14:textFill>
        </w:rPr>
        <w:t>试采期工程分析</w:t>
      </w:r>
      <w:bookmarkEnd w:id="143"/>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如钻井完毕并通过测试获得天然气，则进行地面建设工程，本项目利用复建普光P106集气站试采。若无工业产能且无后续开发计划，则井口采用水泥浆封井，井口焊上钢板和阀门，井站其它装置、房屋搬迁，井口设立标志。</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1、采气试采工艺流程</w:t>
      </w:r>
    </w:p>
    <w:p>
      <w:pPr>
        <w:pStyle w:val="250"/>
        <w:ind w:firstLine="0" w:firstLineChars="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76850" cy="2320290"/>
            <wp:effectExtent l="0" t="0" r="0" b="3810"/>
            <wp:docPr id="5216357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35776" name="图片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76850" cy="2320290"/>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图3.3-14  试采期工艺流程及产污节点图</w:t>
      </w:r>
    </w:p>
    <w:p>
      <w:pPr>
        <w:ind w:firstLine="482"/>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工艺流程描述：</w:t>
      </w:r>
    </w:p>
    <w:p>
      <w:pPr>
        <w:pStyle w:val="25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普光106-2H侧井建成后采气经采气树一级节流后，经分酸分离器分离后的天然气，依托P106集气站的加热、节流计量后，通过原有已建管线（1#管线）外输至天然气净化厂。</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（2）采气试采产污环节</w:t>
      </w:r>
    </w:p>
    <w:p>
      <w:pPr>
        <w:pStyle w:val="25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本项目试采生产主要依托复建的P106集气站进行，主要生产设备均依托复建设的P106集气站内设施，正常生产时</w:t>
      </w:r>
      <w:r>
        <w:rPr>
          <w:rFonts w:hint="eastAsia" w:cs="Times New Roman"/>
          <w:bCs/>
          <w:color w:val="000000" w:themeColor="text1"/>
          <w:szCs w:val="24"/>
          <w:highlight w:val="none"/>
          <w:lang w:val="en-US" w:eastAsia="zh-CN"/>
          <w14:textFill>
            <w14:solidFill>
              <w14:schemeClr w14:val="tx1"/>
            </w14:solidFill>
          </w14:textFill>
        </w:rPr>
        <w:t>废气主要为重新使用水套加热炉产生的烧热废气</w:t>
      </w:r>
      <w:r>
        <w:rPr>
          <w:rFonts w:hint="default" w:ascii="Times New Roman" w:hAnsi="Times New Roman" w:cs="Times New Roman"/>
          <w:bCs/>
          <w:color w:val="000000" w:themeColor="text1"/>
          <w:szCs w:val="24"/>
          <w:highlight w:val="none"/>
          <w14:textFill>
            <w14:solidFill>
              <w14:schemeClr w14:val="tx1"/>
            </w14:solidFill>
          </w14:textFill>
        </w:rPr>
        <w:t>；在设备检修和系统超压等非正常工况时，通过P106集气站内放空系统进行处置。此外，本项目</w:t>
      </w:r>
      <w:r>
        <w:rPr>
          <w:rFonts w:hint="default" w:ascii="Times New Roman" w:hAnsi="Times New Roman" w:cs="Times New Roman"/>
          <w:color w:val="000000" w:themeColor="text1"/>
          <w:highlight w:val="none"/>
          <w14:textFill>
            <w14:solidFill>
              <w14:schemeClr w14:val="tx1"/>
            </w14:solidFill>
          </w14:textFill>
        </w:rPr>
        <w:t>试采期来气经临时分酸装置进行脱水分离，并依托P106集气站复建酸液缓冲罐收集暂存，然后通过密闭罐车拉运至赵家坝污水处理站达到《气田水回注方法》（SY/T 6596-2016）中注入水基本要求后管输至普光11井回注站回注处理，不外排</w:t>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试采期拟建工程内容依托P106集气站既有劳动定员进行日常管理，无新增</w:t>
      </w:r>
      <w:r>
        <w:rPr>
          <w:rFonts w:hint="default" w:ascii="Times New Roman" w:hAnsi="Times New Roman" w:cs="Times New Roman"/>
          <w:color w:val="000000" w:themeColor="text1"/>
          <w:highlight w:val="none"/>
          <w:lang w:eastAsia="zh-CN"/>
          <w14:textFill>
            <w14:solidFill>
              <w14:schemeClr w14:val="tx1"/>
            </w14:solidFill>
          </w14:textFill>
        </w:rPr>
        <w:t>生活污水</w:t>
      </w:r>
      <w:r>
        <w:rPr>
          <w:rFonts w:hint="default" w:ascii="Times New Roman" w:hAnsi="Times New Roman" w:cs="Times New Roman"/>
          <w:color w:val="000000" w:themeColor="text1"/>
          <w:highlight w:val="none"/>
          <w14:textFill>
            <w14:solidFill>
              <w14:schemeClr w14:val="tx1"/>
            </w14:solidFill>
          </w14:textFill>
        </w:rPr>
        <w:t>产生；</w:t>
      </w:r>
      <w:bookmarkStart w:id="144" w:name="OLE_LINK168"/>
      <w:bookmarkStart w:id="145" w:name="OLE_LINK167"/>
      <w:r>
        <w:rPr>
          <w:rFonts w:hint="default" w:ascii="Times New Roman" w:hAnsi="Times New Roman" w:cs="Times New Roman"/>
          <w:bCs/>
          <w:color w:val="000000" w:themeColor="text1"/>
          <w:szCs w:val="21"/>
          <w:highlight w:val="none"/>
          <w14:textFill>
            <w14:solidFill>
              <w14:schemeClr w14:val="tx1"/>
            </w14:solidFill>
          </w14:textFill>
        </w:rPr>
        <w:t>本项目拟建工程内容</w:t>
      </w:r>
      <w:r>
        <w:rPr>
          <w:rFonts w:hint="default" w:ascii="Times New Roman" w:hAnsi="Times New Roman" w:cs="Times New Roman"/>
          <w:color w:val="000000" w:themeColor="text1"/>
          <w:highlight w:val="none"/>
          <w14:textFill>
            <w14:solidFill>
              <w14:schemeClr w14:val="tx1"/>
            </w14:solidFill>
          </w14:textFill>
        </w:rPr>
        <w:t>只新增井口采气装置、乙二醇加注装置及临时分酸装置，在正常运行过程中不会产生固体废物。本项目拟建工程内容不新增清管收发球装置，试采期无清管废渣产生。日常管理依托P106集气站进行，无新增定员，无生活垃圾产生。</w:t>
      </w:r>
      <w:bookmarkEnd w:id="144"/>
      <w:bookmarkEnd w:id="145"/>
    </w:p>
    <w:p>
      <w:pPr>
        <w:pStyle w:val="25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因此，本项目试采生产时新增的主要污染物为井口设备（节流阀、乙二醇加注装置等）运行产生连续噪声。</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146" w:name="_bookmark21"/>
      <w:bookmarkEnd w:id="146"/>
      <w:bookmarkStart w:id="147" w:name="3.4污染源源强核算"/>
      <w:bookmarkEnd w:id="147"/>
      <w:bookmarkStart w:id="148" w:name="_Toc10049"/>
      <w:r>
        <w:rPr>
          <w:rFonts w:hint="default" w:ascii="Times New Roman" w:hAnsi="Times New Roman" w:cs="Times New Roman"/>
          <w:color w:val="000000" w:themeColor="text1"/>
          <w:highlight w:val="none"/>
          <w:lang w:eastAsia="zh-CN"/>
          <w14:textFill>
            <w14:solidFill>
              <w14:schemeClr w14:val="tx1"/>
            </w14:solidFill>
          </w14:textFill>
        </w:rPr>
        <w:t>污染源源强核算</w:t>
      </w:r>
      <w:bookmarkEnd w:id="148"/>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现有工程</w:t>
      </w:r>
      <w:r>
        <w:rPr>
          <w:rFonts w:hint="default" w:ascii="Times New Roman" w:hAnsi="Times New Roman" w:cs="Times New Roman"/>
          <w:color w:val="000000" w:themeColor="text1"/>
          <w:highlight w:val="none"/>
          <w:lang w:eastAsia="zh-CN"/>
          <w14:textFill>
            <w14:solidFill>
              <w14:schemeClr w14:val="tx1"/>
            </w14:solidFill>
          </w14:textFill>
        </w:rPr>
        <w:t>污染源强分析</w:t>
      </w:r>
    </w:p>
    <w:p>
      <w:pPr>
        <w:pageBreakBefore w:val="0"/>
        <w:widowControl w:val="0"/>
        <w:tabs>
          <w:tab w:val="left" w:pos="0"/>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现有P106-2井钻井施工已结束，钻井设备均已搬迁完毕，目前正</w:t>
      </w: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处于</w:t>
      </w: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生产</w:t>
      </w: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状态，</w:t>
      </w: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由于其现状仍然为依托P106集气站进行采气生产，其本身除采气树外，无其他生产设施，故现有工程污染源分析主要回顾介绍其在钻井工程实施阶段的环保措施及落实情况</w:t>
      </w: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w:t>
      </w:r>
    </w:p>
    <w:p>
      <w:pPr>
        <w:topLinePunct w:val="0"/>
        <w:adjustRightInd/>
        <w:ind w:firstLine="480"/>
        <w:rPr>
          <w:rFonts w:hint="default" w:ascii="Times New Roman" w:hAnsi="Times New Roman" w:cs="Times New Roman"/>
          <w:b/>
          <w:bCs/>
          <w:color w:val="000000" w:themeColor="text1"/>
          <w:szCs w:val="20"/>
          <w:highlight w:val="none"/>
          <w14:textFill>
            <w14:solidFill>
              <w14:schemeClr w14:val="tx1"/>
            </w14:solidFill>
          </w14:textFill>
        </w:rPr>
      </w:pPr>
      <w:r>
        <w:rPr>
          <w:rFonts w:hint="default" w:ascii="Times New Roman" w:hAnsi="Times New Roman" w:cs="Times New Roman"/>
          <w:b/>
          <w:bCs/>
          <w:color w:val="000000" w:themeColor="text1"/>
          <w:szCs w:val="20"/>
          <w:highlight w:val="none"/>
          <w14:textFill>
            <w14:solidFill>
              <w14:schemeClr w14:val="tx1"/>
            </w14:solidFill>
          </w14:textFill>
        </w:rPr>
        <w:t>（1）废气</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施工期：钻井工程环境空气污染物主要来自施工扬尘、施工机械尾气、柴油发电机组废气、测试放喷废气和事故放喷废气。施工扬尘采取了洒水防尘措施，影响较小；施工机械尾气为燃油发电机、车辆排放尾气，由于累计施工工时不长，废气扩散条件良好，对大气环境影响较小；柴油发电机废气主要污染物为NOx、CO、CO</w:t>
      </w:r>
      <w:r>
        <w:rPr>
          <w:rFonts w:hint="default" w:ascii="Times New Roman" w:hAnsi="Times New Roman" w:cs="Times New Roman"/>
          <w:color w:val="000000" w:themeColor="text1"/>
          <w:szCs w:val="20"/>
          <w:highlight w:val="none"/>
          <w:vertAlign w:val="subscript"/>
          <w14:textFill>
            <w14:solidFill>
              <w14:schemeClr w14:val="tx1"/>
            </w14:solidFill>
          </w14:textFill>
        </w:rPr>
        <w:t>2</w:t>
      </w:r>
      <w:r>
        <w:rPr>
          <w:rFonts w:hint="default" w:ascii="Times New Roman" w:hAnsi="Times New Roman" w:cs="Times New Roman"/>
          <w:color w:val="000000" w:themeColor="text1"/>
          <w:szCs w:val="20"/>
          <w:highlight w:val="none"/>
          <w14:textFill>
            <w14:solidFill>
              <w14:schemeClr w14:val="tx1"/>
            </w14:solidFill>
          </w14:textFill>
        </w:rPr>
        <w:t>、和少量烟尘等，经自带的烟气处理系统处理后进入大气中，对大气环境影响较小；测试放喷和事故放喷的天然气经点火燃烧，其主要污染物为NO</w:t>
      </w:r>
      <w:r>
        <w:rPr>
          <w:rFonts w:hint="default" w:ascii="Times New Roman" w:hAnsi="Times New Roman" w:cs="Times New Roman"/>
          <w:color w:val="000000" w:themeColor="text1"/>
          <w:szCs w:val="20"/>
          <w:highlight w:val="none"/>
          <w:vertAlign w:val="subscript"/>
          <w14:textFill>
            <w14:solidFill>
              <w14:schemeClr w14:val="tx1"/>
            </w14:solidFill>
          </w14:textFill>
        </w:rPr>
        <w:t>X</w:t>
      </w:r>
      <w:r>
        <w:rPr>
          <w:rFonts w:hint="default" w:ascii="Times New Roman" w:hAnsi="Times New Roman" w:cs="Times New Roman"/>
          <w:color w:val="000000" w:themeColor="text1"/>
          <w:szCs w:val="20"/>
          <w:highlight w:val="none"/>
          <w14:textFill>
            <w14:solidFill>
              <w14:schemeClr w14:val="tx1"/>
            </w14:solidFill>
          </w14:textFill>
        </w:rPr>
        <w:t>、SO</w:t>
      </w:r>
      <w:r>
        <w:rPr>
          <w:rFonts w:hint="default" w:ascii="Times New Roman" w:hAnsi="Times New Roman" w:cs="Times New Roman"/>
          <w:color w:val="000000" w:themeColor="text1"/>
          <w:szCs w:val="20"/>
          <w:highlight w:val="none"/>
          <w:vertAlign w:val="subscript"/>
          <w14:textFill>
            <w14:solidFill>
              <w14:schemeClr w14:val="tx1"/>
            </w14:solidFill>
          </w14:textFill>
        </w:rPr>
        <w:t>2</w:t>
      </w:r>
      <w:r>
        <w:rPr>
          <w:rFonts w:hint="default" w:ascii="Times New Roman" w:hAnsi="Times New Roman" w:cs="Times New Roman"/>
          <w:color w:val="000000" w:themeColor="text1"/>
          <w:szCs w:val="20"/>
          <w:highlight w:val="none"/>
          <w14:textFill>
            <w14:solidFill>
              <w14:schemeClr w14:val="tx1"/>
            </w14:solidFill>
          </w14:textFill>
        </w:rPr>
        <w:t>、CO</w:t>
      </w:r>
      <w:r>
        <w:rPr>
          <w:rFonts w:hint="default" w:ascii="Times New Roman" w:hAnsi="Times New Roman" w:cs="Times New Roman"/>
          <w:color w:val="000000" w:themeColor="text1"/>
          <w:szCs w:val="20"/>
          <w:highlight w:val="none"/>
          <w:vertAlign w:val="subscript"/>
          <w14:textFill>
            <w14:solidFill>
              <w14:schemeClr w14:val="tx1"/>
            </w14:solidFill>
          </w14:textFill>
        </w:rPr>
        <w:t>2</w:t>
      </w:r>
      <w:r>
        <w:rPr>
          <w:rFonts w:hint="default" w:ascii="Times New Roman" w:hAnsi="Times New Roman" w:cs="Times New Roman"/>
          <w:color w:val="000000" w:themeColor="text1"/>
          <w:szCs w:val="20"/>
          <w:highlight w:val="none"/>
          <w14:textFill>
            <w14:solidFill>
              <w14:schemeClr w14:val="tx1"/>
            </w14:solidFill>
          </w14:textFill>
        </w:rPr>
        <w:t>，由于测试放喷和事故放喷时间较短，对大气环境影响较小。根据现场调查，钻井设备撤离工作已经完成，钻井期间的大气污染物已随钻井工程的结束而消除，对环境空气影响较小。施工期间地方生态环境主管部门及建设单位未接到周边农户的投诉，未对周边大气环境造成影响。</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运营期：</w:t>
      </w:r>
      <w:r>
        <w:rPr>
          <w:rFonts w:hint="default" w:ascii="Times New Roman" w:hAnsi="Times New Roman" w:cs="Times New Roman"/>
          <w:color w:val="000000" w:themeColor="text1"/>
          <w:szCs w:val="20"/>
          <w:highlight w:val="none"/>
          <w:lang w:val="en-US" w:eastAsia="zh-CN"/>
          <w14:textFill>
            <w14:solidFill>
              <w14:schemeClr w14:val="tx1"/>
            </w14:solidFill>
          </w14:textFill>
        </w:rPr>
        <w:t>P106-2井运营期不建设生产流程，主要依托P106集气站进行采气生产。因此P106-2井运营期</w:t>
      </w:r>
      <w:r>
        <w:rPr>
          <w:rFonts w:hint="default" w:ascii="Times New Roman" w:hAnsi="Times New Roman" w:cs="Times New Roman"/>
          <w:color w:val="000000" w:themeColor="text1"/>
          <w:szCs w:val="20"/>
          <w:highlight w:val="none"/>
          <w14:textFill>
            <w14:solidFill>
              <w14:schemeClr w14:val="tx1"/>
            </w14:solidFill>
          </w14:textFill>
        </w:rPr>
        <w:t>事故/检修放空废气</w:t>
      </w:r>
      <w:r>
        <w:rPr>
          <w:rFonts w:hint="default" w:ascii="Times New Roman" w:hAnsi="Times New Roman" w:cs="Times New Roman"/>
          <w:color w:val="000000" w:themeColor="text1"/>
          <w:szCs w:val="20"/>
          <w:highlight w:val="none"/>
          <w:lang w:val="en-US" w:eastAsia="zh-CN"/>
          <w14:textFill>
            <w14:solidFill>
              <w14:schemeClr w14:val="tx1"/>
            </w14:solidFill>
          </w14:textFill>
        </w:rPr>
        <w:t>等均依托P106</w:t>
      </w:r>
      <w:r>
        <w:rPr>
          <w:rFonts w:hint="default" w:ascii="Times New Roman" w:hAnsi="Times New Roman" w:cs="Times New Roman"/>
          <w:color w:val="000000" w:themeColor="text1"/>
          <w:szCs w:val="20"/>
          <w:highlight w:val="none"/>
          <w14:textFill>
            <w14:solidFill>
              <w14:schemeClr w14:val="tx1"/>
            </w14:solidFill>
          </w14:textFill>
        </w:rPr>
        <w:t>集气站产生</w:t>
      </w:r>
      <w:r>
        <w:rPr>
          <w:rFonts w:hint="default" w:ascii="Times New Roman" w:hAnsi="Times New Roman" w:cs="Times New Roman"/>
          <w:color w:val="000000" w:themeColor="text1"/>
          <w:szCs w:val="20"/>
          <w:highlight w:val="none"/>
          <w:lang w:val="en-US" w:eastAsia="zh-CN"/>
          <w14:textFill>
            <w14:solidFill>
              <w14:schemeClr w14:val="tx1"/>
            </w14:solidFill>
          </w14:textFill>
        </w:rPr>
        <w:t>放空系统</w:t>
      </w:r>
      <w:r>
        <w:rPr>
          <w:rFonts w:hint="default" w:ascii="Times New Roman" w:hAnsi="Times New Roman" w:cs="Times New Roman"/>
          <w:color w:val="000000" w:themeColor="text1"/>
          <w:szCs w:val="20"/>
          <w:highlight w:val="none"/>
          <w14:textFill>
            <w14:solidFill>
              <w14:schemeClr w14:val="tx1"/>
            </w14:solidFill>
          </w14:textFill>
        </w:rPr>
        <w:t>点燃后高空排放，由于事故/检修概率较低，放空废气对周边环境影响较小。</w:t>
      </w:r>
    </w:p>
    <w:p>
      <w:pPr>
        <w:topLinePunct w:val="0"/>
        <w:adjustRightInd/>
        <w:ind w:firstLine="480"/>
        <w:rPr>
          <w:rFonts w:hint="default" w:ascii="Times New Roman" w:hAnsi="Times New Roman" w:cs="Times New Roman"/>
          <w:b/>
          <w:bCs/>
          <w:color w:val="000000" w:themeColor="text1"/>
          <w:szCs w:val="20"/>
          <w:highlight w:val="none"/>
          <w14:textFill>
            <w14:solidFill>
              <w14:schemeClr w14:val="tx1"/>
            </w14:solidFill>
          </w14:textFill>
        </w:rPr>
      </w:pPr>
      <w:r>
        <w:rPr>
          <w:rFonts w:hint="default" w:ascii="Times New Roman" w:hAnsi="Times New Roman" w:cs="Times New Roman"/>
          <w:b/>
          <w:bCs/>
          <w:color w:val="000000" w:themeColor="text1"/>
          <w:szCs w:val="20"/>
          <w:highlight w:val="none"/>
          <w14:textFill>
            <w14:solidFill>
              <w14:schemeClr w14:val="tx1"/>
            </w14:solidFill>
          </w14:textFill>
        </w:rPr>
        <w:t>（2）废水</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1）施工期</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①钻井废水</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钻井工程废水主要包括钻井废水、雨水、生活污水。</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lang w:val="en-US" w:eastAsia="zh-CN"/>
          <w14:textFill>
            <w14:solidFill>
              <w14:schemeClr w14:val="tx1"/>
            </w14:solidFill>
          </w14:textFill>
        </w:rPr>
        <w:t>原P106-2</w:t>
      </w:r>
      <w:r>
        <w:rPr>
          <w:rFonts w:hint="default" w:ascii="Times New Roman" w:hAnsi="Times New Roman" w:cs="Times New Roman"/>
          <w:color w:val="000000" w:themeColor="text1"/>
          <w:szCs w:val="20"/>
          <w:highlight w:val="none"/>
          <w14:textFill>
            <w14:solidFill>
              <w14:schemeClr w14:val="tx1"/>
            </w14:solidFill>
          </w14:textFill>
        </w:rPr>
        <w:t>井钻井废水主要污染物为钻井液体系成分，是钻井液体系的高倍稀释废水，COD、SS浓度较高；大部分水随泥浆进入泥浆净化系统，小部分水随钻屑进入岩屑池，经固液分离后，回收上清液用于泥浆配置，剩余废水处理达到毛开1井回注标准后回注，不外排，对周边地表水体影响很小。</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井场内四周设排水边沟，井场雨水随四周排水边沟汇至排放口，排放口设监控池，初期雨水收集进入污水池处理，后期雨水水质清洁后可直接外排。污水池收集雨水同钻井废水一同处理达到毛开1井回注标准后回注，不外排。</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lang w:eastAsia="zh-CN"/>
          <w14:textFill>
            <w14:solidFill>
              <w14:schemeClr w14:val="tx1"/>
            </w14:solidFill>
          </w14:textFill>
        </w:rPr>
        <w:t>原P106-2井</w:t>
      </w:r>
      <w:r>
        <w:rPr>
          <w:rFonts w:hint="default" w:ascii="Times New Roman" w:hAnsi="Times New Roman" w:cs="Times New Roman"/>
          <w:color w:val="000000" w:themeColor="text1"/>
          <w:szCs w:val="20"/>
          <w:highlight w:val="none"/>
          <w14:textFill>
            <w14:solidFill>
              <w14:schemeClr w14:val="tx1"/>
            </w14:solidFill>
          </w14:textFill>
        </w:rPr>
        <w:t>钻井施工期间井队施工人员生活污水经旱厕收集后用作农肥，对地表水的影响较小。</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根据调查调查，现场无相关环境问题，</w:t>
      </w:r>
      <w:r>
        <w:rPr>
          <w:rFonts w:hint="default" w:ascii="Times New Roman" w:hAnsi="Times New Roman" w:cs="Times New Roman"/>
          <w:color w:val="000000" w:themeColor="text1"/>
          <w:szCs w:val="20"/>
          <w:highlight w:val="none"/>
          <w:lang w:eastAsia="zh-CN"/>
          <w14:textFill>
            <w14:solidFill>
              <w14:schemeClr w14:val="tx1"/>
            </w14:solidFill>
          </w14:textFill>
        </w:rPr>
        <w:t>原P106-2井</w:t>
      </w:r>
      <w:r>
        <w:rPr>
          <w:rFonts w:hint="default" w:ascii="Times New Roman" w:hAnsi="Times New Roman" w:cs="Times New Roman"/>
          <w:color w:val="000000" w:themeColor="text1"/>
          <w:szCs w:val="20"/>
          <w:highlight w:val="none"/>
          <w14:textFill>
            <w14:solidFill>
              <w14:schemeClr w14:val="tx1"/>
            </w14:solidFill>
          </w14:textFill>
        </w:rPr>
        <w:t>钻井废水均已得到妥善处理。</w:t>
      </w:r>
    </w:p>
    <w:p>
      <w:pPr>
        <w:topLinePunct w:val="0"/>
        <w:adjustRightInd/>
        <w:ind w:firstLine="480"/>
        <w:rPr>
          <w:rFonts w:hint="default" w:ascii="Times New Roman" w:hAnsi="Times New Roman" w:cs="Times New Roman"/>
          <w:color w:val="000000" w:themeColor="text1"/>
          <w:szCs w:val="20"/>
          <w:highlight w:val="none"/>
          <w:lang w:val="en-US"/>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②</w:t>
      </w:r>
      <w:r>
        <w:rPr>
          <w:rFonts w:hint="default" w:ascii="Times New Roman" w:hAnsi="Times New Roman" w:cs="Times New Roman"/>
          <w:color w:val="000000" w:themeColor="text1"/>
          <w:szCs w:val="20"/>
          <w:highlight w:val="none"/>
          <w:lang w:val="en-US" w:eastAsia="zh-CN"/>
          <w14:textFill>
            <w14:solidFill>
              <w14:schemeClr w14:val="tx1"/>
            </w14:solidFill>
          </w14:textFill>
        </w:rPr>
        <w:t>压裂返排液</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lang w:eastAsia="zh-CN"/>
          <w14:textFill>
            <w14:solidFill>
              <w14:schemeClr w14:val="tx1"/>
            </w14:solidFill>
          </w14:textFill>
        </w:rPr>
        <w:t>原P106-2井</w:t>
      </w:r>
      <w:r>
        <w:rPr>
          <w:rFonts w:hint="default" w:ascii="Times New Roman" w:hAnsi="Times New Roman" w:cs="Times New Roman"/>
          <w:color w:val="000000" w:themeColor="text1"/>
          <w:szCs w:val="20"/>
          <w:highlight w:val="none"/>
          <w14:textFill>
            <w14:solidFill>
              <w14:schemeClr w14:val="tx1"/>
            </w14:solidFill>
          </w14:textFill>
        </w:rPr>
        <w:t>钻井工程废水主要包括</w:t>
      </w:r>
      <w:r>
        <w:rPr>
          <w:rFonts w:hint="default" w:ascii="Times New Roman" w:hAnsi="Times New Roman" w:cs="Times New Roman"/>
          <w:color w:val="000000" w:themeColor="text1"/>
          <w:szCs w:val="20"/>
          <w:highlight w:val="none"/>
          <w:lang w:val="en-US" w:eastAsia="zh-CN"/>
          <w14:textFill>
            <w14:solidFill>
              <w14:schemeClr w14:val="tx1"/>
            </w14:solidFill>
          </w14:textFill>
        </w:rPr>
        <w:t>压裂返排液</w:t>
      </w:r>
      <w:r>
        <w:rPr>
          <w:rFonts w:hint="default" w:ascii="Times New Roman" w:hAnsi="Times New Roman" w:cs="Times New Roman"/>
          <w:color w:val="000000" w:themeColor="text1"/>
          <w:szCs w:val="20"/>
          <w:highlight w:val="none"/>
          <w14:textFill>
            <w14:solidFill>
              <w14:schemeClr w14:val="tx1"/>
            </w14:solidFill>
          </w14:textFill>
        </w:rPr>
        <w:t>及生活污水。</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lang w:val="en-US" w:eastAsia="zh-CN"/>
          <w14:textFill>
            <w14:solidFill>
              <w14:schemeClr w14:val="tx1"/>
            </w14:solidFill>
          </w14:textFill>
        </w:rPr>
        <w:t>压裂返排液</w:t>
      </w:r>
      <w:r>
        <w:rPr>
          <w:rFonts w:hint="default" w:ascii="Times New Roman" w:hAnsi="Times New Roman" w:cs="Times New Roman"/>
          <w:color w:val="000000" w:themeColor="text1"/>
          <w:szCs w:val="20"/>
          <w:highlight w:val="none"/>
          <w14:textFill>
            <w14:solidFill>
              <w14:schemeClr w14:val="tx1"/>
            </w14:solidFill>
          </w14:textFill>
        </w:rPr>
        <w:t>临时储存于放喷池</w:t>
      </w:r>
      <w:r>
        <w:rPr>
          <w:rFonts w:hint="eastAsia" w:cs="Times New Roman"/>
          <w:color w:val="000000" w:themeColor="text1"/>
          <w:szCs w:val="20"/>
          <w:highlight w:val="none"/>
          <w:lang w:val="en-US" w:eastAsia="zh-CN"/>
          <w14:textFill>
            <w14:solidFill>
              <w14:schemeClr w14:val="tx1"/>
            </w14:solidFill>
          </w14:textFill>
        </w:rPr>
        <w:t>和压裂液储罐内</w:t>
      </w:r>
      <w:r>
        <w:rPr>
          <w:rFonts w:hint="default" w:ascii="Times New Roman" w:hAnsi="Times New Roman" w:cs="Times New Roman"/>
          <w:color w:val="000000" w:themeColor="text1"/>
          <w:szCs w:val="20"/>
          <w:highlight w:val="none"/>
          <w14:textFill>
            <w14:solidFill>
              <w14:schemeClr w14:val="tx1"/>
            </w14:solidFill>
          </w14:textFill>
        </w:rPr>
        <w:t>，施工完成后拉运至大湾403污水站处理达到毛开1井回注标准后回注，不外排，对周边地表水体基本无影响。</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施工期间井队施工人员生活污水经旱厕收集后用作农肥，对地表水的影响较小。</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2）运营期</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lang w:val="en-US" w:eastAsia="zh-CN"/>
          <w14:textFill>
            <w14:solidFill>
              <w14:schemeClr w14:val="tx1"/>
            </w14:solidFill>
          </w14:textFill>
        </w:rPr>
        <w:t>P106-2井运营期不建设生产流程，主要依托P106集气站进行采气生产。因此P106-2井运营期主要产污气田水通过P106集气站内设施进行</w:t>
      </w:r>
      <w:r>
        <w:rPr>
          <w:rFonts w:hint="default" w:ascii="Times New Roman" w:hAnsi="Times New Roman" w:cs="Times New Roman"/>
          <w:color w:val="000000" w:themeColor="text1"/>
          <w:szCs w:val="20"/>
          <w:highlight w:val="none"/>
          <w14:textFill>
            <w14:solidFill>
              <w14:schemeClr w14:val="tx1"/>
            </w14:solidFill>
          </w14:textFill>
        </w:rPr>
        <w:t>计量分离</w:t>
      </w:r>
      <w:r>
        <w:rPr>
          <w:rFonts w:hint="default" w:ascii="Times New Roman" w:hAnsi="Times New Roman" w:cs="Times New Roman"/>
          <w:color w:val="000000" w:themeColor="text1"/>
          <w:szCs w:val="20"/>
          <w:highlight w:val="none"/>
          <w:lang w:val="en-US" w:eastAsia="zh-CN"/>
          <w14:textFill>
            <w14:solidFill>
              <w14:schemeClr w14:val="tx1"/>
            </w14:solidFill>
          </w14:textFill>
        </w:rPr>
        <w:t>后</w:t>
      </w:r>
      <w:r>
        <w:rPr>
          <w:rFonts w:hint="default" w:ascii="Times New Roman" w:hAnsi="Times New Roman" w:cs="Times New Roman"/>
          <w:color w:val="000000" w:themeColor="text1"/>
          <w:szCs w:val="20"/>
          <w:highlight w:val="none"/>
          <w14:textFill>
            <w14:solidFill>
              <w14:schemeClr w14:val="tx1"/>
            </w14:solidFill>
          </w14:textFill>
        </w:rPr>
        <w:t>暂存于酸液缓冲罐，然后通过密闭罐车拉运至</w:t>
      </w:r>
      <w:r>
        <w:rPr>
          <w:rFonts w:hint="default" w:ascii="Times New Roman" w:hAnsi="Times New Roman" w:cs="Times New Roman"/>
          <w:color w:val="000000" w:themeColor="text1"/>
          <w:szCs w:val="20"/>
          <w:highlight w:val="none"/>
          <w:lang w:val="en-US" w:eastAsia="zh-CN"/>
          <w14:textFill>
            <w14:solidFill>
              <w14:schemeClr w14:val="tx1"/>
            </w14:solidFill>
          </w14:textFill>
        </w:rPr>
        <w:t>赵家坝</w:t>
      </w:r>
      <w:r>
        <w:rPr>
          <w:rFonts w:hint="default" w:ascii="Times New Roman" w:hAnsi="Times New Roman" w:cs="Times New Roman"/>
          <w:color w:val="000000" w:themeColor="text1"/>
          <w:szCs w:val="20"/>
          <w:highlight w:val="none"/>
          <w14:textFill>
            <w14:solidFill>
              <w14:schemeClr w14:val="tx1"/>
            </w14:solidFill>
          </w14:textFill>
        </w:rPr>
        <w:t>污水站处理达到《气田水回注方法》（SY/T 6596-2016）中注入水基本要求后管输至</w:t>
      </w:r>
      <w:r>
        <w:rPr>
          <w:rFonts w:hint="default" w:ascii="Times New Roman" w:hAnsi="Times New Roman" w:cs="Times New Roman"/>
          <w:color w:val="000000" w:themeColor="text1"/>
          <w:szCs w:val="20"/>
          <w:highlight w:val="none"/>
          <w:lang w:val="en-US" w:eastAsia="zh-CN"/>
          <w14:textFill>
            <w14:solidFill>
              <w14:schemeClr w14:val="tx1"/>
            </w14:solidFill>
          </w14:textFill>
        </w:rPr>
        <w:t>普光11</w:t>
      </w:r>
      <w:r>
        <w:rPr>
          <w:rFonts w:hint="default" w:ascii="Times New Roman" w:hAnsi="Times New Roman" w:cs="Times New Roman"/>
          <w:color w:val="000000" w:themeColor="text1"/>
          <w:szCs w:val="20"/>
          <w:highlight w:val="none"/>
          <w14:textFill>
            <w14:solidFill>
              <w14:schemeClr w14:val="tx1"/>
            </w14:solidFill>
          </w14:textFill>
        </w:rPr>
        <w:t>井回注站回注处理，不外排。</w:t>
      </w:r>
    </w:p>
    <w:p>
      <w:pPr>
        <w:topLinePunct w:val="0"/>
        <w:adjustRightInd/>
        <w:ind w:firstLine="480"/>
        <w:rPr>
          <w:rFonts w:hint="default" w:ascii="Times New Roman" w:hAnsi="Times New Roman" w:cs="Times New Roman"/>
          <w:b/>
          <w:bCs/>
          <w:color w:val="000000" w:themeColor="text1"/>
          <w:szCs w:val="20"/>
          <w:highlight w:val="none"/>
          <w14:textFill>
            <w14:solidFill>
              <w14:schemeClr w14:val="tx1"/>
            </w14:solidFill>
          </w14:textFill>
        </w:rPr>
      </w:pPr>
      <w:r>
        <w:rPr>
          <w:rFonts w:hint="default" w:ascii="Times New Roman" w:hAnsi="Times New Roman" w:cs="Times New Roman"/>
          <w:b/>
          <w:bCs/>
          <w:color w:val="000000" w:themeColor="text1"/>
          <w:szCs w:val="20"/>
          <w:highlight w:val="none"/>
          <w14:textFill>
            <w14:solidFill>
              <w14:schemeClr w14:val="tx1"/>
            </w14:solidFill>
          </w14:textFill>
        </w:rPr>
        <w:t>（3）噪声</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1）施工期</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项目产生的噪声主要是钻井噪声、压裂噪声和放喷噪声，随着钻井工程的结束，噪声消失。</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2）运营期</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lang w:val="en-US" w:eastAsia="zh-CN"/>
          <w14:textFill>
            <w14:solidFill>
              <w14:schemeClr w14:val="tx1"/>
            </w14:solidFill>
          </w14:textFill>
        </w:rPr>
        <w:t>P106-2井运营期不建设生产流程，主要依托P106集气站进行采气生产。因此P106-2运营期主要噪声为井口处及接入P106集气站地面流程的管道气流噪声，噪声源强较小</w:t>
      </w:r>
      <w:r>
        <w:rPr>
          <w:rFonts w:hint="default" w:ascii="Times New Roman" w:hAnsi="Times New Roman" w:cs="Times New Roman"/>
          <w:color w:val="000000" w:themeColor="text1"/>
          <w:szCs w:val="20"/>
          <w:highlight w:val="none"/>
          <w14:textFill>
            <w14:solidFill>
              <w14:schemeClr w14:val="tx1"/>
            </w14:solidFill>
          </w14:textFill>
        </w:rPr>
        <w:t>，对周围声环境影响较小。</w:t>
      </w:r>
    </w:p>
    <w:p>
      <w:pPr>
        <w:topLinePunct w:val="0"/>
        <w:adjustRightInd/>
        <w:ind w:firstLine="480"/>
        <w:rPr>
          <w:rFonts w:hint="default" w:ascii="Times New Roman" w:hAnsi="Times New Roman" w:cs="Times New Roman"/>
          <w:b/>
          <w:bCs/>
          <w:color w:val="000000" w:themeColor="text1"/>
          <w:szCs w:val="20"/>
          <w:highlight w:val="none"/>
          <w14:textFill>
            <w14:solidFill>
              <w14:schemeClr w14:val="tx1"/>
            </w14:solidFill>
          </w14:textFill>
        </w:rPr>
      </w:pPr>
      <w:r>
        <w:rPr>
          <w:rFonts w:hint="default" w:ascii="Times New Roman" w:hAnsi="Times New Roman" w:cs="Times New Roman"/>
          <w:b/>
          <w:bCs/>
          <w:color w:val="000000" w:themeColor="text1"/>
          <w:szCs w:val="20"/>
          <w:highlight w:val="none"/>
          <w14:textFill>
            <w14:solidFill>
              <w14:schemeClr w14:val="tx1"/>
            </w14:solidFill>
          </w14:textFill>
        </w:rPr>
        <w:t>（4）固废</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1）施工期</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钻完井过程产生的固废主要包括钻井岩屑、废泥浆、废油、生活垃圾等。</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①钻井岩屑和废泥浆</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钻井过程产生的岩屑于临时堆放于岩屑池，空气钻结束后用于井场低洼区域回填，不外运处置。废弃泥浆和岩屑均转运至普光工业园区</w:t>
      </w:r>
      <w:r>
        <w:rPr>
          <w:rFonts w:hint="default" w:ascii="Times New Roman" w:hAnsi="Times New Roman" w:cs="Times New Roman"/>
          <w:color w:val="000000" w:themeColor="text1"/>
          <w:szCs w:val="20"/>
          <w:highlight w:val="none"/>
          <w:lang w:val="en-US" w:eastAsia="zh-CN"/>
          <w14:textFill>
            <w14:solidFill>
              <w14:schemeClr w14:val="tx1"/>
            </w14:solidFill>
          </w14:textFill>
        </w:rPr>
        <w:t>周边</w:t>
      </w:r>
      <w:r>
        <w:rPr>
          <w:rFonts w:hint="default" w:ascii="Times New Roman" w:hAnsi="Times New Roman" w:cs="Times New Roman"/>
          <w:color w:val="000000" w:themeColor="text1"/>
          <w:szCs w:val="20"/>
          <w:highlight w:val="none"/>
          <w14:textFill>
            <w14:solidFill>
              <w14:schemeClr w14:val="tx1"/>
            </w14:solidFill>
          </w14:textFill>
        </w:rPr>
        <w:t>固废烧结厂进行烧结后综合利用。</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②废油</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钻井过程中废油的主要来源是：机械（泥浆泵、转盘、链条等）润滑废油；清洗、保养产生的废油。本项目严格执行《危险废物收集 贮存 运输技术规范》（HJ2025-2012）的相关规定，对产生的废油集中收集、贮存、运输和处置，不外排。废油由有资质单位处理。</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③生活垃圾</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钻完井期间产生的生活垃圾井场设垃圾桶进行收集，定期交由当地环卫部门统一处理，不外排。</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2）运营期</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lang w:val="en-US" w:eastAsia="zh-CN"/>
          <w14:textFill>
            <w14:solidFill>
              <w14:schemeClr w14:val="tx1"/>
            </w14:solidFill>
          </w14:textFill>
        </w:rPr>
        <w:t>P106-2井运营期不建设生产流程，主要依托P106集气站进行采气生产。因此P106-2运营期无固废产出</w:t>
      </w:r>
      <w:r>
        <w:rPr>
          <w:rFonts w:hint="default" w:ascii="Times New Roman" w:hAnsi="Times New Roman" w:cs="Times New Roman"/>
          <w:color w:val="000000" w:themeColor="text1"/>
          <w:szCs w:val="20"/>
          <w:highlight w:val="none"/>
          <w14:textFill>
            <w14:solidFill>
              <w14:schemeClr w14:val="tx1"/>
            </w14:solidFill>
          </w14:textFill>
        </w:rPr>
        <w:t>。</w:t>
      </w:r>
    </w:p>
    <w:p>
      <w:pPr>
        <w:topLinePunct w:val="0"/>
        <w:adjustRightInd/>
        <w:ind w:firstLine="480"/>
        <w:rPr>
          <w:rFonts w:hint="default" w:ascii="Times New Roman" w:hAnsi="Times New Roman" w:cs="Times New Roman"/>
          <w:b/>
          <w:bCs/>
          <w:color w:val="000000" w:themeColor="text1"/>
          <w:szCs w:val="20"/>
          <w:highlight w:val="none"/>
          <w14:textFill>
            <w14:solidFill>
              <w14:schemeClr w14:val="tx1"/>
            </w14:solidFill>
          </w14:textFill>
        </w:rPr>
      </w:pPr>
      <w:r>
        <w:rPr>
          <w:rFonts w:hint="default" w:ascii="Times New Roman" w:hAnsi="Times New Roman" w:cs="Times New Roman"/>
          <w:b/>
          <w:bCs/>
          <w:color w:val="000000" w:themeColor="text1"/>
          <w:szCs w:val="20"/>
          <w:highlight w:val="none"/>
          <w14:textFill>
            <w14:solidFill>
              <w14:schemeClr w14:val="tx1"/>
            </w14:solidFill>
          </w14:textFill>
        </w:rPr>
        <w:t>（5）生态环境</w:t>
      </w:r>
    </w:p>
    <w:p>
      <w:pPr>
        <w:topLinePunct w:val="0"/>
        <w:adjustRightInd/>
        <w:ind w:firstLine="480"/>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lang w:val="en-US" w:eastAsia="zh-CN"/>
          <w14:textFill>
            <w14:solidFill>
              <w14:schemeClr w14:val="tx1"/>
            </w14:solidFill>
          </w14:textFill>
        </w:rPr>
        <w:t>P106-2井</w:t>
      </w:r>
      <w:r>
        <w:rPr>
          <w:rFonts w:hint="default" w:ascii="Times New Roman" w:hAnsi="Times New Roman" w:cs="Times New Roman"/>
          <w:color w:val="000000" w:themeColor="text1"/>
          <w:szCs w:val="20"/>
          <w:highlight w:val="none"/>
          <w14:textFill>
            <w14:solidFill>
              <w14:schemeClr w14:val="tx1"/>
            </w14:solidFill>
          </w14:textFill>
        </w:rPr>
        <w:t>井场表面铺设了碎石，有效防止了雨水冲刷；场地周围修临时排水沟，临坡面做护坡处理，有效防治了水土流失；已对施工现场边坡及其他临时占地进行</w:t>
      </w:r>
      <w:r>
        <w:rPr>
          <w:rFonts w:hint="default" w:ascii="Times New Roman" w:hAnsi="Times New Roman" w:cs="Times New Roman"/>
          <w:color w:val="000000" w:themeColor="text1"/>
          <w:szCs w:val="21"/>
          <w:highlight w:val="none"/>
          <w14:textFill>
            <w14:solidFill>
              <w14:schemeClr w14:val="tx1"/>
            </w14:solidFill>
          </w14:textFill>
        </w:rPr>
        <w:t>土地复垦和植被恢复。</w:t>
      </w:r>
    </w:p>
    <w:p>
      <w:pPr>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（6）存在主要问题及整改措施：</w:t>
      </w:r>
    </w:p>
    <w:p>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根据现场调查，</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P106-2井</w:t>
      </w:r>
      <w:r>
        <w:rPr>
          <w:rFonts w:hint="default" w:ascii="Times New Roman" w:hAnsi="Times New Roman" w:cs="Times New Roman"/>
          <w:color w:val="000000" w:themeColor="text1"/>
          <w:sz w:val="24"/>
          <w:szCs w:val="24"/>
          <w:highlight w:val="none"/>
          <w:lang w:eastAsia="zh-CN"/>
          <w14:textFill>
            <w14:solidFill>
              <w14:schemeClr w14:val="tx1"/>
            </w14:solidFill>
          </w14:textFill>
        </w:rPr>
        <w:t>钻井施工期产生的各类污染物均已得到妥善的处置，现场无遗留，除保留的井场、进场道路、放喷池、清水池、废水池、放空立管区等，其余临时占地均已复垦，植被恢复良好。</w:t>
      </w:r>
      <w:bookmarkStart w:id="149" w:name="_Hlk112141388"/>
      <w:r>
        <w:rPr>
          <w:rFonts w:hint="default" w:ascii="Times New Roman" w:hAnsi="Times New Roman" w:cs="Times New Roman"/>
          <w:color w:val="000000" w:themeColor="text1"/>
          <w:sz w:val="24"/>
          <w:szCs w:val="24"/>
          <w:highlight w:val="none"/>
          <w:lang w:eastAsia="zh-CN"/>
          <w14:textFill>
            <w14:solidFill>
              <w14:schemeClr w14:val="tx1"/>
            </w14:solidFill>
          </w14:textFill>
        </w:rPr>
        <w:t>岩屑池（即本文指的清水池、废水池）固化的</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岩屑、废泥浆已于完成转运</w:t>
      </w:r>
      <w:r>
        <w:rPr>
          <w:rFonts w:hint="default" w:ascii="Times New Roman" w:hAnsi="Times New Roman" w:cs="Times New Roman"/>
          <w:color w:val="000000" w:themeColor="text1"/>
          <w:sz w:val="24"/>
          <w:szCs w:val="24"/>
          <w:highlight w:val="none"/>
          <w:lang w:eastAsia="zh-CN"/>
          <w14:textFill>
            <w14:solidFill>
              <w14:schemeClr w14:val="tx1"/>
            </w14:solidFill>
          </w14:textFill>
        </w:rPr>
        <w:t>。根据本次在岩屑池（即本文指的废水池）地下水流向下游设置的1个土壤柱状样监测点可知</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项目</w:t>
      </w:r>
      <w:r>
        <w:rPr>
          <w:rFonts w:hint="default" w:ascii="Times New Roman" w:hAnsi="Times New Roman" w:cs="Times New Roman"/>
          <w:color w:val="000000" w:themeColor="text1"/>
          <w:sz w:val="24"/>
          <w:szCs w:val="24"/>
          <w:highlight w:val="none"/>
          <w:lang w:eastAsia="zh-CN"/>
          <w14:textFill>
            <w14:solidFill>
              <w14:schemeClr w14:val="tx1"/>
            </w14:solidFill>
          </w14:textFill>
        </w:rPr>
        <w:t>运至今未对区域土壤造成污染影响，</w:t>
      </w:r>
      <w:bookmarkEnd w:id="149"/>
      <w:r>
        <w:rPr>
          <w:rFonts w:hint="default" w:ascii="Times New Roman" w:hAnsi="Times New Roman" w:cs="Times New Roman"/>
          <w:color w:val="000000" w:themeColor="text1"/>
          <w:sz w:val="24"/>
          <w:szCs w:val="24"/>
          <w:highlight w:val="none"/>
          <w:lang w:eastAsia="zh-CN"/>
          <w14:textFill>
            <w14:solidFill>
              <w14:schemeClr w14:val="tx1"/>
            </w14:solidFill>
          </w14:textFill>
        </w:rPr>
        <w:t>因此不存在需“以新带老”的环境问题</w:t>
      </w:r>
      <w:r>
        <w:rPr>
          <w:rFonts w:hint="default" w:ascii="Times New Roman" w:hAnsi="Times New Roman" w:cs="Times New Roman"/>
          <w:bCs/>
          <w:color w:val="000000" w:themeColor="text1"/>
          <w:sz w:val="24"/>
          <w:highlight w:val="none"/>
          <w:lang w:eastAsia="zh-CN"/>
          <w14:textFill>
            <w14:solidFill>
              <w14:schemeClr w14:val="tx1"/>
            </w14:solidFill>
          </w14:textFill>
        </w:rPr>
        <w:t>。</w:t>
      </w:r>
    </w:p>
    <w:p>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经走访调查，</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P106-2</w:t>
      </w:r>
      <w:r>
        <w:rPr>
          <w:rFonts w:hint="default" w:ascii="Times New Roman" w:hAnsi="Times New Roman" w:cs="Times New Roman"/>
          <w:color w:val="000000" w:themeColor="text1"/>
          <w:sz w:val="24"/>
          <w:szCs w:val="24"/>
          <w:highlight w:val="none"/>
          <w:lang w:eastAsia="zh-CN"/>
          <w14:textFill>
            <w14:solidFill>
              <w14:schemeClr w14:val="tx1"/>
            </w14:solidFill>
          </w14:textFill>
        </w:rPr>
        <w:t>井未发生污染事故及投诉事件。</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150" w:name="3.4.1施工期污染源强分析"/>
      <w:bookmarkEnd w:id="150"/>
      <w:bookmarkStart w:id="151" w:name="_Toc120173112"/>
      <w:r>
        <w:rPr>
          <w:rFonts w:hint="default" w:ascii="Times New Roman" w:hAnsi="Times New Roman" w:cs="Times New Roman"/>
          <w:color w:val="000000" w:themeColor="text1"/>
          <w:highlight w:val="none"/>
          <w:lang w:val="en-US" w:eastAsia="zh-CN"/>
          <w14:textFill>
            <w14:solidFill>
              <w14:schemeClr w14:val="tx1"/>
            </w14:solidFill>
          </w14:textFill>
        </w:rPr>
        <w:t>拟建项目</w:t>
      </w:r>
      <w:r>
        <w:rPr>
          <w:rFonts w:hint="default" w:ascii="Times New Roman" w:hAnsi="Times New Roman" w:cs="Times New Roman"/>
          <w:color w:val="000000" w:themeColor="text1"/>
          <w:highlight w:val="none"/>
          <w:lang w:eastAsia="zh-CN"/>
          <w14:textFill>
            <w14:solidFill>
              <w14:schemeClr w14:val="tx1"/>
            </w14:solidFill>
          </w14:textFill>
        </w:rPr>
        <w:t>施工期污染源强分析</w:t>
      </w:r>
      <w:bookmarkEnd w:id="151"/>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钻前工程</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本项目依托已有P106集气站进行建设，钻前工程量较小，钻前工程污染源产生及治理情况如下。</w:t>
      </w:r>
    </w:p>
    <w:p>
      <w:pPr>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（1）废气</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钻前施工人员多为当地民工，租住在附近农户家中，不设集中生活营区，无集中生活废气排放。钻前工程大气污染物主要为施工机械尾气（含</w:t>
      </w:r>
      <w:r>
        <w:rPr>
          <w:rFonts w:hint="default" w:ascii="Times New Roman" w:hAnsi="Times New Roman" w:cs="Times New Roman"/>
          <w:color w:val="000000" w:themeColor="text1"/>
          <w:highlight w:val="none"/>
          <w14:textFill>
            <w14:solidFill>
              <w14:schemeClr w14:val="tx1"/>
            </w14:solidFill>
          </w14:textFill>
        </w:rPr>
        <w:t>运输车辆尾气</w:t>
      </w:r>
      <w:r>
        <w:rPr>
          <w:rFonts w:hint="default" w:ascii="Times New Roman" w:hAnsi="Times New Roman" w:cs="Times New Roman"/>
          <w:color w:val="000000" w:themeColor="text1"/>
          <w:szCs w:val="24"/>
          <w:highlight w:val="none"/>
          <w14:textFill>
            <w14:solidFill>
              <w14:schemeClr w14:val="tx1"/>
            </w14:solidFill>
          </w14:textFill>
        </w:rPr>
        <w:t>）和施工粉尘，但属短期影响（钻前施工工期约60天）。施工机械尾气为燃油发电机、车辆排放尾气，主要污染物为NOx和CO，施工机械使用合格燃油、加强设备保养、运输车辆控制车速等。粉尘主要源于水泥搅拌、材料运输及使用过程中的粉尘散落以及修筑钻井场地和井场外道路的挖填方转运工程中的二次扬尘，施工现场设置围栏或部分围栏、遮盖、洒水抑尘等，减少起尘量。</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（2）废水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钻前工程的废水主要施工废水</w:t>
      </w:r>
      <w:r>
        <w:rPr>
          <w:rFonts w:hint="default" w:ascii="Times New Roman" w:hAnsi="Times New Roman" w:cs="Times New Roman"/>
          <w:bCs/>
          <w:color w:val="000000" w:themeColor="text1"/>
          <w:szCs w:val="24"/>
          <w:highlight w:val="none"/>
          <w14:textFill>
            <w14:solidFill>
              <w14:schemeClr w14:val="tx1"/>
            </w14:solidFill>
          </w14:textFill>
        </w:rPr>
        <w:t>（主要污染物为SS）</w:t>
      </w:r>
      <w:r>
        <w:rPr>
          <w:rFonts w:hint="default" w:ascii="Times New Roman" w:hAnsi="Times New Roman" w:cs="Times New Roman"/>
          <w:color w:val="000000" w:themeColor="text1"/>
          <w:szCs w:val="24"/>
          <w:highlight w:val="none"/>
          <w14:textFill>
            <w14:solidFill>
              <w14:schemeClr w14:val="tx1"/>
            </w14:solidFill>
          </w14:textFill>
        </w:rPr>
        <w:t>以及施工人员的生活污水（主要污染物为</w:t>
      </w:r>
      <w:r>
        <w:rPr>
          <w:rFonts w:hint="default" w:ascii="Times New Roman" w:hAnsi="Times New Roman" w:cs="Times New Roman"/>
          <w:bCs/>
          <w:color w:val="000000" w:themeColor="text1"/>
          <w:szCs w:val="24"/>
          <w:highlight w:val="none"/>
          <w14:textFill>
            <w14:solidFill>
              <w14:schemeClr w14:val="tx1"/>
            </w14:solidFill>
          </w14:textFill>
        </w:rPr>
        <w:t>COD、SS和NH</w:t>
      </w:r>
      <w:r>
        <w:rPr>
          <w:rFonts w:hint="default" w:ascii="Times New Roman" w:hAnsi="Times New Roman" w:cs="Times New Roman"/>
          <w:bCs/>
          <w:color w:val="000000" w:themeColor="text1"/>
          <w:szCs w:val="24"/>
          <w:highlight w:val="none"/>
          <w:vertAlign w:val="sub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-N等</w:t>
      </w:r>
      <w:r>
        <w:rPr>
          <w:rFonts w:hint="default" w:ascii="Times New Roman" w:hAnsi="Times New Roman" w:cs="Times New Roman"/>
          <w:color w:val="000000" w:themeColor="text1"/>
          <w:szCs w:val="24"/>
          <w:highlight w:val="none"/>
          <w14:textFill>
            <w14:solidFill>
              <w14:schemeClr w14:val="tx1"/>
            </w14:solidFill>
          </w14:textFill>
        </w:rPr>
        <w:t>）。钻前工程高峰时日上工人数约30人，</w:t>
      </w:r>
      <w:r>
        <w:rPr>
          <w:rFonts w:hint="default" w:ascii="Times New Roman" w:hAnsi="Times New Roman" w:cs="Times New Roman"/>
          <w:bCs/>
          <w:color w:val="000000" w:themeColor="text1"/>
          <w:highlight w:val="none"/>
          <w14:textFill>
            <w14:solidFill>
              <w14:schemeClr w14:val="tx1"/>
            </w14:solidFill>
          </w14:textFill>
        </w:rPr>
        <w:t>每人每天用水量为80L，排污系数为0.8，则钻井期间井场的生活用水量为</w:t>
      </w:r>
      <w:r>
        <w:rPr>
          <w:rFonts w:hint="default" w:ascii="Times New Roman" w:hAnsi="Times New Roman" w:cs="Times New Roman"/>
          <w:bCs/>
          <w:color w:val="000000" w:themeColor="text1"/>
          <w:highlight w:val="none"/>
          <w:lang w:val="en-US" w:eastAsia="zh-CN"/>
          <w14:textFill>
            <w14:solidFill>
              <w14:schemeClr w14:val="tx1"/>
            </w14:solidFill>
          </w14:textFill>
        </w:rPr>
        <w:t>24</w:t>
      </w:r>
      <w:r>
        <w:rPr>
          <w:rFonts w:hint="default" w:ascii="Times New Roman" w:hAnsi="Times New Roman" w:cs="Times New Roman"/>
          <w:bCs/>
          <w:color w:val="000000" w:themeColor="text1"/>
          <w:highlight w:val="none"/>
          <w14:textFill>
            <w14:solidFill>
              <w14:schemeClr w14:val="tx1"/>
            </w14:solidFill>
          </w14:textFill>
        </w:rPr>
        <w:t>00L/d，污水产生量为</w:t>
      </w:r>
      <w:r>
        <w:rPr>
          <w:rFonts w:hint="default" w:ascii="Times New Roman" w:hAnsi="Times New Roman" w:cs="Times New Roman"/>
          <w:bCs/>
          <w:color w:val="000000" w:themeColor="text1"/>
          <w:highlight w:val="none"/>
          <w:lang w:val="en-US" w:eastAsia="zh-CN"/>
          <w14:textFill>
            <w14:solidFill>
              <w14:schemeClr w14:val="tx1"/>
            </w14:solidFill>
          </w14:textFill>
        </w:rPr>
        <w:t>192</w:t>
      </w:r>
      <w:r>
        <w:rPr>
          <w:rFonts w:hint="default" w:ascii="Times New Roman" w:hAnsi="Times New Roman" w:cs="Times New Roman"/>
          <w:bCs/>
          <w:color w:val="000000" w:themeColor="text1"/>
          <w:highlight w:val="none"/>
          <w14:textFill>
            <w14:solidFill>
              <w14:schemeClr w14:val="tx1"/>
            </w14:solidFill>
          </w14:textFill>
        </w:rPr>
        <w:t>0L/d。</w:t>
      </w:r>
      <w:r>
        <w:rPr>
          <w:rFonts w:hint="default" w:ascii="Times New Roman" w:hAnsi="Times New Roman" w:cs="Times New Roman"/>
          <w:color w:val="000000" w:themeColor="text1"/>
          <w:szCs w:val="24"/>
          <w:highlight w:val="none"/>
          <w14:textFill>
            <w14:solidFill>
              <w14:schemeClr w14:val="tx1"/>
            </w14:solidFill>
          </w14:textFill>
        </w:rPr>
        <w:t>主要为附近民工，上述人员租住在附近农户，其产生的生活污水利用农户已有的设施进行收集处置，施工现场基本不产生生活污水；钻前施工主要为土建施工，还会产生车辆清洗、砂石料</w:t>
      </w:r>
      <w:r>
        <w:rPr>
          <w:rFonts w:hint="default" w:ascii="Times New Roman" w:hAnsi="Times New Roman" w:cs="Times New Roman"/>
          <w:color w:val="000000" w:themeColor="text1"/>
          <w:szCs w:val="24"/>
          <w:highlight w:val="none"/>
          <w:lang w:eastAsia="zh-CN"/>
          <w14:textFill>
            <w14:solidFill>
              <w14:schemeClr w14:val="tx1"/>
            </w14:solidFill>
          </w14:textFill>
        </w:rPr>
        <w:t>拌和</w:t>
      </w:r>
      <w:r>
        <w:rPr>
          <w:rFonts w:hint="default" w:ascii="Times New Roman" w:hAnsi="Times New Roman" w:cs="Times New Roman"/>
          <w:color w:val="000000" w:themeColor="text1"/>
          <w:szCs w:val="24"/>
          <w:highlight w:val="none"/>
          <w14:textFill>
            <w14:solidFill>
              <w14:schemeClr w14:val="tx1"/>
            </w14:solidFill>
          </w14:textFill>
        </w:rPr>
        <w:t>及混凝土养护、施工机具保洁废水等</w:t>
      </w:r>
      <w:r>
        <w:rPr>
          <w:rFonts w:hint="default" w:ascii="Times New Roman" w:hAnsi="Times New Roman" w:cs="Times New Roman"/>
          <w:color w:val="000000" w:themeColor="text1"/>
          <w:szCs w:val="24"/>
          <w:highlight w:val="none"/>
          <w:lang w:eastAsia="zh-CN"/>
          <w14:textFill>
            <w14:solidFill>
              <w14:schemeClr w14:val="tx1"/>
            </w14:solidFill>
          </w14:textFill>
        </w:rPr>
        <w:t>，以</w:t>
      </w:r>
      <w:r>
        <w:rPr>
          <w:rFonts w:hint="default" w:ascii="Times New Roman" w:hAnsi="Times New Roman" w:cs="Times New Roman"/>
          <w:color w:val="000000" w:themeColor="text1"/>
          <w:szCs w:val="24"/>
          <w:highlight w:val="none"/>
          <w14:textFill>
            <w14:solidFill>
              <w14:schemeClr w14:val="tx1"/>
            </w14:solidFill>
          </w14:textFill>
        </w:rPr>
        <w:t>及道路施工遇雨水产生的地表径流，产生地点分散，产生量较小，污染因子以石油类和SS为主。本项目在施工现场设置沉淀池，施工废水经隔油沉淀处理后回用于洒水降尘，不外排。</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（3）噪声</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钻前工程施工期的噪声主要是推土机、挖掘机、载重汽车等运行中产生的，噪声级见</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_Ref142593469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。虽为短期施工，但应采取措施减少其对附近居民的影响。由于钻前施工工程量小，且为野外作业，钻前工程夜间不施工作业。</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52" w:name="_Ref142593469"/>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152"/>
      <w:r>
        <w:rPr>
          <w:rFonts w:hint="default" w:ascii="Times New Roman" w:hAnsi="Times New Roman" w:cs="Times New Roman"/>
          <w:color w:val="000000" w:themeColor="text1"/>
          <w:highlight w:val="none"/>
          <w14:textFill>
            <w14:solidFill>
              <w14:schemeClr w14:val="tx1"/>
            </w14:solidFill>
          </w14:textFill>
        </w:rPr>
        <w:t xml:space="preserve"> 主要施工机具噪声源强表</w:t>
      </w:r>
    </w:p>
    <w:tbl>
      <w:tblPr>
        <w:tblStyle w:val="52"/>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04"/>
        <w:gridCol w:w="1418"/>
        <w:gridCol w:w="1701"/>
        <w:gridCol w:w="1842"/>
        <w:gridCol w:w="1282"/>
        <w:gridCol w:w="12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04"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1418"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设备名称</w:t>
            </w:r>
          </w:p>
        </w:tc>
        <w:tc>
          <w:tcPr>
            <w:tcW w:w="170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测点距施工机具距离（m）</w:t>
            </w:r>
          </w:p>
        </w:tc>
        <w:tc>
          <w:tcPr>
            <w:tcW w:w="184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最大声级</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（dB（A））</w:t>
            </w:r>
          </w:p>
        </w:tc>
        <w:tc>
          <w:tcPr>
            <w:tcW w:w="128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运行方式</w:t>
            </w:r>
          </w:p>
        </w:tc>
        <w:tc>
          <w:tcPr>
            <w:tcW w:w="0" w:type="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运行时间（h）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推土机</w:t>
            </w: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18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85</w:t>
            </w:r>
          </w:p>
        </w:tc>
        <w:tc>
          <w:tcPr>
            <w:tcW w:w="128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移动设备</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间断，&lt;4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挖掘机</w:t>
            </w: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18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84</w:t>
            </w:r>
          </w:p>
        </w:tc>
        <w:tc>
          <w:tcPr>
            <w:tcW w:w="128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移动设备</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间断，&lt;2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载重汽车</w:t>
            </w: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18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82</w:t>
            </w:r>
          </w:p>
        </w:tc>
        <w:tc>
          <w:tcPr>
            <w:tcW w:w="128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移动设备</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间断，&lt;2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钻孔机</w:t>
            </w: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18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100</w:t>
            </w:r>
          </w:p>
        </w:tc>
        <w:tc>
          <w:tcPr>
            <w:tcW w:w="128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移动设备</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间断，&lt;4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空压机</w:t>
            </w: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18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101</w:t>
            </w:r>
          </w:p>
        </w:tc>
        <w:tc>
          <w:tcPr>
            <w:tcW w:w="128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移动设备</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间断，&lt;4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柴油发电机</w:t>
            </w: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18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98</w:t>
            </w:r>
          </w:p>
        </w:tc>
        <w:tc>
          <w:tcPr>
            <w:tcW w:w="128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移动设备</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间断，&lt;2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振动棒</w:t>
            </w: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184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100</w:t>
            </w:r>
          </w:p>
        </w:tc>
        <w:tc>
          <w:tcPr>
            <w:tcW w:w="128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移动设备</w:t>
            </w:r>
          </w:p>
        </w:tc>
        <w:tc>
          <w:tcPr>
            <w:tcW w:w="0" w:type="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间断，&lt;4</w:t>
            </w:r>
          </w:p>
        </w:tc>
      </w:tr>
    </w:tbl>
    <w:p>
      <w:pPr>
        <w:spacing w:before="120" w:beforeLines="50"/>
        <w:ind w:firstLine="482"/>
        <w:rPr>
          <w:rFonts w:hint="default" w:ascii="Times New Roman" w:hAnsi="Times New Roman" w:cs="Times New Roman"/>
          <w:b/>
          <w:bCs/>
          <w:color w:val="000000" w:themeColor="text1"/>
          <w:szCs w:val="24"/>
          <w:highlight w:val="none"/>
          <w14:textFill>
            <w14:solidFill>
              <w14:schemeClr w14:val="tx1"/>
            </w14:solidFill>
          </w14:textFill>
        </w:rPr>
      </w:pPr>
    </w:p>
    <w:p>
      <w:pPr>
        <w:spacing w:before="120" w:beforeLines="50"/>
        <w:ind w:firstLine="482"/>
        <w:rPr>
          <w:rFonts w:hint="default" w:ascii="Times New Roman" w:hAnsi="Times New Roman" w:cs="Times New Roman"/>
          <w:b/>
          <w:bCs/>
          <w:color w:val="000000" w:themeColor="text1"/>
          <w:szCs w:val="24"/>
          <w:highlight w:val="none"/>
          <w14:textFill>
            <w14:solidFill>
              <w14:schemeClr w14:val="tx1"/>
            </w14:solidFill>
          </w14:textFill>
        </w:rPr>
      </w:pPr>
    </w:p>
    <w:p>
      <w:pPr>
        <w:spacing w:before="120" w:beforeLines="50"/>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（4）固废</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本项目场地已平整，钻前固废主要有钻前工程设备基础施工开挖带来的临时弃土石方，</w:t>
      </w:r>
      <w:r>
        <w:rPr>
          <w:rFonts w:hint="default" w:ascii="Times New Roman" w:hAnsi="Times New Roman" w:cs="Times New Roman"/>
          <w:color w:val="000000" w:themeColor="text1"/>
          <w:highlight w:val="none"/>
          <w14:textFill>
            <w14:solidFill>
              <w14:schemeClr w14:val="tx1"/>
            </w14:solidFill>
          </w14:textFill>
        </w:rPr>
        <w:t>集中堆放至井场东侧的表土堆场，表土用于后期生态恢复，综合利用</w:t>
      </w:r>
      <w:r>
        <w:rPr>
          <w:rFonts w:hint="default" w:ascii="Times New Roman" w:hAnsi="Times New Roman" w:cs="Times New Roman"/>
          <w:color w:val="000000" w:themeColor="text1"/>
          <w:szCs w:val="24"/>
          <w:highlight w:val="none"/>
          <w14:textFill>
            <w14:solidFill>
              <w14:schemeClr w14:val="tx1"/>
            </w14:solidFill>
          </w14:textFill>
        </w:rPr>
        <w:t>。此外，本项目仅生活区临时占地为新增占地，不涉及表土剥离。施工过程中会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（5）生态环境影响</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拟建项目钻前工程对生态环境的主要影响因素包括场地基础开挖、土石方回填、构筑物建设等活动对土地的扰动作用。通常说来，生态影响效果主要包括改变土地利用性质、造成水土流失等。</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1）土地利用性质改变</w:t>
      </w:r>
    </w:p>
    <w:p>
      <w:pPr>
        <w:ind w:firstLine="480"/>
        <w:rPr>
          <w:rFonts w:hint="default" w:ascii="Times New Roman" w:hAnsi="Times New Roman" w:cs="Times New Roman"/>
          <w:color w:val="000000" w:themeColor="text1"/>
          <w:szCs w:val="24"/>
          <w:highlight w:val="none"/>
          <w14:textFill>
            <w14:solidFill>
              <w14:schemeClr w14:val="tx1"/>
            </w14:solidFill>
          </w14:textFill>
        </w:rPr>
      </w:pPr>
      <w:bookmarkStart w:id="153" w:name="_Hlk89347872"/>
      <w:r>
        <w:rPr>
          <w:rFonts w:hint="default" w:ascii="Times New Roman" w:hAnsi="Times New Roman" w:cs="Times New Roman"/>
          <w:color w:val="000000" w:themeColor="text1"/>
          <w:szCs w:val="24"/>
          <w:highlight w:val="none"/>
          <w14:textFill>
            <w14:solidFill>
              <w14:schemeClr w14:val="tx1"/>
            </w14:solidFill>
          </w14:textFill>
        </w:rPr>
        <w:t>本项目为利用P106-2井已建井场进行建设，仅新建生活营地区部分用地为新增占地。工程项目建设对生态环境的影响主要表现为项目占地使土地功能发生改变。本项目新增临时占地用地类型为</w:t>
      </w:r>
      <w:r>
        <w:rPr>
          <w:rFonts w:hint="eastAsia" w:cs="Times New Roman"/>
          <w:bCs/>
          <w:color w:val="000000" w:themeColor="text1"/>
          <w:szCs w:val="24"/>
          <w:highlight w:val="none"/>
          <w:lang w:val="en-US" w:eastAsia="zh-CN"/>
          <w14:textFill>
            <w14:solidFill>
              <w14:schemeClr w14:val="tx1"/>
            </w14:solidFill>
          </w14:textFill>
        </w:rPr>
        <w:t>旱地</w:t>
      </w:r>
      <w:r>
        <w:rPr>
          <w:rFonts w:hint="default" w:ascii="Times New Roman" w:hAnsi="Times New Roman" w:cs="Times New Roman"/>
          <w:color w:val="000000" w:themeColor="text1"/>
          <w:szCs w:val="24"/>
          <w:highlight w:val="none"/>
          <w14:textFill>
            <w14:solidFill>
              <w14:schemeClr w14:val="tx1"/>
            </w14:solidFill>
          </w14:textFill>
        </w:rPr>
        <w:t>等，短期内改变土地利用性质，工程结束后即对临时占用的土地进行恢复，对当地土地资源的影响较小。</w:t>
      </w:r>
      <w:bookmarkEnd w:id="153"/>
      <w:r>
        <w:rPr>
          <w:rFonts w:hint="default" w:ascii="Times New Roman" w:hAnsi="Times New Roman" w:cs="Times New Roman"/>
          <w:color w:val="000000" w:themeColor="text1"/>
          <w:szCs w:val="24"/>
          <w:highlight w:val="none"/>
          <w14:textFill>
            <w14:solidFill>
              <w14:schemeClr w14:val="tx1"/>
            </w14:solidFill>
          </w14:textFill>
        </w:rPr>
        <w:t>对于工程的占地，建设方应按国家相关法律法规办理临时用地手续。</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2）土壤侵蚀</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在井设备基础开挖过程，将造成地面裸露，形成水土流失，导致地表原有植被破坏。</w:t>
      </w:r>
    </w:p>
    <w:p>
      <w:pPr>
        <w:ind w:firstLine="480"/>
        <w:outlineLvl w:val="3"/>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3.4.</w:t>
      </w: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2</w:t>
      </w:r>
      <w:r>
        <w:rPr>
          <w:rFonts w:hint="default" w:ascii="Times New Roman" w:hAnsi="Times New Roman" w:eastAsia="黑体" w:cs="Times New Roman"/>
          <w:color w:val="000000" w:themeColor="text1"/>
          <w:szCs w:val="24"/>
          <w:highlight w:val="none"/>
          <w14:textFill>
            <w14:solidFill>
              <w14:schemeClr w14:val="tx1"/>
            </w14:solidFill>
          </w14:textFill>
        </w:rPr>
        <w:t>.2钻井工程</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（1）废气</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1）备用柴油机/发电机废气</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项目周边供电网已铺设，可将网电接入井场，满足本项目钻井及试采期需求，因此本项目优先使用网电作为动力和生产生活用电，正常情况下无燃烧废气产生。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在停电或者电网供应不能满足使用时，井场同时使用1320kW柴油动力机组（2用1备）和320kW柴油发电机组（1用1备）。柴油动力机组额定油耗209g/kW·h，发电机额定油耗60g/kW·h。</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柴油发电机使用符合国六标准的轻质柴油。按照《普通柴油》（GB 252-2015）从2018年1月1日起采用柴油中硫的含量不大于10mg/kg，则SO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排放系数为20g/t。</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柴油燃烧废气主要污染物排系数参考《社会区域类环境影响评价》工程师登记培训教材中相关排污系数，柴油机污染物排放系数为：NO</w:t>
      </w:r>
      <w:r>
        <w:rPr>
          <w:rFonts w:hint="default" w:ascii="Times New Roman" w:hAnsi="Times New Roman" w:cs="Times New Roman"/>
          <w:color w:val="000000" w:themeColor="text1"/>
          <w:highlight w:val="none"/>
          <w:vertAlign w:val="subscript"/>
          <w14:textFill>
            <w14:solidFill>
              <w14:schemeClr w14:val="tx1"/>
            </w14:solidFill>
          </w14:textFill>
        </w:rPr>
        <w:t>x</w:t>
      </w:r>
      <w:r>
        <w:rPr>
          <w:rFonts w:hint="default" w:ascii="Times New Roman" w:hAnsi="Times New Roman" w:cs="Times New Roman"/>
          <w:color w:val="000000" w:themeColor="text1"/>
          <w:highlight w:val="none"/>
          <w14:textFill>
            <w14:solidFill>
              <w14:schemeClr w14:val="tx1"/>
            </w14:solidFill>
          </w14:textFill>
        </w:rPr>
        <w:t>2.56g/L、烟尘0.714g/L、烟气量按20Nm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/kg计。预测项目钻井作业期间</w:t>
      </w:r>
      <w:r>
        <w:rPr>
          <w:rFonts w:hint="default" w:ascii="Times New Roman" w:hAnsi="Times New Roman" w:cs="Times New Roman"/>
          <w:color w:val="000000" w:themeColor="text1"/>
          <w:highlight w:val="none"/>
          <w:lang w:eastAsia="zh-CN"/>
          <w14:textFill>
            <w14:solidFill>
              <w14:schemeClr w14:val="tx1"/>
            </w14:solidFill>
          </w14:textFill>
        </w:rPr>
        <w:t>柴油</w:t>
      </w:r>
      <w:r>
        <w:rPr>
          <w:rFonts w:hint="default" w:ascii="Times New Roman" w:hAnsi="Times New Roman" w:cs="Times New Roman"/>
          <w:color w:val="000000" w:themeColor="text1"/>
          <w:highlight w:val="none"/>
          <w14:textFill>
            <w14:solidFill>
              <w14:schemeClr w14:val="tx1"/>
            </w14:solidFill>
          </w14:textFill>
        </w:rPr>
        <w:t>发电机组主要污染物排放情况见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_Ref142593478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54" w:name="_Ref142593478"/>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bookmarkEnd w:id="154"/>
      <w:r>
        <w:rPr>
          <w:rFonts w:hint="default" w:ascii="Times New Roman" w:hAnsi="Times New Roman" w:cs="Times New Roman"/>
          <w:color w:val="000000" w:themeColor="text1"/>
          <w:highlight w:val="none"/>
          <w14:textFill>
            <w14:solidFill>
              <w14:schemeClr w14:val="tx1"/>
            </w14:solidFill>
          </w14:textFill>
        </w:rPr>
        <w:t xml:space="preserve"> 钻井作业期间柴油发电机组废气污染物排放情况</w:t>
      </w:r>
    </w:p>
    <w:tbl>
      <w:tblPr>
        <w:tblStyle w:val="52"/>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8"/>
        <w:gridCol w:w="1018"/>
        <w:gridCol w:w="875"/>
        <w:gridCol w:w="1019"/>
        <w:gridCol w:w="1309"/>
        <w:gridCol w:w="1313"/>
        <w:gridCol w:w="11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966" w:type="pct"/>
            <w:vAlign w:val="center"/>
          </w:tcPr>
          <w:p>
            <w:pPr>
              <w:pStyle w:val="295"/>
              <w:rPr>
                <w:rFonts w:hint="default" w:ascii="Times New Roman" w:hAnsi="Times New Roman" w:cs="Times New Roman"/>
                <w:b/>
                <w:bCs/>
                <w:snapToGrid w:val="0"/>
                <w:color w:val="000000" w:themeColor="text1"/>
                <w:highlight w:val="none"/>
                <w14:textFill>
                  <w14:solidFill>
                    <w14:schemeClr w14:val="tx1"/>
                  </w14:solidFill>
                </w14:textFill>
              </w:rPr>
            </w:pPr>
            <w:r>
              <w:rPr>
                <w:rFonts w:hint="default" w:ascii="Times New Roman" w:hAnsi="Times New Roman" w:cs="Times New Roman"/>
                <w:b/>
                <w:bCs/>
                <w:snapToGrid w:val="0"/>
                <w:color w:val="000000" w:themeColor="text1"/>
                <w:highlight w:val="none"/>
                <w14:textFill>
                  <w14:solidFill>
                    <w14:schemeClr w14:val="tx1"/>
                  </w14:solidFill>
                </w14:textFill>
              </w:rPr>
              <w:t>污染源</w:t>
            </w:r>
          </w:p>
        </w:tc>
        <w:tc>
          <w:tcPr>
            <w:tcW w:w="615" w:type="pct"/>
            <w:vAlign w:val="center"/>
          </w:tcPr>
          <w:p>
            <w:pPr>
              <w:pStyle w:val="295"/>
              <w:rPr>
                <w:rFonts w:hint="default" w:ascii="Times New Roman" w:hAnsi="Times New Roman" w:cs="Times New Roman"/>
                <w:b/>
                <w:bCs/>
                <w:snapToGrid w:val="0"/>
                <w:color w:val="000000" w:themeColor="text1"/>
                <w:highlight w:val="none"/>
                <w14:textFill>
                  <w14:solidFill>
                    <w14:schemeClr w14:val="tx1"/>
                  </w14:solidFill>
                </w14:textFill>
              </w:rPr>
            </w:pPr>
            <w:r>
              <w:rPr>
                <w:rFonts w:hint="default" w:ascii="Times New Roman" w:hAnsi="Times New Roman" w:cs="Times New Roman"/>
                <w:b/>
                <w:bCs/>
                <w:snapToGrid w:val="0"/>
                <w:color w:val="000000" w:themeColor="text1"/>
                <w:highlight w:val="none"/>
                <w14:textFill>
                  <w14:solidFill>
                    <w14:schemeClr w14:val="tx1"/>
                  </w14:solidFill>
                </w14:textFill>
              </w:rPr>
              <w:t>油耗kg/h</w:t>
            </w:r>
          </w:p>
        </w:tc>
        <w:tc>
          <w:tcPr>
            <w:tcW w:w="529" w:type="pct"/>
            <w:vAlign w:val="center"/>
          </w:tcPr>
          <w:p>
            <w:pPr>
              <w:pStyle w:val="295"/>
              <w:rPr>
                <w:rFonts w:hint="default" w:ascii="Times New Roman" w:hAnsi="Times New Roman" w:cs="Times New Roman"/>
                <w:b/>
                <w:bCs/>
                <w:snapToGrid w:val="0"/>
                <w:color w:val="000000" w:themeColor="text1"/>
                <w:highlight w:val="none"/>
                <w14:textFill>
                  <w14:solidFill>
                    <w14:schemeClr w14:val="tx1"/>
                  </w14:solidFill>
                </w14:textFill>
              </w:rPr>
            </w:pPr>
            <w:r>
              <w:rPr>
                <w:rFonts w:hint="default" w:ascii="Times New Roman" w:hAnsi="Times New Roman" w:cs="Times New Roman"/>
                <w:b/>
                <w:bCs/>
                <w:snapToGrid w:val="0"/>
                <w:color w:val="000000" w:themeColor="text1"/>
                <w:highlight w:val="none"/>
                <w14:textFill>
                  <w14:solidFill>
                    <w14:schemeClr w14:val="tx1"/>
                  </w14:solidFill>
                </w14:textFill>
              </w:rPr>
              <w:t>烟气量m</w:t>
            </w:r>
            <w:r>
              <w:rPr>
                <w:rFonts w:hint="default" w:ascii="Times New Roman" w:hAnsi="Times New Roman" w:cs="Times New Roman"/>
                <w:b/>
                <w:bCs/>
                <w:snapToGrid w:val="0"/>
                <w:color w:val="000000" w:themeColor="text1"/>
                <w:highlight w:val="none"/>
                <w:vertAlign w:val="superscript"/>
                <w14:textFill>
                  <w14:solidFill>
                    <w14:schemeClr w14:val="tx1"/>
                  </w14:solidFill>
                </w14:textFill>
              </w:rPr>
              <w:t>3</w:t>
            </w:r>
            <w:r>
              <w:rPr>
                <w:rFonts w:hint="default" w:ascii="Times New Roman" w:hAnsi="Times New Roman" w:cs="Times New Roman"/>
                <w:b/>
                <w:bCs/>
                <w:snapToGrid w:val="0"/>
                <w:color w:val="000000" w:themeColor="text1"/>
                <w:highlight w:val="none"/>
                <w14:textFill>
                  <w14:solidFill>
                    <w14:schemeClr w14:val="tx1"/>
                  </w14:solidFill>
                </w14:textFill>
              </w:rPr>
              <w:t>/h</w:t>
            </w:r>
          </w:p>
        </w:tc>
        <w:tc>
          <w:tcPr>
            <w:tcW w:w="616" w:type="pct"/>
            <w:vAlign w:val="center"/>
          </w:tcPr>
          <w:p>
            <w:pPr>
              <w:pStyle w:val="295"/>
              <w:rPr>
                <w:rFonts w:hint="default" w:ascii="Times New Roman" w:hAnsi="Times New Roman" w:cs="Times New Roman"/>
                <w:b/>
                <w:bCs/>
                <w:snapToGrid w:val="0"/>
                <w:color w:val="000000" w:themeColor="text1"/>
                <w:highlight w:val="none"/>
                <w14:textFill>
                  <w14:solidFill>
                    <w14:schemeClr w14:val="tx1"/>
                  </w14:solidFill>
                </w14:textFill>
              </w:rPr>
            </w:pPr>
            <w:r>
              <w:rPr>
                <w:rFonts w:hint="default" w:ascii="Times New Roman" w:hAnsi="Times New Roman" w:cs="Times New Roman"/>
                <w:b/>
                <w:bCs/>
                <w:snapToGrid w:val="0"/>
                <w:color w:val="000000" w:themeColor="text1"/>
                <w:highlight w:val="none"/>
                <w14:textFill>
                  <w14:solidFill>
                    <w14:schemeClr w14:val="tx1"/>
                  </w14:solidFill>
                </w14:textFill>
              </w:rPr>
              <w:t>污染物名称</w:t>
            </w:r>
          </w:p>
        </w:tc>
        <w:tc>
          <w:tcPr>
            <w:tcW w:w="791" w:type="pct"/>
            <w:vAlign w:val="center"/>
          </w:tcPr>
          <w:p>
            <w:pPr>
              <w:pStyle w:val="295"/>
              <w:rPr>
                <w:rFonts w:hint="default" w:ascii="Times New Roman" w:hAnsi="Times New Roman" w:cs="Times New Roman"/>
                <w:b/>
                <w:bCs/>
                <w:snapToGrid w:val="0"/>
                <w:color w:val="000000" w:themeColor="text1"/>
                <w:highlight w:val="none"/>
                <w14:textFill>
                  <w14:solidFill>
                    <w14:schemeClr w14:val="tx1"/>
                  </w14:solidFill>
                </w14:textFill>
              </w:rPr>
            </w:pPr>
            <w:r>
              <w:rPr>
                <w:rFonts w:hint="default" w:ascii="Times New Roman" w:hAnsi="Times New Roman" w:cs="Times New Roman"/>
                <w:b/>
                <w:bCs/>
                <w:snapToGrid w:val="0"/>
                <w:color w:val="000000" w:themeColor="text1"/>
                <w:highlight w:val="none"/>
                <w14:textFill>
                  <w14:solidFill>
                    <w14:schemeClr w14:val="tx1"/>
                  </w14:solidFill>
                </w14:textFill>
              </w:rPr>
              <w:t>排放速率（kg/h）</w:t>
            </w:r>
          </w:p>
        </w:tc>
        <w:tc>
          <w:tcPr>
            <w:tcW w:w="794" w:type="pct"/>
            <w:vAlign w:val="center"/>
          </w:tcPr>
          <w:p>
            <w:pPr>
              <w:pStyle w:val="295"/>
              <w:rPr>
                <w:rFonts w:hint="default" w:ascii="Times New Roman" w:hAnsi="Times New Roman" w:cs="Times New Roman"/>
                <w:b/>
                <w:bCs/>
                <w:snapToGrid w:val="0"/>
                <w:color w:val="000000" w:themeColor="text1"/>
                <w:highlight w:val="none"/>
                <w14:textFill>
                  <w14:solidFill>
                    <w14:schemeClr w14:val="tx1"/>
                  </w14:solidFill>
                </w14:textFill>
              </w:rPr>
            </w:pPr>
            <w:r>
              <w:rPr>
                <w:rFonts w:hint="default" w:ascii="Times New Roman" w:hAnsi="Times New Roman" w:cs="Times New Roman"/>
                <w:b/>
                <w:bCs/>
                <w:snapToGrid w:val="0"/>
                <w:color w:val="000000" w:themeColor="text1"/>
                <w:highlight w:val="none"/>
                <w14:textFill>
                  <w14:solidFill>
                    <w14:schemeClr w14:val="tx1"/>
                  </w14:solidFill>
                </w14:textFill>
              </w:rPr>
              <w:t>排放浓度（mg/m</w:t>
            </w:r>
            <w:r>
              <w:rPr>
                <w:rFonts w:hint="default" w:ascii="Times New Roman" w:hAnsi="Times New Roman" w:cs="Times New Roman"/>
                <w:b/>
                <w:bCs/>
                <w:snapToGrid w:val="0"/>
                <w:color w:val="000000" w:themeColor="text1"/>
                <w:highlight w:val="none"/>
                <w:vertAlign w:val="superscript"/>
                <w14:textFill>
                  <w14:solidFill>
                    <w14:schemeClr w14:val="tx1"/>
                  </w14:solidFill>
                </w14:textFill>
              </w:rPr>
              <w:t>3</w:t>
            </w:r>
            <w:r>
              <w:rPr>
                <w:rFonts w:hint="default" w:ascii="Times New Roman" w:hAnsi="Times New Roman" w:cs="Times New Roman"/>
                <w:b/>
                <w:bCs/>
                <w:snapToGrid w:val="0"/>
                <w:color w:val="000000" w:themeColor="text1"/>
                <w:highlight w:val="none"/>
                <w14:textFill>
                  <w14:solidFill>
                    <w14:schemeClr w14:val="tx1"/>
                  </w14:solidFill>
                </w14:textFill>
              </w:rPr>
              <w:t>）</w:t>
            </w:r>
          </w:p>
        </w:tc>
        <w:tc>
          <w:tcPr>
            <w:tcW w:w="688" w:type="pct"/>
            <w:vAlign w:val="center"/>
          </w:tcPr>
          <w:p>
            <w:pPr>
              <w:pStyle w:val="295"/>
              <w:rPr>
                <w:rFonts w:hint="default" w:ascii="Times New Roman" w:hAnsi="Times New Roman" w:cs="Times New Roman"/>
                <w:b/>
                <w:bCs/>
                <w:snapToGrid w:val="0"/>
                <w:color w:val="000000" w:themeColor="text1"/>
                <w:highlight w:val="none"/>
                <w14:textFill>
                  <w14:solidFill>
                    <w14:schemeClr w14:val="tx1"/>
                  </w14:solidFill>
                </w14:textFill>
              </w:rPr>
            </w:pPr>
            <w:r>
              <w:rPr>
                <w:rFonts w:hint="default" w:ascii="Times New Roman" w:hAnsi="Times New Roman" w:cs="Times New Roman"/>
                <w:b/>
                <w:bCs/>
                <w:snapToGrid w:val="0"/>
                <w:color w:val="000000" w:themeColor="text1"/>
                <w:highlight w:val="none"/>
                <w14:textFill>
                  <w14:solidFill>
                    <w14:schemeClr w14:val="tx1"/>
                  </w14:solidFill>
                </w14:textFill>
              </w:rPr>
              <w:t>排气筒高度（m）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66" w:type="pct"/>
            <w:vMerge w:val="restar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bookmarkStart w:id="155" w:name="_Hlk332099719"/>
            <w:r>
              <w:rPr>
                <w:rFonts w:hint="default" w:ascii="Times New Roman" w:hAnsi="Times New Roman" w:cs="Times New Roman"/>
                <w:snapToGrid w:val="0"/>
                <w:color w:val="000000" w:themeColor="text1"/>
                <w:highlight w:val="none"/>
                <w14:textFill>
                  <w14:solidFill>
                    <w14:schemeClr w14:val="tx1"/>
                  </w14:solidFill>
                </w14:textFill>
              </w:rPr>
              <w:t>2台柴油动力机、1台发电机组</w:t>
            </w:r>
          </w:p>
        </w:tc>
        <w:tc>
          <w:tcPr>
            <w:tcW w:w="615" w:type="pct"/>
            <w:vMerge w:val="restar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388</w:t>
            </w:r>
          </w:p>
        </w:tc>
        <w:tc>
          <w:tcPr>
            <w:tcW w:w="529" w:type="pct"/>
            <w:vMerge w:val="restar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7760</w:t>
            </w:r>
          </w:p>
        </w:tc>
        <w:tc>
          <w:tcPr>
            <w:tcW w:w="616" w:type="pc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SO</w:t>
            </w:r>
            <w:r>
              <w:rPr>
                <w:rFonts w:hint="default" w:ascii="Times New Roman" w:hAnsi="Times New Roman" w:cs="Times New Roman"/>
                <w:snapToGrid w:val="0"/>
                <w:color w:val="000000" w:themeColor="text1"/>
                <w:highlight w:val="none"/>
                <w:vertAlign w:val="subscript"/>
                <w14:textFill>
                  <w14:solidFill>
                    <w14:schemeClr w14:val="tx1"/>
                  </w14:solidFill>
                </w14:textFill>
              </w:rPr>
              <w:t>2</w:t>
            </w:r>
          </w:p>
        </w:tc>
        <w:tc>
          <w:tcPr>
            <w:tcW w:w="79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0.008</w:t>
            </w:r>
          </w:p>
        </w:tc>
        <w:tc>
          <w:tcPr>
            <w:tcW w:w="7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688" w:type="pc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66"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615"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529"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616" w:type="pc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NO</w:t>
            </w:r>
            <w:r>
              <w:rPr>
                <w:rFonts w:hint="default" w:ascii="Times New Roman" w:hAnsi="Times New Roman" w:cs="Times New Roman"/>
                <w:snapToGrid w:val="0"/>
                <w:color w:val="000000" w:themeColor="text1"/>
                <w:highlight w:val="none"/>
                <w:vertAlign w:val="subscript"/>
                <w14:textFill>
                  <w14:solidFill>
                    <w14:schemeClr w14:val="tx1"/>
                  </w14:solidFill>
                </w14:textFill>
              </w:rPr>
              <w:t>X</w:t>
            </w:r>
          </w:p>
        </w:tc>
        <w:tc>
          <w:tcPr>
            <w:tcW w:w="79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1.17</w:t>
            </w:r>
          </w:p>
        </w:tc>
        <w:tc>
          <w:tcPr>
            <w:tcW w:w="7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w:t>
            </w:r>
          </w:p>
        </w:tc>
        <w:tc>
          <w:tcPr>
            <w:tcW w:w="688" w:type="pc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66"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615"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529"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616" w:type="pc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烟尘</w:t>
            </w:r>
          </w:p>
        </w:tc>
        <w:tc>
          <w:tcPr>
            <w:tcW w:w="79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0.33</w:t>
            </w:r>
          </w:p>
        </w:tc>
        <w:tc>
          <w:tcPr>
            <w:tcW w:w="7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41</w:t>
            </w:r>
          </w:p>
        </w:tc>
        <w:tc>
          <w:tcPr>
            <w:tcW w:w="688" w:type="pc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6</w:t>
            </w:r>
          </w:p>
        </w:tc>
      </w:tr>
      <w:bookmarkEnd w:id="155"/>
    </w:tbl>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柴油发电机采用符合国家标准的优质柴油，其污染物排放满足《非道路移动机械用柴油机排气污染物排放限值及测量方法（中国第三、四阶段）》（GB20891-2014）表2规定的限值。</w:t>
      </w: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2）事故放喷废气</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事故放喷是由于地层高压异常导致的，在石油天然气行业是低概率事件。事故放喷主产物是含硫天然气燃烧后产生的CO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和SO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放喷前建设单位应对距离井口500m范围内的居民临时撤离，并建立警戒点进行24小时警戒，严禁居民靠近，以减轻放喷废气对这些居民的影响。同时由于测试放喷时间一般为3小时，属短期排放，不会形成长期环境影响，短期影响也可控制在周边居民健康安全限值以下，污染物排放随测试放喷的结束而停止，不会长期存在，不会影响区域环境空气功能区划。</w:t>
      </w: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）无组织挥发性废气</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（2）废水</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从项目产生的废水情况分析，</w:t>
      </w:r>
      <w:r>
        <w:rPr>
          <w:rFonts w:hint="default" w:ascii="Times New Roman" w:hAnsi="Times New Roman" w:cs="Times New Roman"/>
          <w:bCs/>
          <w:color w:val="000000" w:themeColor="text1"/>
          <w:highlight w:val="none"/>
          <w:lang w:val="en-US" w:eastAsia="zh-CN"/>
          <w14:textFill>
            <w14:solidFill>
              <w14:schemeClr w14:val="tx1"/>
            </w14:solidFill>
          </w14:textFill>
        </w:rPr>
        <w:t>钻井工程产生的废水主要</w:t>
      </w:r>
      <w:r>
        <w:rPr>
          <w:rFonts w:hint="default" w:ascii="Times New Roman" w:hAnsi="Times New Roman" w:cs="Times New Roman"/>
          <w:bCs/>
          <w:color w:val="000000" w:themeColor="text1"/>
          <w:highlight w:val="none"/>
          <w14:textFill>
            <w14:solidFill>
              <w14:schemeClr w14:val="tx1"/>
            </w14:solidFill>
          </w14:textFill>
        </w:rPr>
        <w:t>包括钻井废水</w:t>
      </w:r>
      <w:r>
        <w:rPr>
          <w:rFonts w:hint="default" w:ascii="Times New Roman" w:hAnsi="Times New Roman" w:cs="Times New Roman"/>
          <w:bCs/>
          <w:color w:val="000000" w:themeColor="text1"/>
          <w:highlight w:val="none"/>
          <w:lang w:eastAsia="zh-CN"/>
          <w14:textFill>
            <w14:solidFill>
              <w14:schemeClr w14:val="tx1"/>
            </w14:solidFill>
          </w14:textFill>
        </w:rPr>
        <w:t>、</w:t>
      </w:r>
      <w:r>
        <w:rPr>
          <w:rFonts w:hint="default" w:ascii="Times New Roman" w:hAnsi="Times New Roman" w:cs="Times New Roman"/>
          <w:bCs/>
          <w:color w:val="000000" w:themeColor="text1"/>
          <w:highlight w:val="none"/>
          <w14:textFill>
            <w14:solidFill>
              <w14:schemeClr w14:val="tx1"/>
            </w14:solidFill>
          </w14:textFill>
        </w:rPr>
        <w:t>初期雨水和生活污水。</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1）钻井废水</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本项目在钻井阶段采用常规钻井工艺。</w:t>
      </w:r>
      <w:r>
        <w:rPr>
          <w:rFonts w:hint="default" w:ascii="Times New Roman" w:hAnsi="Times New Roman" w:cs="Times New Roman"/>
          <w:bCs/>
          <w:color w:val="000000" w:themeColor="text1"/>
          <w:szCs w:val="24"/>
          <w:highlight w:val="none"/>
          <w14:textFill>
            <w14:solidFill>
              <w14:schemeClr w14:val="tx1"/>
            </w14:solidFill>
          </w14:textFill>
        </w:rPr>
        <w:t>钻井作业的配浆过程中会根据泥浆的不同要求加入不等量的水，这些水随钻井液进入井底协助钻井作业，在钻井液返回地面后，大部分水随泥浆进入泥浆净化系统，小部分水随钻屑进入污水罐，经固液分离后，回收上清液用于泥浆配置，剩余废水定期由罐车拉运至赵家坝污水处理站达标后管输至普光11井回注站回注，不外排。</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bookmarkStart w:id="156" w:name="_Hlk79335272"/>
      <w:r>
        <w:rPr>
          <w:rFonts w:hint="default" w:ascii="Times New Roman" w:hAnsi="Times New Roman" w:cs="Times New Roman"/>
          <w:bCs/>
          <w:color w:val="000000" w:themeColor="text1"/>
          <w:szCs w:val="24"/>
          <w:highlight w:val="none"/>
          <w14:textFill>
            <w14:solidFill>
              <w14:schemeClr w14:val="tx1"/>
            </w14:solidFill>
          </w14:textFill>
        </w:rPr>
        <w:t>根据普光气田钻井工程的类比分析</w:t>
      </w:r>
      <w:r>
        <w:rPr>
          <w:rFonts w:hint="default" w:ascii="Times New Roman" w:hAnsi="Times New Roman" w:cs="Times New Roman"/>
          <w:color w:val="000000" w:themeColor="text1"/>
          <w:highlight w:val="none"/>
          <w14:textFill>
            <w14:solidFill>
              <w14:schemeClr w14:val="tx1"/>
            </w14:solidFill>
          </w14:textFill>
        </w:rPr>
        <w:t>，采用相同的水基泥浆钻井工艺、钻井液循环系统和泥浆随钻不落地处理工艺的普陆5勘探评价井工程建设项目（实际井深3310m）竣工环境保护验收调查表可知其施工期钻井废水实际产生量约为611m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，每米进尺产生钻井废水量约0.185m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bookmarkStart w:id="157" w:name="_Hlk152597451"/>
      <w:r>
        <w:rPr>
          <w:rFonts w:hint="default" w:ascii="Times New Roman" w:hAnsi="Times New Roman" w:cs="Times New Roman"/>
          <w:bCs/>
          <w:color w:val="000000" w:themeColor="text1"/>
          <w:szCs w:val="24"/>
          <w:highlight w:val="none"/>
          <w14:textFill>
            <w14:solidFill>
              <w14:schemeClr w14:val="tx1"/>
            </w14:solidFill>
          </w14:textFill>
        </w:rPr>
        <w:t>，同时结合周边其他已钻井废水产生数据，平均每米进尺产生钻井废水量可达0.2m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w:t>
      </w:r>
      <w:bookmarkEnd w:id="157"/>
      <w:r>
        <w:rPr>
          <w:rFonts w:hint="default" w:ascii="Times New Roman" w:hAnsi="Times New Roman" w:cs="Times New Roman"/>
          <w:bCs/>
          <w:color w:val="000000" w:themeColor="text1"/>
          <w:szCs w:val="24"/>
          <w:highlight w:val="none"/>
          <w14:textFill>
            <w14:solidFill>
              <w14:schemeClr w14:val="tx1"/>
            </w14:solidFill>
          </w14:textFill>
        </w:rPr>
        <w:t>本项目水基钻井可能最大进尺1756.58m，</w:t>
      </w:r>
      <w:bookmarkStart w:id="158" w:name="_Hlk152597459"/>
      <w:r>
        <w:rPr>
          <w:rFonts w:hint="default" w:ascii="Times New Roman" w:hAnsi="Times New Roman" w:cs="Times New Roman"/>
          <w:bCs/>
          <w:color w:val="000000" w:themeColor="text1"/>
          <w:szCs w:val="24"/>
          <w:highlight w:val="none"/>
          <w14:textFill>
            <w14:solidFill>
              <w14:schemeClr w14:val="tx1"/>
            </w14:solidFill>
          </w14:textFill>
        </w:rPr>
        <w:t>本次评价保守按照不利考虑（全部使用水基泥浆钻井），</w:t>
      </w:r>
      <w:bookmarkEnd w:id="158"/>
      <w:r>
        <w:rPr>
          <w:rFonts w:hint="default" w:ascii="Times New Roman" w:hAnsi="Times New Roman" w:cs="Times New Roman"/>
          <w:bCs/>
          <w:color w:val="000000" w:themeColor="text1"/>
          <w:szCs w:val="24"/>
          <w:highlight w:val="none"/>
          <w14:textFill>
            <w14:solidFill>
              <w14:schemeClr w14:val="tx1"/>
            </w14:solidFill>
          </w14:textFill>
        </w:rPr>
        <w:t>每米进尺产生钻井废水量按0.2m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核算，产生的钻井废水为351.32m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w:t>
      </w:r>
    </w:p>
    <w:bookmarkEnd w:id="156"/>
    <w:p>
      <w:pPr>
        <w:ind w:firstLine="480"/>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污水罐内废水为钻井废水及雨水的混合废水，其主要污染物浓度根据普光气田钻井工程污水罐废水类比，钻井废水水质污染物浓度见</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_Ref142593486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59" w:name="_Ref142593486"/>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bookmarkEnd w:id="159"/>
      <w:r>
        <w:rPr>
          <w:rFonts w:hint="default" w:ascii="Times New Roman" w:hAnsi="Times New Roman" w:cs="Times New Roman"/>
          <w:color w:val="000000" w:themeColor="text1"/>
          <w:highlight w:val="none"/>
          <w14:textFill>
            <w14:solidFill>
              <w14:schemeClr w14:val="tx1"/>
            </w14:solidFill>
          </w14:textFill>
        </w:rPr>
        <w:t xml:space="preserve"> 钻井废水综合水质污染物浓度表（单位：mg/L，pH值无量纲）</w:t>
      </w:r>
    </w:p>
    <w:tbl>
      <w:tblPr>
        <w:tblStyle w:val="52"/>
        <w:tblW w:w="83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6"/>
        <w:gridCol w:w="1851"/>
        <w:gridCol w:w="1843"/>
        <w:gridCol w:w="2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06"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污染物名称</w:t>
            </w:r>
          </w:p>
        </w:tc>
        <w:tc>
          <w:tcPr>
            <w:tcW w:w="185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pH</w:t>
            </w:r>
          </w:p>
        </w:tc>
        <w:tc>
          <w:tcPr>
            <w:tcW w:w="1843"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SS</w:t>
            </w:r>
          </w:p>
        </w:tc>
        <w:tc>
          <w:tcPr>
            <w:tcW w:w="2344"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0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浓度</w:t>
            </w:r>
          </w:p>
        </w:tc>
        <w:tc>
          <w:tcPr>
            <w:tcW w:w="185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8.3～12.5</w:t>
            </w:r>
          </w:p>
        </w:tc>
        <w:tc>
          <w:tcPr>
            <w:tcW w:w="184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≤7500</w:t>
            </w:r>
          </w:p>
        </w:tc>
        <w:tc>
          <w:tcPr>
            <w:tcW w:w="234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w:t>
            </w:r>
          </w:p>
        </w:tc>
      </w:tr>
    </w:tbl>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）生活污水</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钻井期间，一个钻井队的员工一般为45人，每人每天用水量为80L，排污系数为0.8，则钻井期间井场的生活用水量为3600L/d，污水产生量为2880L/d。生活污水经生态厕所收集后由密闭罐车定期拉运至周边生活污水处理厂处理，环境影响较小。本项目生活污水水质情况见</w:t>
      </w:r>
      <w:r>
        <w:rPr>
          <w:rFonts w:hint="default" w:ascii="Times New Roman" w:hAnsi="Times New Roman" w:cs="Times New Roman"/>
          <w:bCs/>
          <w:color w:val="000000" w:themeColor="text1"/>
          <w:highlight w:val="none"/>
          <w14:textFill>
            <w14:solidFill>
              <w14:schemeClr w14:val="tx1"/>
            </w14:solidFill>
          </w14:textFill>
        </w:rPr>
        <w:fldChar w:fldCharType="begin"/>
      </w:r>
      <w:r>
        <w:rPr>
          <w:rFonts w:hint="default" w:ascii="Times New Roman" w:hAnsi="Times New Roman" w:cs="Times New Roman"/>
          <w:bCs/>
          <w:color w:val="000000" w:themeColor="text1"/>
          <w:highlight w:val="none"/>
          <w14:textFill>
            <w14:solidFill>
              <w14:schemeClr w14:val="tx1"/>
            </w14:solidFill>
          </w14:textFill>
        </w:rPr>
        <w:instrText xml:space="preserve"> REF _Ref142593497 \h  \* MERGEFORMAT </w:instrText>
      </w:r>
      <w:r>
        <w:rPr>
          <w:rFonts w:hint="default" w:ascii="Times New Roman" w:hAnsi="Times New Roman" w:cs="Times New Roman"/>
          <w:bCs/>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bCs/>
          <w:color w:val="000000" w:themeColor="text1"/>
          <w:highlight w:val="none"/>
          <w14:textFill>
            <w14:solidFill>
              <w14:schemeClr w14:val="tx1"/>
            </w14:solidFill>
          </w14:textFill>
        </w:rPr>
        <w:fldChar w:fldCharType="end"/>
      </w:r>
      <w:r>
        <w:rPr>
          <w:rFonts w:hint="default" w:ascii="Times New Roman" w:hAnsi="Times New Roman" w:cs="Times New Roman"/>
          <w:bCs/>
          <w:color w:val="000000" w:themeColor="text1"/>
          <w:highlight w:val="none"/>
          <w14:textFill>
            <w14:solidFill>
              <w14:schemeClr w14:val="tx1"/>
            </w14:solidFill>
          </w14:textFill>
        </w:rPr>
        <w:t>。</w:t>
      </w:r>
    </w:p>
    <w:p>
      <w:pPr>
        <w:pStyle w:val="65"/>
        <w:rPr>
          <w:rFonts w:hint="default"/>
          <w:color w:val="000000" w:themeColor="text1"/>
          <w:highlight w:val="none"/>
          <w14:textFill>
            <w14:solidFill>
              <w14:schemeClr w14:val="tx1"/>
            </w14:solidFill>
          </w14:textFill>
        </w:rPr>
      </w:pP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60" w:name="_Ref142593497"/>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fldChar w:fldCharType="end"/>
      </w:r>
      <w:bookmarkEnd w:id="160"/>
      <w:r>
        <w:rPr>
          <w:rFonts w:hint="default" w:ascii="Times New Roman" w:hAnsi="Times New Roman" w:cs="Times New Roman"/>
          <w:color w:val="000000" w:themeColor="text1"/>
          <w:highlight w:val="none"/>
          <w14:textFill>
            <w14:solidFill>
              <w14:schemeClr w14:val="tx1"/>
            </w14:solidFill>
          </w14:textFill>
        </w:rPr>
        <w:t xml:space="preserve"> 项目生活污水水质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8"/>
        <w:gridCol w:w="841"/>
        <w:gridCol w:w="1501"/>
        <w:gridCol w:w="1370"/>
        <w:gridCol w:w="1371"/>
        <w:gridCol w:w="1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8"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主要污染物名称</w:t>
            </w:r>
          </w:p>
        </w:tc>
        <w:tc>
          <w:tcPr>
            <w:tcW w:w="84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pH</w:t>
            </w:r>
          </w:p>
        </w:tc>
        <w:tc>
          <w:tcPr>
            <w:tcW w:w="150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悬浮物（mg/L）</w:t>
            </w:r>
          </w:p>
        </w:tc>
        <w:tc>
          <w:tcPr>
            <w:tcW w:w="137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COD（mg/L）</w:t>
            </w:r>
          </w:p>
        </w:tc>
        <w:tc>
          <w:tcPr>
            <w:tcW w:w="137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BOD</w:t>
            </w:r>
            <w:r>
              <w:rPr>
                <w:rFonts w:hint="default" w:ascii="Times New Roman" w:hAnsi="Times New Roman" w:cs="Times New Roman"/>
                <w:b/>
                <w:bCs/>
                <w:color w:val="000000" w:themeColor="text1"/>
                <w:highlight w:val="none"/>
                <w:vertAlign w:val="subscript"/>
                <w14:textFill>
                  <w14:solidFill>
                    <w14:schemeClr w14:val="tx1"/>
                  </w14:solidFill>
                </w14:textFill>
              </w:rPr>
              <w:t>5</w:t>
            </w:r>
            <w:r>
              <w:rPr>
                <w:rFonts w:hint="default" w:ascii="Times New Roman" w:hAnsi="Times New Roman" w:cs="Times New Roman"/>
                <w:b/>
                <w:bCs/>
                <w:color w:val="000000" w:themeColor="text1"/>
                <w:highlight w:val="none"/>
                <w14:textFill>
                  <w14:solidFill>
                    <w14:schemeClr w14:val="tx1"/>
                  </w14:solidFill>
                </w14:textFill>
              </w:rPr>
              <w:t>（mg/L）</w:t>
            </w:r>
          </w:p>
        </w:tc>
        <w:tc>
          <w:tcPr>
            <w:tcW w:w="137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氨氮（mg/L）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水质情况</w:t>
            </w:r>
          </w:p>
        </w:tc>
        <w:tc>
          <w:tcPr>
            <w:tcW w:w="84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7.0-9.0</w:t>
            </w:r>
          </w:p>
        </w:tc>
        <w:tc>
          <w:tcPr>
            <w:tcW w:w="15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250-300</w:t>
            </w:r>
          </w:p>
        </w:tc>
        <w:tc>
          <w:tcPr>
            <w:tcW w:w="137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350-400</w:t>
            </w:r>
          </w:p>
        </w:tc>
        <w:tc>
          <w:tcPr>
            <w:tcW w:w="137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200-250</w:t>
            </w:r>
          </w:p>
        </w:tc>
        <w:tc>
          <w:tcPr>
            <w:tcW w:w="137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30-40</w:t>
            </w:r>
          </w:p>
        </w:tc>
      </w:tr>
    </w:tbl>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）初期雨水</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场地</w:t>
      </w:r>
      <w:r>
        <w:rPr>
          <w:rFonts w:hint="default" w:ascii="Times New Roman" w:hAnsi="Times New Roman" w:cs="Times New Roman"/>
          <w:color w:val="000000" w:themeColor="text1"/>
          <w:highlight w:val="none"/>
          <w14:textFill>
            <w14:solidFill>
              <w14:schemeClr w14:val="tx1"/>
            </w14:solidFill>
          </w14:textFill>
        </w:rPr>
        <w:t>初期雨水</w:t>
      </w:r>
      <w:r>
        <w:rPr>
          <w:rFonts w:hint="default" w:ascii="Times New Roman" w:hAnsi="Times New Roman" w:cs="Times New Roman"/>
          <w:color w:val="000000" w:themeColor="text1"/>
          <w:highlight w:val="none"/>
          <w:lang w:val="en-US" w:eastAsia="zh-CN"/>
          <w14:textFill>
            <w14:solidFill>
              <w14:schemeClr w14:val="tx1"/>
            </w14:solidFill>
          </w14:textFill>
        </w:rPr>
        <w:t>由</w:t>
      </w:r>
      <w:r>
        <w:rPr>
          <w:rFonts w:hint="default" w:ascii="Times New Roman" w:hAnsi="Times New Roman" w:cs="Times New Roman"/>
          <w:color w:val="000000" w:themeColor="text1"/>
          <w:highlight w:val="none"/>
          <w14:textFill>
            <w14:solidFill>
              <w14:schemeClr w14:val="tx1"/>
            </w14:solidFill>
          </w14:textFill>
        </w:rPr>
        <w:t>钻井期间</w:t>
      </w:r>
      <w:r>
        <w:rPr>
          <w:rFonts w:hint="default" w:ascii="Times New Roman" w:hAnsi="Times New Roman" w:cs="Times New Roman"/>
          <w:color w:val="000000" w:themeColor="text1"/>
          <w:highlight w:val="none"/>
          <w:lang w:val="en-US" w:eastAsia="zh-CN"/>
          <w14:textFill>
            <w14:solidFill>
              <w14:schemeClr w14:val="tx1"/>
            </w14:solidFill>
          </w14:textFill>
        </w:rPr>
        <w:t>的</w:t>
      </w:r>
      <w:r>
        <w:rPr>
          <w:rFonts w:hint="default" w:ascii="Times New Roman" w:hAnsi="Times New Roman" w:cs="Times New Roman"/>
          <w:color w:val="000000" w:themeColor="text1"/>
          <w:highlight w:val="none"/>
          <w14:textFill>
            <w14:solidFill>
              <w14:schemeClr w14:val="tx1"/>
            </w14:solidFill>
          </w14:textFill>
        </w:rPr>
        <w:t>污水罐收集，</w:t>
      </w:r>
      <w:r>
        <w:rPr>
          <w:rFonts w:hint="default" w:ascii="Times New Roman" w:hAnsi="Times New Roman" w:cs="Times New Roman"/>
          <w:color w:val="000000" w:themeColor="text1"/>
          <w:szCs w:val="24"/>
          <w:highlight w:val="none"/>
          <w:lang w:val="en-US" w:eastAsia="zh-CN"/>
          <w14:textFill>
            <w14:solidFill>
              <w14:schemeClr w14:val="tx1"/>
            </w14:solidFill>
          </w14:textFill>
        </w:rPr>
        <w:t>场地初期雨水与钻井废水一并经不落地装置处理后大部分回用于钻井过程，剩余不能回用部分暂存于清洁生产操作平台的废水罐内，定期装车拉运至赵家坝污水处理站处理达标后经普光11井回注站回注</w:t>
      </w:r>
      <w:r>
        <w:rPr>
          <w:rFonts w:hint="default" w:ascii="Times New Roman" w:hAnsi="Times New Roman" w:cs="Times New Roman"/>
          <w:color w:val="000000" w:themeColor="text1"/>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场内四周设排水边沟，井场雨水随四周排水边沟汇至排放口，排放口设监控池，初期雨水收集进入污水罐处理。污水罐收集的初期雨水同钻井废水一同由罐车拉运至赵家坝污水处理站达标后管输至普光11井回注站回注，不外排。</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初期雨水量按照如下</w:t>
      </w:r>
      <w:r>
        <w:rPr>
          <w:rFonts w:hint="default" w:ascii="Times New Roman" w:hAnsi="Times New Roman" w:cs="Times New Roman"/>
          <w:color w:val="000000" w:themeColor="text1"/>
          <w:highlight w:val="none"/>
          <w:lang w:eastAsia="zh-CN"/>
          <w14:textFill>
            <w14:solidFill>
              <w14:schemeClr w14:val="tx1"/>
            </w14:solidFill>
          </w14:textFill>
        </w:rPr>
        <w:t>公式</w:t>
      </w:r>
      <w:r>
        <w:rPr>
          <w:rFonts w:hint="default" w:ascii="Times New Roman" w:hAnsi="Times New Roman" w:cs="Times New Roman"/>
          <w:color w:val="000000" w:themeColor="text1"/>
          <w:highlight w:val="none"/>
          <w14:textFill>
            <w14:solidFill>
              <w14:schemeClr w14:val="tx1"/>
            </w14:solidFill>
          </w14:textFill>
        </w:rPr>
        <w:t>计算：</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V=q×ψ×F×t×60÷1000</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式中：V-初期雨水最大量，m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w:t>
      </w:r>
    </w:p>
    <w:p>
      <w:pPr>
        <w:ind w:firstLine="1274" w:firstLineChars="531"/>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降雨历时，min；</w:t>
      </w:r>
    </w:p>
    <w:p>
      <w:pPr>
        <w:ind w:firstLine="1274" w:firstLineChars="531"/>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ψ</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径流系数，取0.85；</w:t>
      </w:r>
    </w:p>
    <w:p>
      <w:pPr>
        <w:ind w:left="1559" w:leftChars="531" w:hanging="285" w:hangingChars="11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F</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汇水面积，hm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，本次计算整个施工井场内部占地面积，按</w:t>
      </w:r>
      <w:r>
        <w:rPr>
          <w:rFonts w:hint="default" w:ascii="Times New Roman" w:hAnsi="Times New Roman" w:cs="Times New Roman"/>
          <w:color w:val="000000" w:themeColor="text1"/>
          <w:highlight w:val="none"/>
          <w:lang w:val="en-US" w:eastAsia="zh-CN"/>
          <w14:textFill>
            <w14:solidFill>
              <w14:schemeClr w14:val="tx1"/>
            </w14:solidFill>
          </w14:textFill>
        </w:rPr>
        <w:t>9226</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计，即0.</w:t>
      </w:r>
      <w:r>
        <w:rPr>
          <w:rFonts w:hint="default" w:ascii="Times New Roman" w:hAnsi="Times New Roman" w:cs="Times New Roman"/>
          <w:color w:val="000000" w:themeColor="text1"/>
          <w:highlight w:val="none"/>
          <w:lang w:val="en-US" w:eastAsia="zh-CN"/>
          <w14:textFill>
            <w14:solidFill>
              <w14:schemeClr w14:val="tx1"/>
            </w14:solidFill>
          </w14:textFill>
        </w:rPr>
        <w:t>9226</w:t>
      </w:r>
      <w:r>
        <w:rPr>
          <w:rFonts w:hint="default" w:ascii="Times New Roman" w:hAnsi="Times New Roman" w:cs="Times New Roman"/>
          <w:color w:val="000000" w:themeColor="text1"/>
          <w:highlight w:val="none"/>
          <w14:textFill>
            <w14:solidFill>
              <w14:schemeClr w14:val="tx1"/>
            </w14:solidFill>
          </w14:textFill>
        </w:rPr>
        <w:t>hm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w:t>
      </w:r>
    </w:p>
    <w:p>
      <w:pPr>
        <w:ind w:firstLine="1274" w:firstLineChars="531"/>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q-设计暴雨强度，L/（s·hm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w:t>
      </w:r>
    </w:p>
    <w:p>
      <w:pPr>
        <w:ind w:firstLine="1274" w:firstLineChars="531"/>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设计暴雨强度公式如下：</w:t>
      </w:r>
    </w:p>
    <w:p>
      <w:pPr>
        <w:ind w:firstLine="480"/>
        <w:rPr>
          <w:rFonts w:hint="default" w:ascii="Times New Roman" w:hAnsi="Times New Roman" w:cs="Times New Roman"/>
          <w:color w:val="000000" w:themeColor="text1"/>
          <w:highlight w:val="none"/>
          <w14:textFill>
            <w14:solidFill>
              <w14:schemeClr w14:val="tx1"/>
            </w14:solidFill>
          </w14:textFill>
        </w:rPr>
      </w:pPr>
      <m:oMathPara>
        <m:oMath>
          <m:r>
            <m:rPr/>
            <w:rPr>
              <w:rFonts w:hint="default" w:ascii="Cambria Math" w:hAnsi="Cambria Math" w:cs="Times New Roman"/>
              <w:color w:val="000000" w:themeColor="text1"/>
              <w:highlight w:val="none"/>
              <w14:textFill>
                <w14:solidFill>
                  <w14:schemeClr w14:val="tx1"/>
                </w14:solidFill>
              </w14:textFill>
            </w:rPr>
            <m:t>q=</m:t>
          </m:r>
          <m:f>
            <m:fPr>
              <m:ctrlPr>
                <w:rPr>
                  <w:rFonts w:hint="default" w:ascii="Cambria Math" w:hAnsi="Cambria Math" w:cs="Times New Roman"/>
                  <w:iCs/>
                  <w:color w:val="000000" w:themeColor="text1"/>
                  <w:highlight w:val="none"/>
                  <w14:textFill>
                    <w14:solidFill>
                      <w14:schemeClr w14:val="tx1"/>
                    </w14:solidFill>
                  </w14:textFill>
                </w:rPr>
              </m:ctrlPr>
            </m:fPr>
            <m:num>
              <m:r>
                <m:rPr>
                  <m:sty m:val="p"/>
                </m:rPr>
                <w:rPr>
                  <w:rFonts w:hint="default" w:ascii="Cambria Math" w:hAnsi="Cambria Math" w:cs="Times New Roman"/>
                  <w:color w:val="000000" w:themeColor="text1"/>
                  <w:highlight w:val="none"/>
                  <w14:textFill>
                    <w14:solidFill>
                      <w14:schemeClr w14:val="tx1"/>
                    </w14:solidFill>
                  </w14:textFill>
                </w:rPr>
                <m:t>928.799（1+0.818LgP）</m:t>
              </m:r>
              <m:ctrlPr>
                <w:rPr>
                  <w:rFonts w:hint="default" w:ascii="Cambria Math" w:hAnsi="Cambria Math" w:cs="Times New Roman"/>
                  <w:iCs/>
                  <w:color w:val="000000" w:themeColor="text1"/>
                  <w:highlight w:val="none"/>
                  <w14:textFill>
                    <w14:solidFill>
                      <w14:schemeClr w14:val="tx1"/>
                    </w14:solidFill>
                  </w14:textFill>
                </w:rPr>
              </m:ctrlPr>
            </m:num>
            <m:den>
              <m:r>
                <m:rPr>
                  <m:sty m:val="p"/>
                </m:rPr>
                <w:rPr>
                  <w:rFonts w:hint="default" w:ascii="Cambria Math" w:hAnsi="Cambria Math" w:cs="Times New Roman"/>
                  <w:color w:val="000000" w:themeColor="text1"/>
                  <w:highlight w:val="none"/>
                  <w14:textFill>
                    <w14:solidFill>
                      <w14:schemeClr w14:val="tx1"/>
                    </w14:solidFill>
                  </w14:textFill>
                </w:rPr>
                <m:t>（t+5.788</m:t>
              </m:r>
              <m:sSup>
                <m:sSupPr>
                  <m:ctrlPr>
                    <w:rPr>
                      <w:rFonts w:hint="default" w:ascii="Cambria Math" w:hAnsi="Cambria Math" w:cs="Times New Roman"/>
                      <w:iCs/>
                      <w:color w:val="000000" w:themeColor="text1"/>
                      <w:highlight w:val="none"/>
                      <w14:textFill>
                        <w14:solidFill>
                          <w14:schemeClr w14:val="tx1"/>
                        </w14:solidFill>
                      </w14:textFill>
                    </w:rPr>
                  </m:ctrlPr>
                </m:sSupPr>
                <m:e>
                  <m:r>
                    <m:rPr>
                      <m:sty m:val="p"/>
                    </m:rPr>
                    <w:rPr>
                      <w:rFonts w:hint="default" w:ascii="Cambria Math" w:hAnsi="Cambria Math" w:cs="Times New Roman"/>
                      <w:color w:val="000000" w:themeColor="text1"/>
                      <w:highlight w:val="none"/>
                      <w14:textFill>
                        <w14:solidFill>
                          <w14:schemeClr w14:val="tx1"/>
                        </w14:solidFill>
                      </w14:textFill>
                    </w:rPr>
                    <m:t>）</m:t>
                  </m:r>
                  <m:ctrlPr>
                    <w:rPr>
                      <w:rFonts w:hint="default" w:ascii="Cambria Math" w:hAnsi="Cambria Math" w:cs="Times New Roman"/>
                      <w:iCs/>
                      <w:color w:val="000000" w:themeColor="text1"/>
                      <w:highlight w:val="none"/>
                      <w14:textFill>
                        <w14:solidFill>
                          <w14:schemeClr w14:val="tx1"/>
                        </w14:solidFill>
                      </w14:textFill>
                    </w:rPr>
                  </m:ctrlPr>
                </m:e>
                <m:sup>
                  <m:r>
                    <m:rPr>
                      <m:sty m:val="p"/>
                    </m:rPr>
                    <w:rPr>
                      <w:rFonts w:hint="default" w:ascii="Cambria Math" w:hAnsi="Cambria Math" w:cs="Times New Roman"/>
                      <w:color w:val="000000" w:themeColor="text1"/>
                      <w:highlight w:val="none"/>
                      <w14:textFill>
                        <w14:solidFill>
                          <w14:schemeClr w14:val="tx1"/>
                        </w14:solidFill>
                      </w14:textFill>
                    </w:rPr>
                    <m:t>0.565</m:t>
                  </m:r>
                  <m:ctrlPr>
                    <w:rPr>
                      <w:rFonts w:hint="default" w:ascii="Cambria Math" w:hAnsi="Cambria Math" w:cs="Times New Roman"/>
                      <w:iCs/>
                      <w:color w:val="000000" w:themeColor="text1"/>
                      <w:highlight w:val="none"/>
                      <w14:textFill>
                        <w14:solidFill>
                          <w14:schemeClr w14:val="tx1"/>
                        </w14:solidFill>
                      </w14:textFill>
                    </w:rPr>
                  </m:ctrlPr>
                </m:sup>
              </m:sSup>
              <m:ctrlPr>
                <w:rPr>
                  <w:rFonts w:hint="default" w:ascii="Cambria Math" w:hAnsi="Cambria Math" w:cs="Times New Roman"/>
                  <w:iCs/>
                  <w:color w:val="000000" w:themeColor="text1"/>
                  <w:highlight w:val="none"/>
                  <w14:textFill>
                    <w14:solidFill>
                      <w14:schemeClr w14:val="tx1"/>
                    </w14:solidFill>
                  </w14:textFill>
                </w:rPr>
              </m:ctrlPr>
            </m:den>
          </m:f>
        </m:oMath>
      </m:oMathPara>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式中：</w:t>
      </w:r>
    </w:p>
    <w:p>
      <w:pPr>
        <w:ind w:firstLine="1132" w:firstLineChars="47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设计暴雨强度，L/（s·hm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w:t>
      </w:r>
    </w:p>
    <w:p>
      <w:pPr>
        <w:ind w:firstLine="1132" w:firstLineChars="47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p-设计暴雨重现期（年）：本次取值为2年；</w:t>
      </w:r>
    </w:p>
    <w:p>
      <w:pPr>
        <w:ind w:firstLine="1132" w:firstLineChars="47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降雨历时（min）：取15min。</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经计算，本项目15min初期雨水产生量约为</w:t>
      </w:r>
      <w:r>
        <w:rPr>
          <w:rFonts w:hint="default" w:ascii="Times New Roman" w:hAnsi="Times New Roman" w:cs="Times New Roman"/>
          <w:color w:val="000000" w:themeColor="text1"/>
          <w:highlight w:val="none"/>
          <w:lang w:val="en-US" w:eastAsia="zh-CN"/>
          <w14:textFill>
            <w14:solidFill>
              <w14:schemeClr w14:val="tx1"/>
            </w14:solidFill>
          </w14:textFill>
        </w:rPr>
        <w:t>147.1</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/次。</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井场实行雨污分流，井场外四周设排水边沟，井外雨水不得进入井场，井场内四周设内排水边，井场雨水随内排水沟汇至排放口，排放口设监控池，初期雨水收集后同钻井废水</w:t>
      </w:r>
      <w:r>
        <w:rPr>
          <w:rFonts w:hint="default" w:ascii="Times New Roman" w:hAnsi="Times New Roman" w:cs="Times New Roman"/>
          <w:color w:val="000000" w:themeColor="text1"/>
          <w:szCs w:val="24"/>
          <w:highlight w:val="none"/>
          <w:lang w:val="en-US" w:eastAsia="zh-CN"/>
          <w14:textFill>
            <w14:solidFill>
              <w14:schemeClr w14:val="tx1"/>
            </w14:solidFill>
          </w14:textFill>
        </w:rPr>
        <w:t>一并经不落地装置处理后大部分回用于配制钻井液，剩余不能回用部分暂存于清洁生产操作平台的废水罐内，</w:t>
      </w:r>
      <w:r>
        <w:rPr>
          <w:rFonts w:hint="default" w:ascii="Times New Roman" w:hAnsi="Times New Roman" w:cs="Times New Roman"/>
          <w:bCs/>
          <w:color w:val="000000" w:themeColor="text1"/>
          <w:szCs w:val="24"/>
          <w:highlight w:val="none"/>
          <w14:textFill>
            <w14:solidFill>
              <w14:schemeClr w14:val="tx1"/>
            </w14:solidFill>
          </w14:textFill>
        </w:rPr>
        <w:t>定期装车拉运</w:t>
      </w:r>
      <w:r>
        <w:rPr>
          <w:rFonts w:hint="default" w:ascii="Times New Roman" w:hAnsi="Times New Roman" w:cs="Times New Roman"/>
          <w:color w:val="000000" w:themeColor="text1"/>
          <w:highlight w:val="none"/>
          <w14:textFill>
            <w14:solidFill>
              <w14:schemeClr w14:val="tx1"/>
            </w14:solidFill>
          </w14:textFill>
        </w:rPr>
        <w:t>至赵家坝污水处理站处理达标后（达《气田水回注方法》（SY/T 6596-2016）中注入水基本要求）管输至普光11井回注站回注，不外排，后期雨水水质清洁后可直接外排。</w:t>
      </w:r>
    </w:p>
    <w:p>
      <w:pPr>
        <w:spacing w:before="120" w:beforeLines="50"/>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（3）噪声</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本项目井场噪声分布区域主要分为动力及钻台区、泥浆泵区和泥浆不落地区等，其主要噪声设备有：</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①机械噪声组：包括柴油机组、发电机组、钻机、泥浆泵以及其他种机械转动所产生的噪声；</w:t>
      </w:r>
    </w:p>
    <w:p>
      <w:pPr>
        <w:ind w:firstLine="48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②作业噪声：包括固井作业、下套管、起下钻具、钻机气路控制系统操作时快速放气阀放气、跳钻时吊环与水龙头的撞击等所产生的噪声</w:t>
      </w:r>
      <w:r>
        <w:rPr>
          <w:rFonts w:hint="default" w:ascii="Times New Roman" w:hAnsi="Times New Roman" w:cs="Times New Roman"/>
          <w:color w:val="000000" w:themeColor="text1"/>
          <w:highlight w:val="none"/>
          <w:lang w:eastAsia="zh-CN"/>
          <w14:textFill>
            <w14:solidFill>
              <w14:schemeClr w14:val="tx1"/>
            </w14:solidFill>
          </w14:textFill>
        </w:rPr>
        <w:t>。</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优先使用网电，备用柴油发电机仅在供电不正常时使用，使用时间短，为偶尔间断使用，但其噪声源强大。因此对声环境影响大的主要为钻井过程中使用备用的柴油动力机、柴油发电机间断运行噪声，以及24小时钻井时钻机等设备的运行产生较大的连续性噪声，本项目钻井采用ZJ70型钻机，根据类比调查，钻井工程主要噪声源设备噪声值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_Ref142593506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61" w:name="_Ref142593506"/>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bookmarkEnd w:id="161"/>
      <w:r>
        <w:rPr>
          <w:rFonts w:hint="default" w:ascii="Times New Roman" w:hAnsi="Times New Roman" w:cs="Times New Roman"/>
          <w:color w:val="000000" w:themeColor="text1"/>
          <w:highlight w:val="none"/>
          <w14:textFill>
            <w14:solidFill>
              <w14:schemeClr w14:val="tx1"/>
            </w14:solidFill>
          </w14:textFill>
        </w:rPr>
        <w:t xml:space="preserve"> 项目钻井工程主要噪声源设备噪声值表</w:t>
      </w:r>
    </w:p>
    <w:tbl>
      <w:tblPr>
        <w:tblStyle w:val="5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16"/>
        <w:gridCol w:w="1071"/>
        <w:gridCol w:w="1015"/>
        <w:gridCol w:w="1360"/>
        <w:gridCol w:w="1878"/>
        <w:gridCol w:w="739"/>
        <w:gridCol w:w="529"/>
        <w:gridCol w:w="529"/>
        <w:gridCol w:w="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16" w:type="dxa"/>
            <w:vAlign w:val="center"/>
          </w:tcPr>
          <w:p>
            <w:pPr>
              <w:widowControl/>
              <w:spacing w:line="240" w:lineRule="auto"/>
              <w:ind w:left="0" w:leftChars="0" w:firstLine="0" w:firstLineChars="0"/>
              <w:jc w:val="both"/>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阶</w:t>
            </w:r>
            <w:r>
              <w:rPr>
                <w:rFonts w:hint="default" w:ascii="Times New Roman" w:hAnsi="Times New Roman" w:cs="Times New Roman"/>
                <w:color w:val="000000" w:themeColor="text1"/>
                <w:kern w:val="0"/>
                <w:sz w:val="21"/>
                <w:szCs w:val="21"/>
                <w:highlight w:val="none"/>
                <w14:textFill>
                  <w14:solidFill>
                    <w14:schemeClr w14:val="tx1"/>
                  </w14:solidFill>
                </w14:textFill>
              </w:rPr>
              <w:t>段</w:t>
            </w:r>
          </w:p>
        </w:tc>
        <w:tc>
          <w:tcPr>
            <w:tcW w:w="1071"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噪声设备</w:t>
            </w:r>
          </w:p>
        </w:tc>
        <w:tc>
          <w:tcPr>
            <w:tcW w:w="1015"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数量</w:t>
            </w:r>
          </w:p>
        </w:tc>
        <w:tc>
          <w:tcPr>
            <w:tcW w:w="1360"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单台源强dB（A）（1m处）</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采取的降噪措施</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降噪后源强</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噪声特征</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排放时间</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声源种类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16" w:type="dxa"/>
            <w:vMerge w:val="restart"/>
            <w:vAlign w:val="center"/>
          </w:tcPr>
          <w:p>
            <w:pPr>
              <w:widowControl/>
              <w:spacing w:line="240" w:lineRule="auto"/>
              <w:ind w:left="0" w:leftChars="0" w:firstLine="0" w:firstLineChars="0"/>
              <w:jc w:val="both"/>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网</w:t>
            </w: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电工况</w:t>
            </w:r>
          </w:p>
        </w:tc>
        <w:tc>
          <w:tcPr>
            <w:tcW w:w="1071"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钻井设备</w:t>
            </w:r>
          </w:p>
        </w:tc>
        <w:tc>
          <w:tcPr>
            <w:tcW w:w="1015"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1套</w:t>
            </w:r>
          </w:p>
        </w:tc>
        <w:tc>
          <w:tcPr>
            <w:tcW w:w="1360"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95～103</w:t>
            </w:r>
          </w:p>
        </w:tc>
        <w:tc>
          <w:tcPr>
            <w:tcW w:w="0" w:type="auto"/>
            <w:vMerge w:val="restart"/>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置于钻井井场内，基础安装减振垫层</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93～98</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机械</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昼夜连续</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16" w:type="dxa"/>
            <w:vMerge w:val="continue"/>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071"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泥浆泵</w:t>
            </w:r>
          </w:p>
        </w:tc>
        <w:tc>
          <w:tcPr>
            <w:tcW w:w="1015"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泥浆泵2台</w:t>
            </w:r>
          </w:p>
        </w:tc>
        <w:tc>
          <w:tcPr>
            <w:tcW w:w="1360"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85～90</w:t>
            </w:r>
          </w:p>
        </w:tc>
        <w:tc>
          <w:tcPr>
            <w:tcW w:w="0" w:type="auto"/>
            <w:vMerge w:val="continue"/>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80～85</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机械</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昼夜连续</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16" w:type="dxa"/>
            <w:vMerge w:val="continue"/>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071"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振动筛</w:t>
            </w:r>
          </w:p>
        </w:tc>
        <w:tc>
          <w:tcPr>
            <w:tcW w:w="1015"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2台</w:t>
            </w:r>
          </w:p>
        </w:tc>
        <w:tc>
          <w:tcPr>
            <w:tcW w:w="1360"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75～85</w:t>
            </w:r>
          </w:p>
        </w:tc>
        <w:tc>
          <w:tcPr>
            <w:tcW w:w="0" w:type="auto"/>
            <w:vMerge w:val="continue"/>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80～85</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机械</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昼夜连续</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16" w:type="dxa"/>
            <w:vMerge w:val="continue"/>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071"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泥浆不落地装置</w:t>
            </w:r>
          </w:p>
        </w:tc>
        <w:tc>
          <w:tcPr>
            <w:tcW w:w="1015"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1套</w:t>
            </w:r>
          </w:p>
        </w:tc>
        <w:tc>
          <w:tcPr>
            <w:tcW w:w="1360"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85~90</w:t>
            </w:r>
          </w:p>
        </w:tc>
        <w:tc>
          <w:tcPr>
            <w:tcW w:w="0" w:type="auto"/>
            <w:vMerge w:val="continue"/>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80～85</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机械</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昼夜间断</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16" w:type="dxa"/>
            <w:vMerge w:val="restart"/>
            <w:vAlign w:val="center"/>
          </w:tcPr>
          <w:p>
            <w:pPr>
              <w:widowControl/>
              <w:spacing w:line="240" w:lineRule="auto"/>
              <w:ind w:left="0" w:leftChars="0" w:firstLine="0" w:firstLineChars="0"/>
              <w:jc w:val="both"/>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柴油</w:t>
            </w:r>
            <w:r>
              <w:rPr>
                <w:rFonts w:hint="default" w:ascii="Times New Roman" w:hAnsi="Times New Roman" w:cs="Times New Roman"/>
                <w:color w:val="000000" w:themeColor="text1"/>
                <w:kern w:val="0"/>
                <w:sz w:val="21"/>
                <w:szCs w:val="21"/>
                <w:highlight w:val="none"/>
                <w14:textFill>
                  <w14:solidFill>
                    <w14:schemeClr w14:val="tx1"/>
                  </w14:solidFill>
                </w14:textFill>
              </w:rPr>
              <w:t>机</w:t>
            </w: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工况</w:t>
            </w:r>
            <w:r>
              <w:rPr>
                <w:rFonts w:hint="default" w:ascii="Times New Roman" w:hAnsi="Times New Roman"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时）</w:t>
            </w:r>
          </w:p>
        </w:tc>
        <w:tc>
          <w:tcPr>
            <w:tcW w:w="1071"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柴油动力机</w:t>
            </w:r>
          </w:p>
        </w:tc>
        <w:tc>
          <w:tcPr>
            <w:tcW w:w="1015" w:type="dxa"/>
            <w:vAlign w:val="center"/>
          </w:tcPr>
          <w:p>
            <w:pPr>
              <w:widowControl/>
              <w:spacing w:line="240" w:lineRule="auto"/>
              <w:ind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2台</w:t>
            </w:r>
          </w:p>
        </w:tc>
        <w:tc>
          <w:tcPr>
            <w:tcW w:w="1360"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95～100</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排气筒上自带高质量消声器的柴油机</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90～95</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机械</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间断</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16" w:type="dxa"/>
            <w:vMerge w:val="continue"/>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071"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柴油发电机</w:t>
            </w:r>
          </w:p>
        </w:tc>
        <w:tc>
          <w:tcPr>
            <w:tcW w:w="1015"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1台</w:t>
            </w:r>
          </w:p>
        </w:tc>
        <w:tc>
          <w:tcPr>
            <w:tcW w:w="1360" w:type="dxa"/>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90～95</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活动板房隔声，安装减振垫层和阻尼涂料</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85～90</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机械</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间断</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固定声源</w:t>
            </w:r>
          </w:p>
        </w:tc>
      </w:tr>
    </w:tbl>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（4）固废</w:t>
      </w: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1）水基钻井固废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若项目全部采用水基泥浆钻井，则项目产生的水基钻井固废计算如下：</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①废水基钻井泥浆：</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过程中产生的废钻井泥浆主要来源于：①被更换的不适于钻井工程和地质要求的钻井泥浆；②在钻井过程中，因部分性能不合格而被排放的钻井泥浆；③完井时和洗井时井筒内被清水替出的钻井泥浆；④钻井泥浆循环系统跑、冒、滴、漏而排出的钻井泥浆。主要成分为水、粘土、聚合物、碳酸钠、氢氧化钠、氯化钾、石灰石和重晶石。</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根据本项目钻井设计，项目钻井阶段钻井液总用量约为1852m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，根据普光气田统计数据钻井液</w:t>
      </w:r>
      <w:r>
        <w:rPr>
          <w:rFonts w:hint="default" w:ascii="Times New Roman" w:hAnsi="Times New Roman" w:cs="Times New Roman"/>
          <w:bCs/>
          <w:color w:val="000000" w:themeColor="text1"/>
          <w:highlight w:val="none"/>
          <w14:textFill>
            <w14:solidFill>
              <w14:schemeClr w14:val="tx1"/>
            </w14:solidFill>
          </w14:textFill>
        </w:rPr>
        <w:t>循环利用率在90%以上，故本项目约产生最大废弃水基钻井泥浆185.2m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（根据普陆4井钻井工程建设项目（实际井深4622m）竣工环境保护验收调查表可知其施工期废泥浆实际产生量约为63m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），由于其pH较高（通常超过9），含有少量有机物添加剂，根据类比其他项目废弃钻井泥浆成分，确定废弃水基钻井泥浆为第Ⅱ类一般工业固体废物。</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②钻井岩屑：</w:t>
      </w:r>
    </w:p>
    <w:p>
      <w:pPr>
        <w:widowControl/>
        <w:adjustRightInd/>
        <w:snapToGrid/>
        <w:ind w:firstLine="480"/>
        <w:jc w:val="left"/>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钻井岩屑是在钻井过程中钻头</w:t>
      </w:r>
      <w:r>
        <w:rPr>
          <w:rFonts w:hint="default" w:ascii="Times New Roman" w:hAnsi="Times New Roman" w:cs="Times New Roman"/>
          <w:color w:val="000000" w:themeColor="text1"/>
          <w:kern w:val="0"/>
          <w:highlight w:val="none"/>
          <w:lang w:eastAsia="zh-CN"/>
          <w14:textFill>
            <w14:solidFill>
              <w14:schemeClr w14:val="tx1"/>
            </w14:solidFill>
          </w14:textFill>
        </w:rPr>
        <w:t>切削</w:t>
      </w:r>
      <w:r>
        <w:rPr>
          <w:rFonts w:hint="default" w:ascii="Times New Roman" w:hAnsi="Times New Roman" w:cs="Times New Roman"/>
          <w:color w:val="000000" w:themeColor="text1"/>
          <w:kern w:val="0"/>
          <w:highlight w:val="none"/>
          <w14:textFill>
            <w14:solidFill>
              <w14:schemeClr w14:val="tx1"/>
            </w14:solidFill>
          </w14:textFill>
        </w:rPr>
        <w:t>地层岩石而产生的碎屑，并通过钻井泥浆和洗井液带出至地面。主要成分为岩石、土壤及钻井液。其产生量与井眼长度、平均井径有关。根据本项目钻井阶段各开次进尺、钻头尺寸，并取一定的容积扩大倍数（清水和水基钻井一般取2.5~5倍，油基钻井取3~6倍，本次评价保守按清水和水基钻井一般取5倍，油基钻井取6倍考虑），本项目钻井岩屑产生量见</w:t>
      </w:r>
      <w:r>
        <w:rPr>
          <w:rFonts w:hint="default" w:ascii="Times New Roman" w:hAnsi="Times New Roman" w:cs="Times New Roman"/>
          <w:bCs/>
          <w:color w:val="000000" w:themeColor="text1"/>
          <w:highlight w:val="none"/>
          <w14:textFill>
            <w14:solidFill>
              <w14:schemeClr w14:val="tx1"/>
            </w14:solidFill>
          </w14:textFill>
        </w:rPr>
        <w:fldChar w:fldCharType="begin"/>
      </w:r>
      <w:r>
        <w:rPr>
          <w:rFonts w:hint="default" w:ascii="Times New Roman" w:hAnsi="Times New Roman" w:cs="Times New Roman"/>
          <w:bCs/>
          <w:color w:val="000000" w:themeColor="text1"/>
          <w:highlight w:val="none"/>
          <w14:textFill>
            <w14:solidFill>
              <w14:schemeClr w14:val="tx1"/>
            </w14:solidFill>
          </w14:textFill>
        </w:rPr>
        <w:instrText xml:space="preserve"> REF _Ref142593515 \h  \* MERGEFORMAT </w:instrText>
      </w:r>
      <w:r>
        <w:rPr>
          <w:rFonts w:hint="default" w:ascii="Times New Roman" w:hAnsi="Times New Roman" w:cs="Times New Roman"/>
          <w:bCs/>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bCs/>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kern w:val="0"/>
          <w:highlight w:val="none"/>
          <w14:textFill>
            <w14:solidFill>
              <w14:schemeClr w14:val="tx1"/>
            </w14:solidFill>
          </w14:textFill>
        </w:rPr>
        <w:t>。</w:t>
      </w:r>
    </w:p>
    <w:p>
      <w:pPr>
        <w:widowControl/>
        <w:adjustRightInd/>
        <w:snapToGrid/>
        <w:ind w:firstLine="480"/>
        <w:jc w:val="left"/>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lang w:eastAsia="zh-CN"/>
          <w14:textFill>
            <w14:solidFill>
              <w14:schemeClr w14:val="tx1"/>
            </w14:solidFill>
          </w14:textFill>
        </w:rPr>
        <w:t>计算公式</w:t>
      </w:r>
      <w:r>
        <w:rPr>
          <w:rFonts w:hint="default" w:ascii="Times New Roman" w:hAnsi="Times New Roman" w:cs="Times New Roman"/>
          <w:color w:val="000000" w:themeColor="text1"/>
          <w:kern w:val="0"/>
          <w:highlight w:val="none"/>
          <w14:textFill>
            <w14:solidFill>
              <w14:schemeClr w14:val="tx1"/>
            </w14:solidFill>
          </w14:textFill>
        </w:rPr>
        <w:t>如下：</w:t>
      </w:r>
    </w:p>
    <w:p>
      <w:pPr>
        <w:widowControl/>
        <w:adjustRightInd/>
        <w:snapToGrid/>
        <w:ind w:firstLine="420" w:firstLineChars="0"/>
        <w:jc w:val="center"/>
        <w:rPr>
          <w:rFonts w:hint="default" w:ascii="Times New Roman" w:hAnsi="Times New Roman" w:cs="Times New Roman"/>
          <w:color w:val="000000" w:themeColor="text1"/>
          <w:kern w:val="0"/>
          <w:sz w:val="22"/>
          <w:szCs w:val="21"/>
          <w:highlight w:val="none"/>
          <w14:textFill>
            <w14:solidFill>
              <w14:schemeClr w14:val="tx1"/>
            </w14:solidFill>
          </w14:textFill>
        </w:rPr>
      </w:pPr>
      <w:r>
        <w:rPr>
          <w:rFonts w:hint="default" w:ascii="Times New Roman" w:hAnsi="Times New Roman" w:cs="Times New Roman"/>
          <w:color w:val="000000" w:themeColor="text1"/>
          <w:kern w:val="0"/>
          <w:sz w:val="22"/>
          <w:szCs w:val="21"/>
          <w:highlight w:val="none"/>
          <w14:textFill>
            <w14:solidFill>
              <w14:schemeClr w14:val="tx1"/>
            </w14:solidFill>
          </w14:textFill>
        </w:rPr>
        <w:t>V</w:t>
      </w:r>
      <w:r>
        <w:rPr>
          <w:rFonts w:hint="default" w:ascii="Times New Roman" w:hAnsi="Times New Roman" w:cs="Times New Roman"/>
          <w:color w:val="000000" w:themeColor="text1"/>
          <w:kern w:val="0"/>
          <w:sz w:val="22"/>
          <w:szCs w:val="21"/>
          <w:highlight w:val="none"/>
          <w:vertAlign w:val="subscript"/>
          <w14:textFill>
            <w14:solidFill>
              <w14:schemeClr w14:val="tx1"/>
            </w14:solidFill>
          </w14:textFill>
        </w:rPr>
        <w:t>水基=</w:t>
      </w:r>
      <w:r>
        <w:rPr>
          <w:rFonts w:hint="default" w:ascii="Times New Roman" w:hAnsi="Times New Roman" w:cs="Times New Roman"/>
          <w:color w:val="000000" w:themeColor="text1"/>
          <w:kern w:val="0"/>
          <w:sz w:val="22"/>
          <w:szCs w:val="21"/>
          <w:highlight w:val="none"/>
          <w:lang w:eastAsia="en-US"/>
          <w14:textFill>
            <w14:solidFill>
              <w14:schemeClr w14:val="tx1"/>
            </w14:solidFill>
          </w14:textFill>
        </w:rPr>
        <w:t>π</w:t>
      </w:r>
      <w:r>
        <w:rPr>
          <w:rFonts w:hint="default" w:ascii="Times New Roman" w:hAnsi="Times New Roman" w:cs="Times New Roman"/>
          <w:color w:val="000000" w:themeColor="text1"/>
          <w:kern w:val="0"/>
          <w:sz w:val="22"/>
          <w:szCs w:val="21"/>
          <w:highlight w:val="none"/>
          <w14:textFill>
            <w14:solidFill>
              <w14:schemeClr w14:val="tx1"/>
            </w14:solidFill>
          </w14:textFill>
        </w:rPr>
        <w:t>*r</w:t>
      </w:r>
      <w:r>
        <w:rPr>
          <w:rFonts w:hint="default" w:ascii="Times New Roman" w:hAnsi="Times New Roman" w:cs="Times New Roman"/>
          <w:color w:val="000000" w:themeColor="text1"/>
          <w:kern w:val="0"/>
          <w:sz w:val="22"/>
          <w:szCs w:val="21"/>
          <w:highlight w:val="none"/>
          <w:vertAlign w:val="superscript"/>
          <w14:textFill>
            <w14:solidFill>
              <w14:schemeClr w14:val="tx1"/>
            </w14:solidFill>
          </w14:textFill>
        </w:rPr>
        <w:t>2</w:t>
      </w:r>
      <w:r>
        <w:rPr>
          <w:rFonts w:hint="default" w:ascii="Times New Roman" w:hAnsi="Times New Roman" w:cs="Times New Roman"/>
          <w:color w:val="000000" w:themeColor="text1"/>
          <w:kern w:val="0"/>
          <w:sz w:val="22"/>
          <w:szCs w:val="21"/>
          <w:highlight w:val="none"/>
          <w14:textFill>
            <w14:solidFill>
              <w14:schemeClr w14:val="tx1"/>
            </w14:solidFill>
          </w14:textFill>
        </w:rPr>
        <w:t>*d*5</w:t>
      </w:r>
    </w:p>
    <w:p>
      <w:pPr>
        <w:widowControl/>
        <w:adjustRightInd/>
        <w:snapToGrid/>
        <w:ind w:firstLine="420" w:firstLineChars="0"/>
        <w:jc w:val="center"/>
        <w:rPr>
          <w:rFonts w:hint="default" w:ascii="Times New Roman" w:hAnsi="Times New Roman" w:cs="Times New Roman"/>
          <w:color w:val="000000" w:themeColor="text1"/>
          <w:kern w:val="0"/>
          <w:sz w:val="22"/>
          <w:szCs w:val="21"/>
          <w:highlight w:val="none"/>
          <w14:textFill>
            <w14:solidFill>
              <w14:schemeClr w14:val="tx1"/>
            </w14:solidFill>
          </w14:textFill>
        </w:rPr>
      </w:pPr>
      <w:r>
        <w:rPr>
          <w:rFonts w:hint="default" w:ascii="Times New Roman" w:hAnsi="Times New Roman" w:cs="Times New Roman"/>
          <w:color w:val="000000" w:themeColor="text1"/>
          <w:kern w:val="0"/>
          <w:sz w:val="22"/>
          <w:szCs w:val="21"/>
          <w:highlight w:val="none"/>
          <w14:textFill>
            <w14:solidFill>
              <w14:schemeClr w14:val="tx1"/>
            </w14:solidFill>
          </w14:textFill>
        </w:rPr>
        <w:t>V</w:t>
      </w:r>
      <w:r>
        <w:rPr>
          <w:rFonts w:hint="default" w:ascii="Times New Roman" w:hAnsi="Times New Roman" w:cs="Times New Roman"/>
          <w:color w:val="000000" w:themeColor="text1"/>
          <w:kern w:val="0"/>
          <w:sz w:val="22"/>
          <w:szCs w:val="21"/>
          <w:highlight w:val="none"/>
          <w:vertAlign w:val="subscript"/>
          <w14:textFill>
            <w14:solidFill>
              <w14:schemeClr w14:val="tx1"/>
            </w14:solidFill>
          </w14:textFill>
        </w:rPr>
        <w:t>油基</w:t>
      </w:r>
      <w:r>
        <w:rPr>
          <w:rFonts w:hint="default" w:ascii="Times New Roman" w:hAnsi="Times New Roman" w:cs="Times New Roman"/>
          <w:color w:val="000000" w:themeColor="text1"/>
          <w:kern w:val="0"/>
          <w:sz w:val="22"/>
          <w:szCs w:val="21"/>
          <w:highlight w:val="none"/>
          <w14:textFill>
            <w14:solidFill>
              <w14:schemeClr w14:val="tx1"/>
            </w14:solidFill>
          </w14:textFill>
        </w:rPr>
        <w:t>=</w:t>
      </w:r>
      <w:r>
        <w:rPr>
          <w:rFonts w:hint="default" w:ascii="Times New Roman" w:hAnsi="Times New Roman" w:cs="Times New Roman"/>
          <w:color w:val="000000" w:themeColor="text1"/>
          <w:kern w:val="0"/>
          <w:sz w:val="22"/>
          <w:szCs w:val="21"/>
          <w:highlight w:val="none"/>
          <w:lang w:eastAsia="en-US"/>
          <w14:textFill>
            <w14:solidFill>
              <w14:schemeClr w14:val="tx1"/>
            </w14:solidFill>
          </w14:textFill>
        </w:rPr>
        <w:t>π</w:t>
      </w:r>
      <w:r>
        <w:rPr>
          <w:rFonts w:hint="default" w:ascii="Times New Roman" w:hAnsi="Times New Roman" w:cs="Times New Roman"/>
          <w:color w:val="000000" w:themeColor="text1"/>
          <w:kern w:val="0"/>
          <w:sz w:val="22"/>
          <w:szCs w:val="21"/>
          <w:highlight w:val="none"/>
          <w14:textFill>
            <w14:solidFill>
              <w14:schemeClr w14:val="tx1"/>
            </w14:solidFill>
          </w14:textFill>
        </w:rPr>
        <w:t>*r</w:t>
      </w:r>
      <w:r>
        <w:rPr>
          <w:rFonts w:hint="default" w:ascii="Times New Roman" w:hAnsi="Times New Roman" w:cs="Times New Roman"/>
          <w:color w:val="000000" w:themeColor="text1"/>
          <w:kern w:val="0"/>
          <w:sz w:val="22"/>
          <w:szCs w:val="21"/>
          <w:highlight w:val="none"/>
          <w:vertAlign w:val="superscript"/>
          <w14:textFill>
            <w14:solidFill>
              <w14:schemeClr w14:val="tx1"/>
            </w14:solidFill>
          </w14:textFill>
        </w:rPr>
        <w:t>2</w:t>
      </w:r>
      <w:r>
        <w:rPr>
          <w:rFonts w:hint="default" w:ascii="Times New Roman" w:hAnsi="Times New Roman" w:cs="Times New Roman"/>
          <w:color w:val="000000" w:themeColor="text1"/>
          <w:kern w:val="0"/>
          <w:sz w:val="22"/>
          <w:szCs w:val="21"/>
          <w:highlight w:val="none"/>
          <w14:textFill>
            <w14:solidFill>
              <w14:schemeClr w14:val="tx1"/>
            </w14:solidFill>
          </w14:textFill>
        </w:rPr>
        <w:t>*d*6</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62" w:name="_Ref142593515"/>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fldChar w:fldCharType="end"/>
      </w:r>
      <w:bookmarkEnd w:id="162"/>
      <w:r>
        <w:rPr>
          <w:rFonts w:hint="default" w:ascii="Times New Roman" w:hAnsi="Times New Roman" w:cs="Times New Roman"/>
          <w:color w:val="000000" w:themeColor="text1"/>
          <w:highlight w:val="none"/>
          <w14:textFill>
            <w14:solidFill>
              <w14:schemeClr w14:val="tx1"/>
            </w14:solidFill>
          </w14:textFill>
        </w:rPr>
        <w:t xml:space="preserve"> 水基钻井期间岩屑产生量估算表</w:t>
      </w:r>
    </w:p>
    <w:tbl>
      <w:tblPr>
        <w:tblStyle w:val="52"/>
        <w:tblW w:w="5000" w:type="pct"/>
        <w:tblInd w:w="0" w:type="dxa"/>
        <w:tblLayout w:type="autofit"/>
        <w:tblCellMar>
          <w:top w:w="0" w:type="dxa"/>
          <w:left w:w="108" w:type="dxa"/>
          <w:bottom w:w="0" w:type="dxa"/>
          <w:right w:w="108" w:type="dxa"/>
        </w:tblCellMar>
      </w:tblPr>
      <w:tblGrid>
        <w:gridCol w:w="1141"/>
        <w:gridCol w:w="1151"/>
        <w:gridCol w:w="1149"/>
        <w:gridCol w:w="1151"/>
        <w:gridCol w:w="1148"/>
        <w:gridCol w:w="1221"/>
        <w:gridCol w:w="1565"/>
      </w:tblGrid>
      <w:tr>
        <w:tblPrEx>
          <w:tblCellMar>
            <w:top w:w="0" w:type="dxa"/>
            <w:left w:w="108" w:type="dxa"/>
            <w:bottom w:w="0" w:type="dxa"/>
            <w:right w:w="108" w:type="dxa"/>
          </w:tblCellMar>
        </w:tblPrEx>
        <w:trPr>
          <w:trHeight w:val="580" w:hRule="atLeast"/>
        </w:trPr>
        <w:tc>
          <w:tcPr>
            <w:tcW w:w="669" w:type="pct"/>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pStyle w:val="295"/>
              <w:jc w:val="right"/>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参数</w:t>
            </w:r>
          </w:p>
          <w:p>
            <w:pPr>
              <w:pStyle w:val="295"/>
              <w:jc w:val="both"/>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井号</w:t>
            </w:r>
          </w:p>
        </w:tc>
        <w:tc>
          <w:tcPr>
            <w:tcW w:w="67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开次</w:t>
            </w:r>
          </w:p>
        </w:tc>
        <w:tc>
          <w:tcPr>
            <w:tcW w:w="67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钻头直径mm</w:t>
            </w:r>
          </w:p>
        </w:tc>
        <w:tc>
          <w:tcPr>
            <w:tcW w:w="67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钻井进尺m</w:t>
            </w:r>
          </w:p>
        </w:tc>
        <w:tc>
          <w:tcPr>
            <w:tcW w:w="67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容积膨大倍数</w:t>
            </w:r>
          </w:p>
        </w:tc>
        <w:tc>
          <w:tcPr>
            <w:tcW w:w="716"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岩屑体积m</w:t>
            </w:r>
            <w:r>
              <w:rPr>
                <w:rFonts w:hint="default" w:ascii="Times New Roman" w:hAnsi="Times New Roman" w:cs="Times New Roman"/>
                <w:b/>
                <w:bCs/>
                <w:color w:val="000000" w:themeColor="text1"/>
                <w:szCs w:val="21"/>
                <w:highlight w:val="none"/>
                <w:vertAlign w:val="superscript"/>
                <w14:textFill>
                  <w14:solidFill>
                    <w14:schemeClr w14:val="tx1"/>
                  </w14:solidFill>
                </w14:textFill>
              </w:rPr>
              <w:t>3</w:t>
            </w:r>
          </w:p>
        </w:tc>
        <w:tc>
          <w:tcPr>
            <w:tcW w:w="918"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固废类型</w:t>
            </w:r>
          </w:p>
        </w:tc>
      </w:tr>
      <w:tr>
        <w:tblPrEx>
          <w:tblCellMar>
            <w:top w:w="0" w:type="dxa"/>
            <w:left w:w="108" w:type="dxa"/>
            <w:bottom w:w="0" w:type="dxa"/>
            <w:right w:w="108" w:type="dxa"/>
          </w:tblCellMar>
        </w:tblPrEx>
        <w:trPr>
          <w:trHeight w:val="285" w:hRule="atLeast"/>
        </w:trPr>
        <w:tc>
          <w:tcPr>
            <w:tcW w:w="669" w:type="pct"/>
            <w:vMerge w:val="restar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P106-2</w:t>
            </w:r>
            <w:r>
              <w:rPr>
                <w:rFonts w:hint="eastAsia" w:ascii="Times New Roman" w:hAnsi="Times New Roman" w:cs="Times New Roman"/>
                <w:color w:val="000000" w:themeColor="text1"/>
                <w:szCs w:val="21"/>
                <w:highlight w:val="none"/>
                <w:lang w:val="en-US" w:eastAsia="zh-CN"/>
                <w14:textFill>
                  <w14:solidFill>
                    <w14:schemeClr w14:val="tx1"/>
                  </w14:solidFill>
                </w14:textFill>
              </w:rPr>
              <w:t>H</w:t>
            </w:r>
            <w:r>
              <w:rPr>
                <w:rFonts w:hint="default" w:ascii="Times New Roman" w:hAnsi="Times New Roman" w:cs="Times New Roman"/>
                <w:color w:val="000000" w:themeColor="text1"/>
                <w:szCs w:val="21"/>
                <w:highlight w:val="none"/>
                <w14:textFill>
                  <w14:solidFill>
                    <w14:schemeClr w14:val="tx1"/>
                  </w14:solidFill>
                </w14:textFill>
              </w:rPr>
              <w:t>侧井</w:t>
            </w:r>
          </w:p>
        </w:tc>
        <w:tc>
          <w:tcPr>
            <w:tcW w:w="675" w:type="pct"/>
            <w:tcBorders>
              <w:top w:val="single" w:color="auto" w:sz="4" w:space="0"/>
              <w:left w:val="nil"/>
              <w:bottom w:val="single" w:color="auto" w:sz="4" w:space="0"/>
              <w:right w:val="single" w:color="auto" w:sz="4" w:space="0"/>
            </w:tcBorders>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水基</w:t>
            </w:r>
          </w:p>
        </w:tc>
        <w:tc>
          <w:tcPr>
            <w:tcW w:w="674" w:type="pct"/>
            <w:tcBorders>
              <w:top w:val="single" w:color="auto" w:sz="4" w:space="0"/>
              <w:left w:val="nil"/>
              <w:bottom w:val="single" w:color="auto" w:sz="4" w:space="0"/>
              <w:right w:val="single" w:color="auto" w:sz="4" w:space="0"/>
            </w:tcBorders>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149.2</w:t>
            </w:r>
          </w:p>
        </w:tc>
        <w:tc>
          <w:tcPr>
            <w:tcW w:w="675" w:type="pct"/>
            <w:tcBorders>
              <w:top w:val="single" w:color="auto" w:sz="4" w:space="0"/>
              <w:left w:val="nil"/>
              <w:bottom w:val="single" w:color="auto" w:sz="4" w:space="0"/>
              <w:right w:val="single" w:color="auto" w:sz="4" w:space="0"/>
            </w:tcBorders>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1756.58</w:t>
            </w:r>
          </w:p>
        </w:tc>
        <w:tc>
          <w:tcPr>
            <w:tcW w:w="673" w:type="pct"/>
            <w:tcBorders>
              <w:top w:val="single" w:color="auto" w:sz="4" w:space="0"/>
              <w:left w:val="nil"/>
              <w:bottom w:val="single" w:color="auto" w:sz="4" w:space="0"/>
              <w:right w:val="single" w:color="auto" w:sz="4" w:space="0"/>
            </w:tcBorders>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5</w:t>
            </w:r>
          </w:p>
        </w:tc>
        <w:tc>
          <w:tcPr>
            <w:tcW w:w="716" w:type="pct"/>
            <w:tcBorders>
              <w:top w:val="single" w:color="auto" w:sz="4" w:space="0"/>
              <w:left w:val="nil"/>
              <w:bottom w:val="single" w:color="auto" w:sz="4" w:space="0"/>
              <w:right w:val="single" w:color="auto" w:sz="4" w:space="0"/>
            </w:tcBorders>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 xml:space="preserve">153.48 </w:t>
            </w:r>
          </w:p>
        </w:tc>
        <w:tc>
          <w:tcPr>
            <w:tcW w:w="918" w:type="pct"/>
            <w:tcBorders>
              <w:top w:val="single" w:color="auto" w:sz="4" w:space="0"/>
              <w:left w:val="nil"/>
              <w:bottom w:val="single" w:color="auto" w:sz="4" w:space="0"/>
              <w:right w:val="single" w:color="auto" w:sz="4" w:space="0"/>
            </w:tcBorders>
            <w:shd w:val="clear" w:color="auto" w:fill="auto"/>
            <w:noWrap/>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水基岩屑</w:t>
            </w:r>
          </w:p>
        </w:tc>
      </w:tr>
      <w:tr>
        <w:tblPrEx>
          <w:tblCellMar>
            <w:top w:w="0" w:type="dxa"/>
            <w:left w:w="108" w:type="dxa"/>
            <w:bottom w:w="0" w:type="dxa"/>
            <w:right w:w="108" w:type="dxa"/>
          </w:tblCellMar>
        </w:tblPrEx>
        <w:trPr>
          <w:trHeight w:val="510" w:hRule="atLeast"/>
        </w:trPr>
        <w:tc>
          <w:tcPr>
            <w:tcW w:w="669" w:type="pct"/>
            <w:vMerge w:val="continue"/>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675" w:type="pct"/>
            <w:tcBorders>
              <w:top w:val="single" w:color="auto" w:sz="4" w:space="0"/>
              <w:left w:val="nil"/>
              <w:bottom w:val="single" w:color="auto" w:sz="4" w:space="0"/>
              <w:right w:val="single" w:color="auto" w:sz="4" w:space="0"/>
            </w:tcBorders>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备用油基</w:t>
            </w:r>
          </w:p>
        </w:tc>
        <w:tc>
          <w:tcPr>
            <w:tcW w:w="674" w:type="pct"/>
            <w:tcBorders>
              <w:top w:val="single" w:color="auto" w:sz="4" w:space="0"/>
              <w:left w:val="nil"/>
              <w:bottom w:val="single" w:color="auto" w:sz="4" w:space="0"/>
              <w:right w:val="single" w:color="auto" w:sz="4" w:space="0"/>
            </w:tcBorders>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149.2</w:t>
            </w:r>
          </w:p>
        </w:tc>
        <w:tc>
          <w:tcPr>
            <w:tcW w:w="675" w:type="pct"/>
            <w:tcBorders>
              <w:top w:val="single" w:color="auto" w:sz="4" w:space="0"/>
              <w:left w:val="nil"/>
              <w:bottom w:val="single" w:color="auto" w:sz="4" w:space="0"/>
              <w:right w:val="single" w:color="auto" w:sz="4" w:space="0"/>
            </w:tcBorders>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1756.58</w:t>
            </w:r>
          </w:p>
        </w:tc>
        <w:tc>
          <w:tcPr>
            <w:tcW w:w="673" w:type="pct"/>
            <w:tcBorders>
              <w:top w:val="single" w:color="auto" w:sz="4" w:space="0"/>
              <w:left w:val="nil"/>
              <w:bottom w:val="single" w:color="auto" w:sz="4" w:space="0"/>
              <w:right w:val="single" w:color="auto" w:sz="4" w:space="0"/>
            </w:tcBorders>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6</w:t>
            </w:r>
          </w:p>
        </w:tc>
        <w:tc>
          <w:tcPr>
            <w:tcW w:w="716" w:type="pct"/>
            <w:tcBorders>
              <w:top w:val="single" w:color="auto" w:sz="4" w:space="0"/>
              <w:left w:val="nil"/>
              <w:bottom w:val="single" w:color="auto" w:sz="4" w:space="0"/>
              <w:right w:val="single" w:color="auto" w:sz="4" w:space="0"/>
            </w:tcBorders>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 xml:space="preserve">184.17 </w:t>
            </w:r>
          </w:p>
        </w:tc>
        <w:tc>
          <w:tcPr>
            <w:tcW w:w="918" w:type="pct"/>
            <w:tcBorders>
              <w:top w:val="single" w:color="auto" w:sz="4" w:space="0"/>
              <w:left w:val="nil"/>
              <w:bottom w:val="single" w:color="auto" w:sz="4" w:space="0"/>
              <w:right w:val="single" w:color="auto" w:sz="4" w:space="0"/>
            </w:tcBorders>
            <w:shd w:val="clear" w:color="auto" w:fill="auto"/>
            <w:noWrap/>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油基岩屑</w:t>
            </w:r>
          </w:p>
        </w:tc>
      </w:tr>
    </w:tbl>
    <w:p>
      <w:pPr>
        <w:ind w:firstLine="480"/>
        <w:rPr>
          <w:rFonts w:hint="default" w:ascii="Times New Roman" w:hAnsi="Times New Roman" w:cs="Times New Roman"/>
          <w:color w:val="000000" w:themeColor="text1"/>
          <w:kern w:val="0"/>
          <w:highlight w:val="none"/>
          <w14:textFill>
            <w14:solidFill>
              <w14:schemeClr w14:val="tx1"/>
            </w14:solidFill>
          </w14:textFill>
        </w:rPr>
      </w:pP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本项目水基岩屑产生总量约为153.48m</w:t>
      </w:r>
      <w:r>
        <w:rPr>
          <w:rFonts w:hint="default" w:ascii="Times New Roman" w:hAnsi="Times New Roman" w:cs="Times New Roman"/>
          <w:color w:val="000000" w:themeColor="text1"/>
          <w:kern w:val="0"/>
          <w:highlight w:val="none"/>
          <w:vertAlign w:val="superscript"/>
          <w14:textFill>
            <w14:solidFill>
              <w14:schemeClr w14:val="tx1"/>
            </w14:solidFill>
          </w14:textFill>
        </w:rPr>
        <w:t>3</w:t>
      </w:r>
      <w:r>
        <w:rPr>
          <w:rFonts w:hint="default" w:ascii="Times New Roman" w:hAnsi="Times New Roman" w:cs="Times New Roman"/>
          <w:color w:val="000000" w:themeColor="text1"/>
          <w:kern w:val="0"/>
          <w:highlight w:val="none"/>
          <w14:textFill>
            <w14:solidFill>
              <w14:schemeClr w14:val="tx1"/>
            </w14:solidFill>
          </w14:textFill>
        </w:rPr>
        <w:t>。根据前文，本项目废水基泥浆产生量为185.2m</w:t>
      </w:r>
      <w:r>
        <w:rPr>
          <w:rFonts w:hint="default" w:ascii="Times New Roman" w:hAnsi="Times New Roman" w:cs="Times New Roman"/>
          <w:color w:val="000000" w:themeColor="text1"/>
          <w:kern w:val="0"/>
          <w:highlight w:val="none"/>
          <w:vertAlign w:val="superscript"/>
          <w14:textFill>
            <w14:solidFill>
              <w14:schemeClr w14:val="tx1"/>
            </w14:solidFill>
          </w14:textFill>
        </w:rPr>
        <w:t>3</w:t>
      </w:r>
      <w:r>
        <w:rPr>
          <w:rFonts w:hint="default" w:ascii="Times New Roman" w:hAnsi="Times New Roman" w:cs="Times New Roman"/>
          <w:color w:val="000000" w:themeColor="text1"/>
          <w:kern w:val="0"/>
          <w:highlight w:val="none"/>
          <w14:textFill>
            <w14:solidFill>
              <w14:schemeClr w14:val="tx1"/>
            </w14:solidFill>
          </w14:textFill>
        </w:rPr>
        <w:t>，水基岩屑与</w:t>
      </w:r>
      <w:r>
        <w:rPr>
          <w:rFonts w:hint="default" w:ascii="Times New Roman" w:hAnsi="Times New Roman" w:cs="Times New Roman"/>
          <w:bCs/>
          <w:color w:val="000000" w:themeColor="text1"/>
          <w:highlight w:val="none"/>
          <w14:textFill>
            <w14:solidFill>
              <w14:schemeClr w14:val="tx1"/>
            </w14:solidFill>
          </w14:textFill>
        </w:rPr>
        <w:t>废弃水基钻井泥浆总量为338.68m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根据建设单位统计资料经泥浆不落地装置处理后水基钻井固废容重约1.8t/m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，故岩屑和废弃泥浆产生量约609.62t，其性质为第Ⅱ类一般工业固体废物。</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废弃泥浆和岩屑在钻井现场经泥浆不落地工艺经脱稳</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板框压滤进行固液分离后产生的固态</w:t>
      </w:r>
      <w:r>
        <w:rPr>
          <w:rFonts w:hint="default" w:ascii="Times New Roman" w:hAnsi="Times New Roman" w:cs="Times New Roman"/>
          <w:bCs/>
          <w:color w:val="000000" w:themeColor="text1"/>
          <w:szCs w:val="24"/>
          <w:highlight w:val="none"/>
          <w14:textFill>
            <w14:solidFill>
              <w14:schemeClr w14:val="tx1"/>
            </w14:solidFill>
          </w14:textFill>
        </w:rPr>
        <w:t>钻井固废</w:t>
      </w:r>
      <w:r>
        <w:rPr>
          <w:rFonts w:hint="default" w:ascii="Times New Roman" w:hAnsi="Times New Roman" w:cs="Times New Roman"/>
          <w:color w:val="000000" w:themeColor="text1"/>
          <w:szCs w:val="24"/>
          <w:highlight w:val="none"/>
          <w14:textFill>
            <w14:solidFill>
              <w14:schemeClr w14:val="tx1"/>
            </w14:solidFill>
          </w14:textFill>
        </w:rPr>
        <w:t>，主要成分为废钻井泥浆、岩屑、无机盐、普通有机聚合物，本项目钻井泥浆为水基钻井泥浆，不添加重金属等，不具有危险特性，依据《一般工业固体废物贮存和填埋污染控制标准》（GB18599-2020）的相关规定，本项目水基岩屑和泥浆属于第Ⅱ类一般工业固体废物，废弃泥浆完井后就近交给依法取得生态环境部门关于利用和处置相关工业固体废物项目环评批复、具有处理处置相应固体废物能力并配套建设有废气、废水、固废等污染物治理设施的单位进行资源化利用。同时对固废临时堆放区进行防渗，设置雨棚及排水沟。通过以上措施，</w:t>
      </w:r>
      <w:r>
        <w:rPr>
          <w:rFonts w:hint="default" w:ascii="Times New Roman" w:hAnsi="Times New Roman" w:cs="Times New Roman"/>
          <w:color w:val="000000" w:themeColor="text1"/>
          <w:highlight w:val="none"/>
          <w14:textFill>
            <w14:solidFill>
              <w14:schemeClr w14:val="tx1"/>
            </w14:solidFill>
          </w14:textFill>
        </w:rPr>
        <w:t>水基钻井固废</w:t>
      </w:r>
      <w:r>
        <w:rPr>
          <w:rFonts w:hint="default" w:ascii="Times New Roman" w:hAnsi="Times New Roman" w:cs="Times New Roman"/>
          <w:color w:val="000000" w:themeColor="text1"/>
          <w:szCs w:val="24"/>
          <w:highlight w:val="none"/>
          <w14:textFill>
            <w14:solidFill>
              <w14:schemeClr w14:val="tx1"/>
            </w14:solidFill>
          </w14:textFill>
        </w:rPr>
        <w:t>全部综合利用，完钻后现场无遗留。</w:t>
      </w:r>
    </w:p>
    <w:p>
      <w:pPr>
        <w:widowControl/>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如遇特殊地层，可能使用油基钻井液，根据上述计算公式可知，油基岩屑的产生总量约为184.17m</w:t>
      </w:r>
      <w:r>
        <w:rPr>
          <w:rFonts w:hint="default" w:ascii="Times New Roman" w:hAnsi="Times New Roman" w:cs="Times New Roman"/>
          <w:color w:val="000000" w:themeColor="text1"/>
          <w:kern w:val="0"/>
          <w:highlight w:val="none"/>
          <w:vertAlign w:val="superscript"/>
          <w14:textFill>
            <w14:solidFill>
              <w14:schemeClr w14:val="tx1"/>
            </w14:solidFill>
          </w14:textFill>
        </w:rPr>
        <w:t>3</w:t>
      </w:r>
      <w:r>
        <w:rPr>
          <w:rFonts w:hint="default" w:ascii="Times New Roman" w:hAnsi="Times New Roman" w:cs="Times New Roman"/>
          <w:color w:val="000000" w:themeColor="text1"/>
          <w:kern w:val="0"/>
          <w:highlight w:val="none"/>
          <w14:textFill>
            <w14:solidFill>
              <w14:schemeClr w14:val="tx1"/>
            </w14:solidFill>
          </w14:textFill>
        </w:rPr>
        <w:t>。根据建设单位提供的资料，本项目</w:t>
      </w:r>
      <w:r>
        <w:rPr>
          <w:rFonts w:hint="default" w:ascii="Times New Roman" w:hAnsi="Times New Roman" w:cs="Times New Roman"/>
          <w:bCs/>
          <w:color w:val="000000" w:themeColor="text1"/>
          <w:highlight w:val="none"/>
          <w14:textFill>
            <w14:solidFill>
              <w14:schemeClr w14:val="tx1"/>
            </w14:solidFill>
          </w14:textFill>
        </w:rPr>
        <w:t>最大废弃油基钻井泥浆136</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kern w:val="0"/>
          <w:highlight w:val="none"/>
          <w14:textFill>
            <w14:solidFill>
              <w14:schemeClr w14:val="tx1"/>
            </w14:solidFill>
          </w14:textFill>
        </w:rPr>
        <w:t>（</w:t>
      </w:r>
      <w:r>
        <w:rPr>
          <w:rFonts w:hint="default" w:ascii="Times New Roman" w:hAnsi="Times New Roman" w:cs="Times New Roman"/>
          <w:bCs/>
          <w:color w:val="000000" w:themeColor="text1"/>
          <w:kern w:val="0"/>
          <w:highlight w:val="none"/>
          <w14:textFill>
            <w14:solidFill>
              <w14:schemeClr w14:val="tx1"/>
            </w14:solidFill>
          </w14:textFill>
        </w:rPr>
        <w:t>油基钻井液最大使用量为1360m</w:t>
      </w:r>
      <w:r>
        <w:rPr>
          <w:rFonts w:hint="default" w:ascii="Times New Roman" w:hAnsi="Times New Roman" w:cs="Times New Roman"/>
          <w:bCs/>
          <w:color w:val="000000" w:themeColor="text1"/>
          <w:kern w:val="0"/>
          <w:highlight w:val="none"/>
          <w:vertAlign w:val="superscript"/>
          <w14:textFill>
            <w14:solidFill>
              <w14:schemeClr w14:val="tx1"/>
            </w14:solidFill>
          </w14:textFill>
        </w:rPr>
        <w:t>3</w:t>
      </w:r>
      <w:r>
        <w:rPr>
          <w:rFonts w:hint="default" w:ascii="Times New Roman" w:hAnsi="Times New Roman" w:cs="Times New Roman"/>
          <w:color w:val="000000" w:themeColor="text1"/>
          <w:kern w:val="0"/>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则废油基泥浆与油基岩屑产生量约为320.17m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，根据建设单位统计资料油基钻井固废容重约1.3</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1.5t/m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，本次评价保守取1.5 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，故岩屑和废弃泥浆产生量约480.26t。</w:t>
      </w:r>
    </w:p>
    <w:p>
      <w:pPr>
        <w:widowControl/>
        <w:adjustRightInd/>
        <w:snapToGrid/>
        <w:ind w:firstLine="480"/>
        <w:jc w:val="left"/>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油基钻井废泥浆、岩屑暂存于新建的60m</w:t>
      </w:r>
      <w:r>
        <w:rPr>
          <w:rFonts w:hint="default" w:ascii="Times New Roman" w:hAnsi="Times New Roman" w:cs="Times New Roman"/>
          <w:color w:val="000000" w:themeColor="text1"/>
          <w:kern w:val="0"/>
          <w:highlight w:val="none"/>
          <w:vertAlign w:val="superscript"/>
          <w14:textFill>
            <w14:solidFill>
              <w14:schemeClr w14:val="tx1"/>
            </w14:solidFill>
          </w14:textFill>
        </w:rPr>
        <w:t>2</w:t>
      </w:r>
      <w:r>
        <w:rPr>
          <w:rFonts w:hint="default" w:ascii="Times New Roman" w:hAnsi="Times New Roman" w:cs="Times New Roman"/>
          <w:color w:val="000000" w:themeColor="text1"/>
          <w:kern w:val="0"/>
          <w:highlight w:val="none"/>
          <w14:textFill>
            <w14:solidFill>
              <w14:schemeClr w14:val="tx1"/>
            </w14:solidFill>
          </w14:textFill>
        </w:rPr>
        <w:t>危险废物暂存场所（采取必要的防风、防晒、防雨、防漏、防渗、防腐以及其他环境污染防治措施，不得露天堆放危险废物），泥浆和油基钻井岩屑</w:t>
      </w:r>
      <w:r>
        <w:rPr>
          <w:rFonts w:hint="default" w:ascii="Times New Roman" w:hAnsi="Times New Roman" w:cs="Times New Roman"/>
          <w:color w:val="000000" w:themeColor="text1"/>
          <w:kern w:val="0"/>
          <w:highlight w:val="none"/>
          <w:lang w:eastAsia="zh-CN"/>
          <w14:textFill>
            <w14:solidFill>
              <w14:schemeClr w14:val="tx1"/>
            </w14:solidFill>
          </w14:textFill>
        </w:rPr>
        <w:t>及时</w:t>
      </w:r>
      <w:r>
        <w:rPr>
          <w:rFonts w:hint="default" w:ascii="Times New Roman" w:hAnsi="Times New Roman" w:cs="Times New Roman"/>
          <w:color w:val="000000" w:themeColor="text1"/>
          <w:kern w:val="0"/>
          <w:highlight w:val="none"/>
          <w14:textFill>
            <w14:solidFill>
              <w14:schemeClr w14:val="tx1"/>
            </w14:solidFill>
          </w14:textFill>
        </w:rPr>
        <w:t>交由有资质的单位处置。</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3）废油及含油固废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钻井过程废油主要来源为：a、机械（泥浆泵、转盘、链条等）润滑废油；b、液压控制管线刺漏，如液压大钳、封井器及液压表传压管线刺漏；c、清洗、保养产生的废油，如更换柴油机零部件和</w:t>
      </w:r>
      <w:r>
        <w:rPr>
          <w:rFonts w:hint="default" w:ascii="Times New Roman" w:hAnsi="Times New Roman" w:cs="Times New Roman"/>
          <w:color w:val="000000" w:themeColor="text1"/>
          <w:highlight w:val="none"/>
          <w:lang w:eastAsia="zh-CN"/>
          <w14:textFill>
            <w14:solidFill>
              <w14:schemeClr w14:val="tx1"/>
            </w14:solidFill>
          </w14:textFill>
        </w:rPr>
        <w:t>清洗</w:t>
      </w:r>
      <w:r>
        <w:rPr>
          <w:rFonts w:hint="default" w:ascii="Times New Roman" w:hAnsi="Times New Roman" w:cs="Times New Roman"/>
          <w:color w:val="000000" w:themeColor="text1"/>
          <w:highlight w:val="none"/>
          <w14:textFill>
            <w14:solidFill>
              <w14:schemeClr w14:val="tx1"/>
            </w14:solidFill>
          </w14:textFill>
        </w:rPr>
        <w:t>钻具、套管时产生的废油。钻井产生的废油用废油桶收集，根据类比和现场调查，废油产生总量约0.7m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（根据普陆4井钻井工程建设项目竣工环境保护验收调查表可知其施工期废油实际产生量约为0.74m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，根据普陆5勘探评价井工程建设项目竣工环境保护验收调查表可知其施工期废油实际产生量约为0.57m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，综合考虑本项目废油产生总量按0.7m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确定）。站内设置废油桶集中收集，废油桶置于暂存于泥浆不落地装置区临时堆放区内，并做好</w:t>
      </w:r>
      <w:bookmarkStart w:id="163" w:name="_Hlk92724012"/>
      <w:r>
        <w:rPr>
          <w:rFonts w:hint="default" w:ascii="Times New Roman" w:hAnsi="Times New Roman" w:cs="Times New Roman"/>
          <w:color w:val="000000" w:themeColor="text1"/>
          <w:highlight w:val="none"/>
          <w14:textFill>
            <w14:solidFill>
              <w14:schemeClr w14:val="tx1"/>
            </w14:solidFill>
          </w14:textFill>
        </w:rPr>
        <w:t>“防风、防雨、防晒、防渗漏”四防措施</w:t>
      </w:r>
      <w:bookmarkEnd w:id="163"/>
      <w:r>
        <w:rPr>
          <w:rFonts w:hint="default" w:ascii="Times New Roman" w:hAnsi="Times New Roman" w:cs="Times New Roman"/>
          <w:color w:val="000000" w:themeColor="text1"/>
          <w:highlight w:val="none"/>
          <w14:textFill>
            <w14:solidFill>
              <w14:schemeClr w14:val="tx1"/>
            </w14:solidFill>
          </w14:textFill>
        </w:rPr>
        <w:t>，暂存期间做好废油管理记录，通过擦拭站场设备、原料添加、放喷点火等方式回收综合利用，根据类比调查井站产</w:t>
      </w:r>
      <w:r>
        <w:rPr>
          <w:rFonts w:hint="default" w:ascii="Times New Roman" w:hAnsi="Times New Roman" w:cs="Times New Roman"/>
          <w:color w:val="000000" w:themeColor="text1"/>
          <w:highlight w:val="none"/>
          <w:lang w:eastAsia="zh-CN"/>
          <w14:textFill>
            <w14:solidFill>
              <w14:schemeClr w14:val="tx1"/>
            </w14:solidFill>
          </w14:textFill>
        </w:rPr>
        <w:t>生的</w:t>
      </w:r>
      <w:r>
        <w:rPr>
          <w:rFonts w:hint="default" w:ascii="Times New Roman" w:hAnsi="Times New Roman" w:cs="Times New Roman"/>
          <w:color w:val="000000" w:themeColor="text1"/>
          <w:highlight w:val="none"/>
          <w14:textFill>
            <w14:solidFill>
              <w14:schemeClr w14:val="tx1"/>
            </w14:solidFill>
          </w14:textFill>
        </w:rPr>
        <w:t>废油能在井站内全部综合利用。若因为个别特殊情况存在不能综合利用的废油，则和不能继续使用的废油桶以及擦拭站场设备产生的其他含油固废交由有资质的单位处理。</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4）废包装材料</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本项目产生的废包装材料约为2.0t，集中收集后施工队自己回用部分，剩余的送当地废品回收站处理。</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5）生活垃圾</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生活垃圾来源于钻井施工作业人员的生活，一个井队按45人计，每人每天产生的生活垃圾按0.5kg/d计算，则生活垃圾的产生量约为22.5kg/d。</w:t>
      </w:r>
      <w:r>
        <w:rPr>
          <w:rFonts w:hint="default" w:ascii="Times New Roman" w:hAnsi="Times New Roman" w:cs="Times New Roman"/>
          <w:color w:val="000000" w:themeColor="text1"/>
          <w:szCs w:val="24"/>
          <w:highlight w:val="none"/>
          <w14:textFill>
            <w14:solidFill>
              <w14:schemeClr w14:val="tx1"/>
            </w14:solidFill>
          </w14:textFill>
        </w:rPr>
        <w:t>井场设置垃圾坑收集，定期按井场所在地环卫部门相关要求实施统一妥善处置。</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本项目钻井工程危险废物产生量见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_Ref142593522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64" w:name="_Ref142593522"/>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fldChar w:fldCharType="end"/>
      </w:r>
      <w:bookmarkEnd w:id="164"/>
      <w:r>
        <w:rPr>
          <w:rFonts w:hint="default" w:ascii="Times New Roman" w:hAnsi="Times New Roman" w:cs="Times New Roman"/>
          <w:color w:val="000000" w:themeColor="text1"/>
          <w:highlight w:val="none"/>
          <w14:textFill>
            <w14:solidFill>
              <w14:schemeClr w14:val="tx1"/>
            </w14:solidFill>
          </w14:textFill>
        </w:rPr>
        <w:t xml:space="preserve"> 钻井工程危险废物汇总表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2"/>
        <w:gridCol w:w="567"/>
        <w:gridCol w:w="709"/>
        <w:gridCol w:w="567"/>
        <w:gridCol w:w="992"/>
        <w:gridCol w:w="567"/>
        <w:gridCol w:w="709"/>
        <w:gridCol w:w="709"/>
        <w:gridCol w:w="709"/>
        <w:gridCol w:w="708"/>
        <w:gridCol w:w="1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blHeader/>
          <w:jc w:val="center"/>
        </w:trPr>
        <w:tc>
          <w:tcPr>
            <w:tcW w:w="56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名称</w:t>
            </w:r>
          </w:p>
        </w:tc>
        <w:tc>
          <w:tcPr>
            <w:tcW w:w="56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类别</w:t>
            </w:r>
          </w:p>
        </w:tc>
        <w:tc>
          <w:tcPr>
            <w:tcW w:w="70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代码</w:t>
            </w:r>
          </w:p>
        </w:tc>
        <w:tc>
          <w:tcPr>
            <w:tcW w:w="56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产生量</w:t>
            </w:r>
          </w:p>
        </w:tc>
        <w:tc>
          <w:tcPr>
            <w:tcW w:w="99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产生工序及装置</w:t>
            </w:r>
          </w:p>
        </w:tc>
        <w:tc>
          <w:tcPr>
            <w:tcW w:w="56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形态</w:t>
            </w:r>
          </w:p>
        </w:tc>
        <w:tc>
          <w:tcPr>
            <w:tcW w:w="70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主要成分</w:t>
            </w:r>
          </w:p>
        </w:tc>
        <w:tc>
          <w:tcPr>
            <w:tcW w:w="70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有害成分</w:t>
            </w:r>
          </w:p>
        </w:tc>
        <w:tc>
          <w:tcPr>
            <w:tcW w:w="70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产废周期</w:t>
            </w:r>
          </w:p>
        </w:tc>
        <w:tc>
          <w:tcPr>
            <w:tcW w:w="708"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危险特性</w:t>
            </w:r>
          </w:p>
        </w:tc>
        <w:tc>
          <w:tcPr>
            <w:tcW w:w="1423"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562" w:type="dxa"/>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废油及其他含油固废</w:t>
            </w:r>
          </w:p>
        </w:tc>
        <w:tc>
          <w:tcPr>
            <w:tcW w:w="56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HW08</w:t>
            </w:r>
          </w:p>
        </w:tc>
        <w:tc>
          <w:tcPr>
            <w:tcW w:w="70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900-249-08</w:t>
            </w:r>
          </w:p>
        </w:tc>
        <w:tc>
          <w:tcPr>
            <w:tcW w:w="56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0.7m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99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钻井机具</w:t>
            </w:r>
          </w:p>
        </w:tc>
        <w:tc>
          <w:tcPr>
            <w:tcW w:w="56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半固态</w:t>
            </w:r>
          </w:p>
        </w:tc>
        <w:tc>
          <w:tcPr>
            <w:tcW w:w="70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废润滑油</w:t>
            </w:r>
          </w:p>
        </w:tc>
        <w:tc>
          <w:tcPr>
            <w:tcW w:w="70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润滑油</w:t>
            </w:r>
          </w:p>
        </w:tc>
        <w:tc>
          <w:tcPr>
            <w:tcW w:w="70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钻井期间</w:t>
            </w:r>
          </w:p>
        </w:tc>
        <w:tc>
          <w:tcPr>
            <w:tcW w:w="70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T/I</w:t>
            </w:r>
          </w:p>
        </w:tc>
        <w:tc>
          <w:tcPr>
            <w:tcW w:w="14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废油桶收集，暂存于泥浆不落地装置区临时堆放区内，钻井队综合利用，剩余的交由资质单位处置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562" w:type="dxa"/>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废油基泥浆与油基岩屑</w:t>
            </w:r>
          </w:p>
        </w:tc>
        <w:tc>
          <w:tcPr>
            <w:tcW w:w="56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HW08</w:t>
            </w:r>
          </w:p>
        </w:tc>
        <w:tc>
          <w:tcPr>
            <w:tcW w:w="70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900-249-08</w:t>
            </w:r>
          </w:p>
        </w:tc>
        <w:tc>
          <w:tcPr>
            <w:tcW w:w="56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320.17m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99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三开使用备用油基岩屑时安上</w:t>
            </w:r>
          </w:p>
        </w:tc>
        <w:tc>
          <w:tcPr>
            <w:tcW w:w="56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半固态</w:t>
            </w:r>
          </w:p>
        </w:tc>
        <w:tc>
          <w:tcPr>
            <w:tcW w:w="70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w:t>
            </w:r>
          </w:p>
        </w:tc>
        <w:tc>
          <w:tcPr>
            <w:tcW w:w="70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w:t>
            </w:r>
          </w:p>
        </w:tc>
        <w:tc>
          <w:tcPr>
            <w:tcW w:w="70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钻井期间</w:t>
            </w:r>
          </w:p>
        </w:tc>
        <w:tc>
          <w:tcPr>
            <w:tcW w:w="70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w:t>
            </w:r>
          </w:p>
        </w:tc>
        <w:tc>
          <w:tcPr>
            <w:tcW w:w="14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桶装暂存于60m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危险废物暂存场所，交由资质单位处置</w:t>
            </w:r>
          </w:p>
        </w:tc>
      </w:tr>
    </w:tbl>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平台危险废物贮存场所（设施）基本情况见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_Ref142593527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9</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65" w:name="_Ref142593527"/>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9</w:t>
      </w:r>
      <w:r>
        <w:rPr>
          <w:rFonts w:hint="default" w:ascii="Times New Roman" w:hAnsi="Times New Roman" w:cs="Times New Roman"/>
          <w:color w:val="000000" w:themeColor="text1"/>
          <w:highlight w:val="none"/>
          <w14:textFill>
            <w14:solidFill>
              <w14:schemeClr w14:val="tx1"/>
            </w14:solidFill>
          </w14:textFill>
        </w:rPr>
        <w:fldChar w:fldCharType="end"/>
      </w:r>
      <w:bookmarkEnd w:id="165"/>
      <w:r>
        <w:rPr>
          <w:rFonts w:hint="default" w:ascii="Times New Roman" w:hAnsi="Times New Roman" w:cs="Times New Roman"/>
          <w:color w:val="000000" w:themeColor="text1"/>
          <w:highlight w:val="none"/>
          <w14:textFill>
            <w14:solidFill>
              <w14:schemeClr w14:val="tx1"/>
            </w14:solidFill>
          </w14:textFill>
        </w:rPr>
        <w:t xml:space="preserve"> 平台危险废物贮存场所（设施）基本情况一览表</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1076"/>
        <w:gridCol w:w="755"/>
        <w:gridCol w:w="1163"/>
        <w:gridCol w:w="839"/>
        <w:gridCol w:w="980"/>
        <w:gridCol w:w="839"/>
        <w:gridCol w:w="841"/>
        <w:gridCol w:w="699"/>
        <w:gridCol w:w="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35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631"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贮存场所（设施）名称</w:t>
            </w:r>
          </w:p>
        </w:tc>
        <w:tc>
          <w:tcPr>
            <w:tcW w:w="443"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危险废物名称</w:t>
            </w:r>
          </w:p>
        </w:tc>
        <w:tc>
          <w:tcPr>
            <w:tcW w:w="68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危险废物类别</w:t>
            </w:r>
          </w:p>
        </w:tc>
        <w:tc>
          <w:tcPr>
            <w:tcW w:w="49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危险废物代码</w:t>
            </w:r>
          </w:p>
        </w:tc>
        <w:tc>
          <w:tcPr>
            <w:tcW w:w="575"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位置</w:t>
            </w:r>
          </w:p>
        </w:tc>
        <w:tc>
          <w:tcPr>
            <w:tcW w:w="49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占地</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面积</w:t>
            </w:r>
          </w:p>
        </w:tc>
        <w:tc>
          <w:tcPr>
            <w:tcW w:w="493"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贮存</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方式</w:t>
            </w:r>
          </w:p>
        </w:tc>
        <w:tc>
          <w:tcPr>
            <w:tcW w:w="410"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贮存</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能力</w:t>
            </w:r>
          </w:p>
        </w:tc>
        <w:tc>
          <w:tcPr>
            <w:tcW w:w="430"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贮存</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5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631"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油桶</w:t>
            </w:r>
          </w:p>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（2个）</w:t>
            </w:r>
          </w:p>
        </w:tc>
        <w:tc>
          <w:tcPr>
            <w:tcW w:w="443"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废油</w:t>
            </w:r>
          </w:p>
        </w:tc>
        <w:tc>
          <w:tcPr>
            <w:tcW w:w="68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废矿物油与含矿物油废物</w:t>
            </w:r>
          </w:p>
        </w:tc>
        <w:tc>
          <w:tcPr>
            <w:tcW w:w="49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HW08</w:t>
            </w:r>
          </w:p>
        </w:tc>
        <w:tc>
          <w:tcPr>
            <w:tcW w:w="575"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泥浆不落地装置区临时堆放区内</w:t>
            </w:r>
          </w:p>
        </w:tc>
        <w:tc>
          <w:tcPr>
            <w:tcW w:w="49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约2m</w:t>
            </w:r>
            <w:r>
              <w:rPr>
                <w:rFonts w:hint="default" w:ascii="Times New Roman" w:hAnsi="Times New Roman" w:cs="Times New Roman"/>
                <w:color w:val="000000" w:themeColor="text1"/>
                <w:highlight w:val="none"/>
                <w:vertAlign w:val="superscript"/>
                <w14:textFill>
                  <w14:solidFill>
                    <w14:schemeClr w14:val="tx1"/>
                  </w14:solidFill>
                </w14:textFill>
              </w:rPr>
              <w:t>2</w:t>
            </w:r>
          </w:p>
        </w:tc>
        <w:tc>
          <w:tcPr>
            <w:tcW w:w="493"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集中</w:t>
            </w:r>
          </w:p>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贮存</w:t>
            </w:r>
          </w:p>
        </w:tc>
        <w:tc>
          <w:tcPr>
            <w:tcW w:w="410"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约1m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430"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5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631"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油基岩屑吨桶（40个）</w:t>
            </w:r>
          </w:p>
        </w:tc>
        <w:tc>
          <w:tcPr>
            <w:tcW w:w="443"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废油基泥浆与油基岩屑</w:t>
            </w:r>
          </w:p>
        </w:tc>
        <w:tc>
          <w:tcPr>
            <w:tcW w:w="68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废矿物油与含矿物油废物</w:t>
            </w:r>
          </w:p>
        </w:tc>
        <w:tc>
          <w:tcPr>
            <w:tcW w:w="49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HW08</w:t>
            </w:r>
          </w:p>
        </w:tc>
        <w:tc>
          <w:tcPr>
            <w:tcW w:w="575"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井场东南侧</w:t>
            </w:r>
          </w:p>
        </w:tc>
        <w:tc>
          <w:tcPr>
            <w:tcW w:w="492"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约60m</w:t>
            </w:r>
            <w:r>
              <w:rPr>
                <w:rFonts w:hint="default" w:ascii="Times New Roman" w:hAnsi="Times New Roman" w:cs="Times New Roman"/>
                <w:color w:val="000000" w:themeColor="text1"/>
                <w:highlight w:val="none"/>
                <w:vertAlign w:val="superscript"/>
                <w14:textFill>
                  <w14:solidFill>
                    <w14:schemeClr w14:val="tx1"/>
                  </w14:solidFill>
                </w14:textFill>
              </w:rPr>
              <w:t>2</w:t>
            </w:r>
          </w:p>
        </w:tc>
        <w:tc>
          <w:tcPr>
            <w:tcW w:w="493" w:type="pct"/>
            <w:tcBorders>
              <w:top w:val="single" w:color="auto" w:sz="4" w:space="0"/>
              <w:left w:val="single" w:color="auto" w:sz="4" w:space="0"/>
              <w:bottom w:val="single" w:color="auto" w:sz="4" w:space="0"/>
              <w:right w:val="single" w:color="auto" w:sz="4" w:space="0"/>
            </w:tcBorders>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集中</w:t>
            </w:r>
          </w:p>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贮存</w:t>
            </w:r>
          </w:p>
        </w:tc>
        <w:tc>
          <w:tcPr>
            <w:tcW w:w="410"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约60m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430" w:type="pc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3d</w:t>
            </w:r>
          </w:p>
        </w:tc>
      </w:tr>
    </w:tbl>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本项目固体废物产生量见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_Ref142593532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10</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66" w:name="_Ref142593532"/>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10</w:t>
      </w:r>
      <w:r>
        <w:rPr>
          <w:rFonts w:hint="default" w:ascii="Times New Roman" w:hAnsi="Times New Roman" w:cs="Times New Roman"/>
          <w:color w:val="000000" w:themeColor="text1"/>
          <w:highlight w:val="none"/>
          <w14:textFill>
            <w14:solidFill>
              <w14:schemeClr w14:val="tx1"/>
            </w14:solidFill>
          </w14:textFill>
        </w:rPr>
        <w:fldChar w:fldCharType="end"/>
      </w:r>
      <w:bookmarkEnd w:id="166"/>
      <w:r>
        <w:rPr>
          <w:rFonts w:hint="default" w:ascii="Times New Roman" w:hAnsi="Times New Roman" w:cs="Times New Roman"/>
          <w:color w:val="000000" w:themeColor="text1"/>
          <w:highlight w:val="none"/>
          <w14:textFill>
            <w14:solidFill>
              <w14:schemeClr w14:val="tx1"/>
            </w14:solidFill>
          </w14:textFill>
        </w:rPr>
        <w:t xml:space="preserve"> 钻井工程固体废物产生及处置情况一览表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75"/>
        <w:gridCol w:w="1562"/>
        <w:gridCol w:w="1090"/>
        <w:gridCol w:w="992"/>
        <w:gridCol w:w="1519"/>
        <w:gridCol w:w="942"/>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66"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固废种类</w:t>
            </w:r>
          </w:p>
        </w:tc>
        <w:tc>
          <w:tcPr>
            <w:tcW w:w="939"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水基钻井固废（t）</w:t>
            </w:r>
          </w:p>
        </w:tc>
        <w:tc>
          <w:tcPr>
            <w:tcW w:w="65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生活垃圾</w:t>
            </w:r>
          </w:p>
        </w:tc>
        <w:tc>
          <w:tcPr>
            <w:tcW w:w="596"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废包装材料（t）</w:t>
            </w:r>
          </w:p>
        </w:tc>
        <w:tc>
          <w:tcPr>
            <w:tcW w:w="913"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废油（m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w:t>
            </w:r>
          </w:p>
        </w:tc>
        <w:tc>
          <w:tcPr>
            <w:tcW w:w="566"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建筑垃圾</w:t>
            </w:r>
          </w:p>
        </w:tc>
        <w:tc>
          <w:tcPr>
            <w:tcW w:w="56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不能继续使用废油桶、其他含油固废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66" w:type="pct"/>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产生量</w:t>
            </w:r>
          </w:p>
        </w:tc>
        <w:tc>
          <w:tcPr>
            <w:tcW w:w="93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609.62</w:t>
            </w:r>
          </w:p>
        </w:tc>
        <w:tc>
          <w:tcPr>
            <w:tcW w:w="65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22.5kg/d</w:t>
            </w:r>
          </w:p>
        </w:tc>
        <w:tc>
          <w:tcPr>
            <w:tcW w:w="59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w:t>
            </w:r>
          </w:p>
        </w:tc>
        <w:tc>
          <w:tcPr>
            <w:tcW w:w="913"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0.7</w:t>
            </w:r>
          </w:p>
        </w:tc>
        <w:tc>
          <w:tcPr>
            <w:tcW w:w="56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少量</w:t>
            </w:r>
          </w:p>
        </w:tc>
        <w:tc>
          <w:tcPr>
            <w:tcW w:w="56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66" w:type="pct"/>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处置措施及去向</w:t>
            </w:r>
          </w:p>
        </w:tc>
        <w:tc>
          <w:tcPr>
            <w:tcW w:w="93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经泥浆不落地工艺进行固液分离后暂存于固废临时堆放区，定期用密闭罐车就近交给依法取得生态环境部门关于利用和处置相关工业固体废物项目环评批复、具有处理处置相应固体废物能力并配套建设有废气、废水、固废等污染物治理设施的单位进行资源化利用</w:t>
            </w:r>
          </w:p>
        </w:tc>
        <w:tc>
          <w:tcPr>
            <w:tcW w:w="65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集中收集，交由当地环卫部门处置</w:t>
            </w:r>
          </w:p>
        </w:tc>
        <w:tc>
          <w:tcPr>
            <w:tcW w:w="59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集中收集后部分回用，剩余的送当地废品回收站处理</w:t>
            </w:r>
          </w:p>
        </w:tc>
        <w:tc>
          <w:tcPr>
            <w:tcW w:w="913"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设置废油桶集中收集暂存于泥浆不落地装置区临时堆放区内，钻井队综合利用或交由有资质的单位处理</w:t>
            </w:r>
          </w:p>
        </w:tc>
        <w:tc>
          <w:tcPr>
            <w:tcW w:w="56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施工队伍统一收集清运至政府指定地方</w:t>
            </w:r>
          </w:p>
        </w:tc>
        <w:tc>
          <w:tcPr>
            <w:tcW w:w="56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交由有资质的单位处理</w:t>
            </w:r>
          </w:p>
        </w:tc>
      </w:tr>
    </w:tbl>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（5）地下水污染</w:t>
      </w: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1）地下水污染源类型分析</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钻井工程对地下水环境可能造成影响的污染源主要是场地内暂存的钻井废水、泥浆、岩屑等的渗滤液以及井下钻井过程滤失的钻井泥浆。</w:t>
      </w: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2）污染途径分析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钻井工程对地下水产生污染的途径主要有两种，即渗透污染和穿透污染。</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a</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渗透污染：钻井泥浆循环系统、泥浆不落地处理系统、油罐、放喷池、原辅材料堆存淋溶雨水等产生、暂存、离析或罐体、池体破裂渗露出的废水、废油通过包气带渗透到潜水含水层而污染地下水，是本项目的主要污染形式。</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b</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穿透污染：一般发生在钻井过程中的井漏</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井筒破裂事故中，在水头压力差的作用下，将有少量钻井泥浆，并在含水层中扩散迁移，污染地下水，污染程度与所选用的钻井泥浆体系密切相关。</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3）地下水污染源源强分析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a：污染物渗滤液：此类废水产生于钻井废水和岩屑等固废在井场内操作区域内暂存中，所含废液经</w:t>
      </w:r>
      <w:r>
        <w:rPr>
          <w:rFonts w:hint="default" w:ascii="Times New Roman" w:hAnsi="Times New Roman" w:cs="Times New Roman"/>
          <w:bCs/>
          <w:color w:val="000000" w:themeColor="text1"/>
          <w:szCs w:val="24"/>
          <w:highlight w:val="none"/>
          <w:lang w:eastAsia="zh-CN"/>
          <w14:textFill>
            <w14:solidFill>
              <w14:schemeClr w14:val="tx1"/>
            </w14:solidFill>
          </w14:textFill>
        </w:rPr>
        <w:t>渗漏</w:t>
      </w:r>
      <w:r>
        <w:rPr>
          <w:rFonts w:hint="default" w:ascii="Times New Roman" w:hAnsi="Times New Roman" w:cs="Times New Roman"/>
          <w:bCs/>
          <w:color w:val="000000" w:themeColor="text1"/>
          <w:szCs w:val="24"/>
          <w:highlight w:val="none"/>
          <w14:textFill>
            <w14:solidFill>
              <w14:schemeClr w14:val="tx1"/>
            </w14:solidFill>
          </w14:textFill>
        </w:rPr>
        <w:t>、离析后，向周围岩层渗入、扩散。本项目对井场分区分级防渗处理，正常工况下渗透外泄量极小。</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b：钻井滤失泥浆：此类影响产生于钻井期间的过平衡钻井阶段，钻井泥浆在压力差的作用下，渗透入井壁岩石的裂隙或孔隙中。钻井泥浆监控系统一般在地层滤失量＜3m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/h时即可发现泥浆漏失，以便及时采取堵漏措施。本项目在每段完钻后及时采用套管水泥固井，从措施上减少井筒内泥浆滤失可能。</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（6）环境风险</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本项目存在一定的环境风险，主要表现为钻井井喷失控或泄漏的天然气导致的火灾爆炸环境风险事故，以及泄漏天然气导致的环境风险事故；此外还表现为井场罐区及放</w:t>
      </w:r>
      <w:r>
        <w:rPr>
          <w:rFonts w:hint="default" w:ascii="Times New Roman" w:hAnsi="Times New Roman" w:cs="Times New Roman"/>
          <w:bCs/>
          <w:color w:val="000000" w:themeColor="text1"/>
          <w:szCs w:val="24"/>
          <w:highlight w:val="none"/>
          <w:lang w:eastAsia="zh-CN"/>
          <w14:textFill>
            <w14:solidFill>
              <w14:schemeClr w14:val="tx1"/>
            </w14:solidFill>
          </w14:textFill>
        </w:rPr>
        <w:t>喷池</w:t>
      </w:r>
      <w:r>
        <w:rPr>
          <w:rFonts w:hint="default" w:ascii="Times New Roman" w:hAnsi="Times New Roman" w:cs="Times New Roman"/>
          <w:bCs/>
          <w:color w:val="000000" w:themeColor="text1"/>
          <w:szCs w:val="24"/>
          <w:highlight w:val="none"/>
          <w14:textFill>
            <w14:solidFill>
              <w14:schemeClr w14:val="tx1"/>
            </w14:solidFill>
          </w14:textFill>
        </w:rPr>
        <w:t>体渗漏污染地表土壤和浅层地下水；井筒内套管破损导致钻井过程中钻井泥浆漏失，进入地下水环境，污染地下水环境；油罐区存储的柴油泄漏环境风险；污染物外运处理中的运输风险等。</w:t>
      </w:r>
    </w:p>
    <w:p>
      <w:pPr>
        <w:ind w:firstLine="480"/>
        <w:outlineLvl w:val="3"/>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3.4.</w:t>
      </w: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2</w:t>
      </w:r>
      <w:r>
        <w:rPr>
          <w:rFonts w:hint="default" w:ascii="Times New Roman" w:hAnsi="Times New Roman" w:eastAsia="黑体" w:cs="Times New Roman"/>
          <w:color w:val="000000" w:themeColor="text1"/>
          <w:szCs w:val="24"/>
          <w:highlight w:val="none"/>
          <w14:textFill>
            <w14:solidFill>
              <w14:schemeClr w14:val="tx1"/>
            </w14:solidFill>
          </w14:textFill>
        </w:rPr>
        <w:t>.</w:t>
      </w: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3储层改造</w:t>
      </w:r>
      <w:r>
        <w:rPr>
          <w:rFonts w:hint="default" w:ascii="Times New Roman" w:hAnsi="Times New Roman" w:eastAsia="黑体" w:cs="Times New Roman"/>
          <w:color w:val="000000" w:themeColor="text1"/>
          <w:szCs w:val="24"/>
          <w:highlight w:val="none"/>
          <w14:textFill>
            <w14:solidFill>
              <w14:schemeClr w14:val="tx1"/>
            </w14:solidFill>
          </w14:textFill>
        </w:rPr>
        <w:t>工程</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（1）废气</w:t>
      </w:r>
    </w:p>
    <w:p>
      <w:pPr>
        <w:ind w:firstLine="480"/>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储层改造工程产生的废气主要为</w:t>
      </w:r>
      <w:r>
        <w:rPr>
          <w:rFonts w:hint="default" w:ascii="Times New Roman" w:hAnsi="Times New Roman" w:cs="Times New Roman"/>
          <w:color w:val="000000" w:themeColor="text1"/>
          <w:szCs w:val="24"/>
          <w:highlight w:val="none"/>
          <w14:textFill>
            <w14:solidFill>
              <w14:schemeClr w14:val="tx1"/>
            </w14:solidFill>
          </w14:textFill>
        </w:rPr>
        <w:t>压裂</w:t>
      </w:r>
      <w:r>
        <w:rPr>
          <w:rFonts w:hint="default" w:ascii="Times New Roman" w:hAnsi="Times New Roman" w:cs="Times New Roman"/>
          <w:color w:val="000000" w:themeColor="text1"/>
          <w:szCs w:val="24"/>
          <w:highlight w:val="none"/>
          <w:lang w:val="en-US" w:eastAsia="zh-CN"/>
          <w14:textFill>
            <w14:solidFill>
              <w14:schemeClr w14:val="tx1"/>
            </w14:solidFill>
          </w14:textFill>
        </w:rPr>
        <w:t>作业废气</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完井测试放喷废气。</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Cs w:val="24"/>
          <w:highlight w:val="none"/>
          <w14:textFill>
            <w14:solidFill>
              <w14:schemeClr w14:val="tx1"/>
            </w14:solidFill>
          </w14:textFill>
        </w:rPr>
        <w:t>）压裂作业废气</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本项目</w:t>
      </w:r>
      <w:r>
        <w:rPr>
          <w:rFonts w:hint="default" w:ascii="Times New Roman" w:hAnsi="Times New Roman" w:cs="Times New Roman"/>
          <w:color w:val="000000" w:themeColor="text1"/>
          <w:szCs w:val="24"/>
          <w:highlight w:val="none"/>
          <w14:textFill>
            <w14:solidFill>
              <w14:schemeClr w14:val="tx1"/>
            </w14:solidFill>
          </w14:textFill>
        </w:rPr>
        <w:t>压裂作业废气主要为压裂</w:t>
      </w:r>
      <w:r>
        <w:rPr>
          <w:rFonts w:hint="default" w:ascii="Times New Roman" w:hAnsi="Times New Roman" w:cs="Times New Roman"/>
          <w:color w:val="000000" w:themeColor="text1"/>
          <w:szCs w:val="24"/>
          <w:highlight w:val="none"/>
          <w:lang w:val="en-US" w:eastAsia="zh-CN"/>
          <w14:textFill>
            <w14:solidFill>
              <w14:schemeClr w14:val="tx1"/>
            </w14:solidFill>
          </w14:textFill>
        </w:rPr>
        <w:t>作业车辆、</w:t>
      </w:r>
      <w:r>
        <w:rPr>
          <w:rFonts w:hint="default" w:ascii="Times New Roman" w:hAnsi="Times New Roman" w:cs="Times New Roman"/>
          <w:color w:val="000000" w:themeColor="text1"/>
          <w:szCs w:val="24"/>
          <w:highlight w:val="none"/>
          <w14:textFill>
            <w14:solidFill>
              <w14:schemeClr w14:val="tx1"/>
            </w14:solidFill>
          </w14:textFill>
        </w:rPr>
        <w:t>施工机械</w:t>
      </w:r>
      <w:r>
        <w:rPr>
          <w:rFonts w:hint="default" w:ascii="Times New Roman" w:hAnsi="Times New Roman" w:cs="Times New Roman"/>
          <w:color w:val="000000" w:themeColor="text1"/>
          <w:szCs w:val="24"/>
          <w:highlight w:val="none"/>
          <w:lang w:val="en-US" w:eastAsia="zh-CN"/>
          <w14:textFill>
            <w14:solidFill>
              <w14:schemeClr w14:val="tx1"/>
            </w14:solidFill>
          </w14:textFill>
        </w:rPr>
        <w:t>等产生的燃料燃烧</w:t>
      </w:r>
      <w:r>
        <w:rPr>
          <w:rFonts w:hint="default" w:ascii="Times New Roman" w:hAnsi="Times New Roman" w:cs="Times New Roman"/>
          <w:color w:val="000000" w:themeColor="text1"/>
          <w:szCs w:val="24"/>
          <w:highlight w:val="none"/>
          <w14:textFill>
            <w14:solidFill>
              <w14:schemeClr w14:val="tx1"/>
            </w14:solidFill>
          </w14:textFill>
        </w:rPr>
        <w:t>尾气，主要污染物为NO</w:t>
      </w:r>
      <w:r>
        <w:rPr>
          <w:rFonts w:hint="default" w:ascii="Times New Roman" w:hAnsi="Times New Roman" w:cs="Times New Roman"/>
          <w:color w:val="000000" w:themeColor="text1"/>
          <w:szCs w:val="24"/>
          <w:highlight w:val="none"/>
          <w:vertAlign w:val="subscript"/>
          <w14:textFill>
            <w14:solidFill>
              <w14:schemeClr w14:val="tx1"/>
            </w14:solidFill>
          </w14:textFill>
        </w:rPr>
        <w:t>X</w:t>
      </w:r>
      <w:r>
        <w:rPr>
          <w:rFonts w:hint="default" w:ascii="Times New Roman" w:hAnsi="Times New Roman" w:cs="Times New Roman"/>
          <w:color w:val="000000" w:themeColor="text1"/>
          <w:szCs w:val="24"/>
          <w:highlight w:val="none"/>
          <w14:textFill>
            <w14:solidFill>
              <w14:schemeClr w14:val="tx1"/>
            </w14:solidFill>
          </w14:textFill>
        </w:rPr>
        <w:t>、烟尘及少量CO，采用合格燃油、加强设备保养减少尾气排放量。</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zCs w:val="24"/>
          <w:highlight w:val="none"/>
          <w14:textFill>
            <w14:solidFill>
              <w14:schemeClr w14:val="tx1"/>
            </w14:solidFill>
          </w14:textFill>
        </w:rPr>
        <w:t>）完井测试放喷废气</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测试放喷天然气经专用放喷管线引至放喷坑后点火燃烧，测试放喷时间一般昼间放喷，每次约3h，废气排放属短期排放。测试放喷的含硫天然气经点火燃烧，其主要污染物为CO</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和SO</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拟建项目测试放喷废气为飞仙关组，根据建设单位提供的项目气藏地质及气藏工程资料：“考虑产层厚度、渗透率的关系，基于普光气田在飞一二段及P106-2井等投产试气资料，考虑水平井增压倍数，预测普光106-2H侧钻井无阻流量为30×10</w:t>
      </w:r>
      <w:r>
        <w:rPr>
          <w:rFonts w:hint="default" w:ascii="Times New Roman" w:hAnsi="Times New Roman" w:cs="Times New Roman"/>
          <w:color w:val="000000" w:themeColor="text1"/>
          <w:szCs w:val="24"/>
          <w:highlight w:val="none"/>
          <w:vertAlign w:val="superscript"/>
          <w14:textFill>
            <w14:solidFill>
              <w14:schemeClr w14:val="tx1"/>
            </w14:solidFill>
          </w14:textFill>
        </w:rPr>
        <w:t>4</w:t>
      </w:r>
      <w:r>
        <w:rPr>
          <w:rFonts w:hint="default" w:ascii="Times New Roman" w:hAnsi="Times New Roman" w:cs="Times New Roman"/>
          <w:color w:val="000000" w:themeColor="text1"/>
          <w:szCs w:val="24"/>
          <w:highlight w:val="none"/>
          <w14:textFill>
            <w14:solidFill>
              <w14:schemeClr w14:val="tx1"/>
            </w14:solidFill>
          </w14:textFill>
        </w:rPr>
        <w:t>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d。”在放喷池内，经排气筒为高度为1m的对空短火焰燃烧器点火燃烧后排放，本项目在放喷前，建设单位会对距离井口500m范围内的居民临时撤离，并建立警戒点进行24小时警戒，严禁居民靠近，以减轻放喷废气对这些居民的影响。同时由于测试放喷时间一般约为3小时，属短期排放，不会形成长期环境影响，短期影响也可控制在周边居民健康安全限值以下，污染物排放随测试放喷的结束而停止，不会长期存在，不会影响区域环境空气功能区划。</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本项目测试放喷在昼间进行，且时间较短，含硫天然气燃烧后主要污染物为CO</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和SO</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，污染物产生量较小，并将随测试放喷的结束而消除，对周边大气环境影响较小。</w:t>
      </w: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（2）废水</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从项目产生的废水情况分析，</w:t>
      </w:r>
      <w:r>
        <w:rPr>
          <w:rFonts w:hint="default" w:ascii="Times New Roman" w:hAnsi="Times New Roman" w:cs="Times New Roman"/>
          <w:bCs/>
          <w:color w:val="000000" w:themeColor="text1"/>
          <w:highlight w:val="none"/>
          <w:lang w:val="en-US" w:eastAsia="zh-CN"/>
          <w14:textFill>
            <w14:solidFill>
              <w14:schemeClr w14:val="tx1"/>
            </w14:solidFill>
          </w14:textFill>
        </w:rPr>
        <w:t>储层改造工程废水主要</w:t>
      </w:r>
      <w:r>
        <w:rPr>
          <w:rFonts w:hint="default" w:ascii="Times New Roman" w:hAnsi="Times New Roman" w:cs="Times New Roman"/>
          <w:bCs/>
          <w:color w:val="000000" w:themeColor="text1"/>
          <w:highlight w:val="none"/>
          <w14:textFill>
            <w14:solidFill>
              <w14:schemeClr w14:val="tx1"/>
            </w14:solidFill>
          </w14:textFill>
        </w:rPr>
        <w:t>包括洗井废水、压裂返排液和生活污水。</w:t>
      </w:r>
    </w:p>
    <w:p>
      <w:pPr>
        <w:keepNext w:val="0"/>
        <w:keepLines w:val="0"/>
        <w:pageBreakBefore w:val="0"/>
        <w:widowControl w:val="0"/>
        <w:numPr>
          <w:ilvl w:val="0"/>
          <w:numId w:val="10"/>
        </w:numPr>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压裂返排液</w:t>
      </w:r>
      <w:r>
        <w:rPr>
          <w:rFonts w:hint="default" w:ascii="Times New Roman" w:hAnsi="Times New Roman" w:cs="Times New Roman"/>
          <w:b/>
          <w:bCs/>
          <w:color w:val="000000" w:themeColor="text1"/>
          <w:szCs w:val="24"/>
          <w:highlight w:val="none"/>
          <w:lang w:val="en-US" w:eastAsia="zh-CN"/>
          <w14:textFill>
            <w14:solidFill>
              <w14:schemeClr w14:val="tx1"/>
            </w14:solidFill>
          </w14:textFill>
        </w:rPr>
        <w:t>及洗井废水</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本项目压裂酸化过程酸液（前置酸、清洁酸）用量约1960m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，根据该区域已完钻钻井工程可知，该区域钻井工程酸液返排率约30%，则本项目返排液量为588m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，作业废水主要组成为水、盐酸及醋酸与岩层反应后生成的盐类</w:t>
      </w:r>
      <w:r>
        <w:rPr>
          <w:rFonts w:hint="default" w:ascii="Times New Roman" w:hAnsi="Times New Roman" w:cs="Times New Roman"/>
          <w:color w:val="000000" w:themeColor="text1"/>
          <w:highlight w:val="none"/>
          <w:lang w:eastAsia="zh-CN"/>
          <w14:textFill>
            <w14:solidFill>
              <w14:schemeClr w14:val="tx1"/>
            </w14:solidFill>
          </w14:textFill>
        </w:rPr>
        <w:t>及</w:t>
      </w:r>
      <w:r>
        <w:rPr>
          <w:rFonts w:hint="default" w:ascii="Times New Roman" w:hAnsi="Times New Roman" w:cs="Times New Roman"/>
          <w:color w:val="000000" w:themeColor="text1"/>
          <w:highlight w:val="none"/>
          <w14:textFill>
            <w14:solidFill>
              <w14:schemeClr w14:val="tx1"/>
            </w14:solidFill>
          </w14:textFill>
        </w:rPr>
        <w:t>表面活性剂等。返排液排至经防腐防渗处理的放喷池或污水罐中暂存（放喷池预先储备部分碱性水用于中和返排液中的酸液），返排周期为3天～5天。</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本项目洗井采用碱水，</w:t>
      </w:r>
      <w:r>
        <w:rPr>
          <w:rFonts w:hint="default" w:ascii="Times New Roman" w:hAnsi="Times New Roman" w:cs="Times New Roman"/>
          <w:color w:val="000000" w:themeColor="text1"/>
          <w:highlight w:val="none"/>
          <w:lang w:val="en-US" w:eastAsia="zh-CN"/>
          <w14:textFill>
            <w14:solidFill>
              <w14:schemeClr w14:val="tx1"/>
            </w14:solidFill>
          </w14:textFill>
        </w:rPr>
        <w:t>根据建设单位提供的资料，本</w:t>
      </w:r>
      <w:r>
        <w:rPr>
          <w:rFonts w:hint="default" w:ascii="Times New Roman" w:hAnsi="Times New Roman" w:cs="Times New Roman"/>
          <w:color w:val="000000" w:themeColor="text1"/>
          <w:highlight w:val="none"/>
          <w14:textFill>
            <w14:solidFill>
              <w14:schemeClr w14:val="tx1"/>
            </w14:solidFill>
          </w14:textFill>
        </w:rPr>
        <w:t>项目洗井废水产生约100m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本项目压裂返排液及洗井废水</w:t>
      </w:r>
      <w:r>
        <w:rPr>
          <w:rFonts w:hint="eastAsia" w:ascii="Times New Roman" w:hAnsi="Times New Roman" w:cs="Times New Roman"/>
          <w:color w:val="000000" w:themeColor="text1"/>
          <w:highlight w:val="none"/>
          <w:lang w:val="en-US" w:eastAsia="zh-CN"/>
          <w14:textFill>
            <w14:solidFill>
              <w14:schemeClr w14:val="tx1"/>
            </w14:solidFill>
          </w14:textFill>
        </w:rPr>
        <w:t>由放喷池、压裂液储罐收集后，</w:t>
      </w:r>
      <w:r>
        <w:rPr>
          <w:rFonts w:hint="default" w:ascii="Times New Roman" w:hAnsi="Times New Roman" w:cs="Times New Roman"/>
          <w:color w:val="000000" w:themeColor="text1"/>
          <w:highlight w:val="none"/>
          <w:lang w:eastAsia="zh-CN"/>
          <w14:textFill>
            <w14:solidFill>
              <w14:schemeClr w14:val="tx1"/>
            </w14:solidFill>
          </w14:textFill>
        </w:rPr>
        <w:t>优先回用于周边其他井场压裂液配置</w:t>
      </w:r>
      <w:r>
        <w:rPr>
          <w:rFonts w:hint="default" w:ascii="Times New Roman" w:hAnsi="Times New Roman" w:cs="Times New Roman"/>
          <w:color w:val="000000" w:themeColor="text1"/>
          <w:highlight w:val="none"/>
          <w14:textFill>
            <w14:solidFill>
              <w14:schemeClr w14:val="tx1"/>
            </w14:solidFill>
          </w14:textFill>
        </w:rPr>
        <w:t>，不能回用的用罐车拉运至赵家坝污水处理站处理达标后经普光11井回注站回注。根据普光气田钻井工程类比调查，作业废水污染物浓度情况见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_Ref142593491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压裂返排液及洗井废水污染物浓度表（单位：mg/L）</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1"/>
        <w:gridCol w:w="1654"/>
        <w:gridCol w:w="1110"/>
        <w:gridCol w:w="1110"/>
        <w:gridCol w:w="1110"/>
        <w:gridCol w:w="975"/>
        <w:gridCol w:w="1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344"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污染物名称</w:t>
            </w:r>
          </w:p>
        </w:tc>
        <w:tc>
          <w:tcPr>
            <w:tcW w:w="161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pH</w:t>
            </w:r>
          </w:p>
        </w:tc>
        <w:tc>
          <w:tcPr>
            <w:tcW w:w="108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COD</w:t>
            </w:r>
          </w:p>
        </w:tc>
        <w:tc>
          <w:tcPr>
            <w:tcW w:w="108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SS</w:t>
            </w:r>
          </w:p>
        </w:tc>
        <w:tc>
          <w:tcPr>
            <w:tcW w:w="108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石油类</w:t>
            </w:r>
          </w:p>
        </w:tc>
        <w:tc>
          <w:tcPr>
            <w:tcW w:w="94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挥发酚</w:t>
            </w:r>
          </w:p>
        </w:tc>
        <w:tc>
          <w:tcPr>
            <w:tcW w:w="1154"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氯离子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34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浓度</w:t>
            </w:r>
          </w:p>
        </w:tc>
        <w:tc>
          <w:tcPr>
            <w:tcW w:w="16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4～6</w:t>
            </w:r>
          </w:p>
        </w:tc>
        <w:tc>
          <w:tcPr>
            <w:tcW w:w="10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≤5000</w:t>
            </w:r>
          </w:p>
        </w:tc>
        <w:tc>
          <w:tcPr>
            <w:tcW w:w="10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≤7500</w:t>
            </w:r>
          </w:p>
        </w:tc>
        <w:tc>
          <w:tcPr>
            <w:tcW w:w="10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w:t>
            </w:r>
          </w:p>
        </w:tc>
        <w:tc>
          <w:tcPr>
            <w:tcW w:w="94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w:t>
            </w:r>
          </w:p>
        </w:tc>
        <w:tc>
          <w:tcPr>
            <w:tcW w:w="115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≤4000</w:t>
            </w:r>
          </w:p>
        </w:tc>
      </w:tr>
    </w:tbl>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）生活污水</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lang w:eastAsia="zh-CN"/>
          <w14:textFill>
            <w14:solidFill>
              <w14:schemeClr w14:val="tx1"/>
            </w14:solidFill>
          </w14:textFill>
        </w:rPr>
        <w:t>储层改造工程压裂作业时间约为35天，压裂作业人员40人</w:t>
      </w:r>
      <w:r>
        <w:rPr>
          <w:rFonts w:hint="default" w:ascii="Times New Roman" w:hAnsi="Times New Roman" w:cs="Times New Roman"/>
          <w:bCs/>
          <w:color w:val="000000" w:themeColor="text1"/>
          <w:highlight w:val="none"/>
          <w14:textFill>
            <w14:solidFill>
              <w14:schemeClr w14:val="tx1"/>
            </w14:solidFill>
          </w14:textFill>
        </w:rPr>
        <w:t>，每人每天用水量为80L，排污系数为0.8，则</w:t>
      </w:r>
      <w:r>
        <w:rPr>
          <w:rFonts w:hint="default" w:ascii="Times New Roman" w:hAnsi="Times New Roman" w:cs="Times New Roman"/>
          <w:bCs/>
          <w:color w:val="000000" w:themeColor="text1"/>
          <w:highlight w:val="none"/>
          <w:lang w:val="en-US" w:eastAsia="zh-CN"/>
          <w14:textFill>
            <w14:solidFill>
              <w14:schemeClr w14:val="tx1"/>
            </w14:solidFill>
          </w14:textFill>
        </w:rPr>
        <w:t>储层改造</w:t>
      </w:r>
      <w:r>
        <w:rPr>
          <w:rFonts w:hint="default" w:ascii="Times New Roman" w:hAnsi="Times New Roman" w:cs="Times New Roman"/>
          <w:bCs/>
          <w:color w:val="000000" w:themeColor="text1"/>
          <w:highlight w:val="none"/>
          <w14:textFill>
            <w14:solidFill>
              <w14:schemeClr w14:val="tx1"/>
            </w14:solidFill>
          </w14:textFill>
        </w:rPr>
        <w:t>期间井场的生活用水量为3</w:t>
      </w:r>
      <w:r>
        <w:rPr>
          <w:rFonts w:hint="default" w:ascii="Times New Roman" w:hAnsi="Times New Roman" w:cs="Times New Roman"/>
          <w:bCs/>
          <w:color w:val="000000" w:themeColor="text1"/>
          <w:highlight w:val="none"/>
          <w:lang w:val="en-US" w:eastAsia="zh-CN"/>
          <w14:textFill>
            <w14:solidFill>
              <w14:schemeClr w14:val="tx1"/>
            </w14:solidFill>
          </w14:textFill>
        </w:rPr>
        <w:t>2</w:t>
      </w:r>
      <w:r>
        <w:rPr>
          <w:rFonts w:hint="default" w:ascii="Times New Roman" w:hAnsi="Times New Roman" w:cs="Times New Roman"/>
          <w:bCs/>
          <w:color w:val="000000" w:themeColor="text1"/>
          <w:highlight w:val="none"/>
          <w14:textFill>
            <w14:solidFill>
              <w14:schemeClr w14:val="tx1"/>
            </w14:solidFill>
          </w14:textFill>
        </w:rPr>
        <w:t>00L/d，污水产生量为2</w:t>
      </w:r>
      <w:r>
        <w:rPr>
          <w:rFonts w:hint="default" w:ascii="Times New Roman" w:hAnsi="Times New Roman" w:cs="Times New Roman"/>
          <w:bCs/>
          <w:color w:val="000000" w:themeColor="text1"/>
          <w:highlight w:val="none"/>
          <w:lang w:val="en-US" w:eastAsia="zh-CN"/>
          <w14:textFill>
            <w14:solidFill>
              <w14:schemeClr w14:val="tx1"/>
            </w14:solidFill>
          </w14:textFill>
        </w:rPr>
        <w:t>56</w:t>
      </w:r>
      <w:r>
        <w:rPr>
          <w:rFonts w:hint="default" w:ascii="Times New Roman" w:hAnsi="Times New Roman" w:cs="Times New Roman"/>
          <w:bCs/>
          <w:color w:val="000000" w:themeColor="text1"/>
          <w:highlight w:val="none"/>
          <w14:textFill>
            <w14:solidFill>
              <w14:schemeClr w14:val="tx1"/>
            </w14:solidFill>
          </w14:textFill>
        </w:rPr>
        <w:t>0L/d。生活污水经生态厕所收集后由密闭罐车定期拉运至周边生活污水处理厂处理，环境影响较小。本项目生活污水水质情况见</w:t>
      </w:r>
      <w:r>
        <w:rPr>
          <w:rFonts w:hint="default" w:ascii="Times New Roman" w:hAnsi="Times New Roman" w:cs="Times New Roman"/>
          <w:bCs/>
          <w:color w:val="000000" w:themeColor="text1"/>
          <w:highlight w:val="none"/>
          <w14:textFill>
            <w14:solidFill>
              <w14:schemeClr w14:val="tx1"/>
            </w14:solidFill>
          </w14:textFill>
        </w:rPr>
        <w:fldChar w:fldCharType="begin"/>
      </w:r>
      <w:r>
        <w:rPr>
          <w:rFonts w:hint="default" w:ascii="Times New Roman" w:hAnsi="Times New Roman" w:cs="Times New Roman"/>
          <w:bCs/>
          <w:color w:val="000000" w:themeColor="text1"/>
          <w:highlight w:val="none"/>
          <w14:textFill>
            <w14:solidFill>
              <w14:schemeClr w14:val="tx1"/>
            </w14:solidFill>
          </w14:textFill>
        </w:rPr>
        <w:instrText xml:space="preserve"> REF _Ref142593497 \h  \* MERGEFORMAT </w:instrText>
      </w:r>
      <w:r>
        <w:rPr>
          <w:rFonts w:hint="default" w:ascii="Times New Roman" w:hAnsi="Times New Roman" w:cs="Times New Roman"/>
          <w:bCs/>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bCs/>
          <w:color w:val="000000" w:themeColor="text1"/>
          <w:highlight w:val="none"/>
          <w14:textFill>
            <w14:solidFill>
              <w14:schemeClr w14:val="tx1"/>
            </w14:solidFill>
          </w14:textFill>
        </w:rPr>
        <w:fldChar w:fldCharType="end"/>
      </w:r>
      <w:r>
        <w:rPr>
          <w:rFonts w:hint="default" w:ascii="Times New Roman" w:hAnsi="Times New Roman" w:cs="Times New Roman"/>
          <w:bCs/>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项目生活污水水质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8"/>
        <w:gridCol w:w="841"/>
        <w:gridCol w:w="1501"/>
        <w:gridCol w:w="1370"/>
        <w:gridCol w:w="1371"/>
        <w:gridCol w:w="1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8"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主要污染物名称</w:t>
            </w:r>
          </w:p>
        </w:tc>
        <w:tc>
          <w:tcPr>
            <w:tcW w:w="84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pH</w:t>
            </w:r>
          </w:p>
        </w:tc>
        <w:tc>
          <w:tcPr>
            <w:tcW w:w="150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悬浮物（mg/L）</w:t>
            </w:r>
          </w:p>
        </w:tc>
        <w:tc>
          <w:tcPr>
            <w:tcW w:w="137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COD（mg/L）</w:t>
            </w:r>
          </w:p>
        </w:tc>
        <w:tc>
          <w:tcPr>
            <w:tcW w:w="137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BOD</w:t>
            </w:r>
            <w:r>
              <w:rPr>
                <w:rFonts w:hint="default" w:ascii="Times New Roman" w:hAnsi="Times New Roman" w:cs="Times New Roman"/>
                <w:b/>
                <w:bCs/>
                <w:color w:val="000000" w:themeColor="text1"/>
                <w:highlight w:val="none"/>
                <w:vertAlign w:val="subscript"/>
                <w14:textFill>
                  <w14:solidFill>
                    <w14:schemeClr w14:val="tx1"/>
                  </w14:solidFill>
                </w14:textFill>
              </w:rPr>
              <w:t>5</w:t>
            </w:r>
            <w:r>
              <w:rPr>
                <w:rFonts w:hint="default" w:ascii="Times New Roman" w:hAnsi="Times New Roman" w:cs="Times New Roman"/>
                <w:b/>
                <w:bCs/>
                <w:color w:val="000000" w:themeColor="text1"/>
                <w:highlight w:val="none"/>
                <w14:textFill>
                  <w14:solidFill>
                    <w14:schemeClr w14:val="tx1"/>
                  </w14:solidFill>
                </w14:textFill>
              </w:rPr>
              <w:t>（mg/L）</w:t>
            </w:r>
          </w:p>
        </w:tc>
        <w:tc>
          <w:tcPr>
            <w:tcW w:w="137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氨氮（mg/L）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水质情况</w:t>
            </w:r>
          </w:p>
        </w:tc>
        <w:tc>
          <w:tcPr>
            <w:tcW w:w="84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7.0-9.0</w:t>
            </w:r>
          </w:p>
        </w:tc>
        <w:tc>
          <w:tcPr>
            <w:tcW w:w="15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250-300</w:t>
            </w:r>
          </w:p>
        </w:tc>
        <w:tc>
          <w:tcPr>
            <w:tcW w:w="137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350-400</w:t>
            </w:r>
          </w:p>
        </w:tc>
        <w:tc>
          <w:tcPr>
            <w:tcW w:w="137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200-250</w:t>
            </w:r>
          </w:p>
        </w:tc>
        <w:tc>
          <w:tcPr>
            <w:tcW w:w="137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30-40</w:t>
            </w:r>
          </w:p>
        </w:tc>
      </w:tr>
    </w:tbl>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（3）噪声</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本项目压裂作业时间短，仅在白天施工</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压裂过程中噪声源主要来自于压裂泵车，单台噪声源强情况90~100dB（A）</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本项目最多同时6台压裂设备同时作业</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此外，在储层改造完成后进行测试放喷时，还将有</w:t>
      </w:r>
      <w:r>
        <w:rPr>
          <w:rFonts w:hint="default" w:ascii="Times New Roman" w:hAnsi="Times New Roman" w:cs="Times New Roman"/>
          <w:color w:val="000000" w:themeColor="text1"/>
          <w:highlight w:val="none"/>
          <w14:textFill>
            <w14:solidFill>
              <w14:schemeClr w14:val="tx1"/>
            </w14:solidFill>
          </w14:textFill>
        </w:rPr>
        <w:t>放喷时产生的高压气流噪声，</w:t>
      </w:r>
      <w:r>
        <w:rPr>
          <w:rFonts w:hint="default" w:ascii="Times New Roman" w:hAnsi="Times New Roman" w:cs="Times New Roman"/>
          <w:color w:val="000000" w:themeColor="text1"/>
          <w:szCs w:val="24"/>
          <w:highlight w:val="none"/>
          <w14:textFill>
            <w14:solidFill>
              <w14:schemeClr w14:val="tx1"/>
            </w14:solidFill>
          </w14:textFill>
        </w:rPr>
        <w:t>噪声源强度约为95~105dB（A）</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储层改造</w:t>
      </w:r>
      <w:r>
        <w:rPr>
          <w:rFonts w:hint="default" w:ascii="Times New Roman" w:hAnsi="Times New Roman" w:cs="Times New Roman"/>
          <w:color w:val="000000" w:themeColor="text1"/>
          <w:highlight w:val="none"/>
          <w14:textFill>
            <w14:solidFill>
              <w14:schemeClr w14:val="tx1"/>
            </w14:solidFill>
          </w14:textFill>
        </w:rPr>
        <w:t>工程主要噪声源设备噪声值见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_Ref142593506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项目钻井工程主要噪声源设备噪声值表</w:t>
      </w:r>
    </w:p>
    <w:tbl>
      <w:tblPr>
        <w:tblStyle w:val="5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06"/>
        <w:gridCol w:w="1714"/>
        <w:gridCol w:w="1897"/>
        <w:gridCol w:w="1035"/>
        <w:gridCol w:w="861"/>
        <w:gridCol w:w="651"/>
        <w:gridCol w:w="651"/>
        <w:gridCol w:w="6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噪声设备</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数量</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单台源强dB（A）（1m处）</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采取的降噪措施</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降噪后源强</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噪声特征</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排放时间</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声源种类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压裂设备</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8台（最多6台同时作业）</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95～100</w:t>
            </w:r>
          </w:p>
        </w:tc>
        <w:tc>
          <w:tcPr>
            <w:tcW w:w="0" w:type="auto"/>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95～100</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机械</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昼夜间断</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放喷高压气流</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110</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105</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空气动力</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测试3h</w:t>
            </w:r>
          </w:p>
        </w:tc>
        <w:tc>
          <w:tcPr>
            <w:tcW w:w="0" w:type="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固定声源</w:t>
            </w:r>
          </w:p>
        </w:tc>
      </w:tr>
    </w:tbl>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（4）固废</w:t>
      </w:r>
    </w:p>
    <w:p>
      <w:pPr>
        <w:pStyle w:val="50"/>
        <w:keepNext w:val="0"/>
        <w:keepLines w:val="0"/>
        <w:pageBreakBefore w:val="0"/>
        <w:widowControl w:val="0"/>
        <w:kinsoku/>
        <w:wordWrap/>
        <w:overflowPunct/>
        <w:topLinePunct w:val="0"/>
        <w:autoSpaceDE/>
        <w:autoSpaceDN/>
        <w:bidi w:val="0"/>
        <w:adjustRightInd w:val="0"/>
        <w:snapToGrid w:val="0"/>
        <w:spacing w:before="0" w:after="0"/>
        <w:ind w:firstLine="480" w:firstLineChars="200"/>
        <w:textAlignment w:val="auto"/>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储层改造工程主要的</w:t>
      </w:r>
      <w:r>
        <w:rPr>
          <w:rFonts w:hint="default" w:ascii="Times New Roman" w:hAnsi="Times New Roman" w:cs="Times New Roman"/>
          <w:color w:val="000000" w:themeColor="text1"/>
          <w:kern w:val="2"/>
          <w:sz w:val="24"/>
          <w:szCs w:val="22"/>
          <w:highlight w:val="none"/>
          <w:lang w:val="en-US" w:eastAsia="zh-CN" w:bidi="ar-SA"/>
          <w14:textFill>
            <w14:solidFill>
              <w14:schemeClr w14:val="tx1"/>
            </w14:solidFill>
          </w14:textFill>
        </w:rPr>
        <w:t>固体废弃物</w:t>
      </w: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为储层改造施工人员生活垃圾及完井搬迁时可能产生少量建筑垃圾。</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1）生活垃圾</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生活垃圾来源于</w:t>
      </w:r>
      <w:r>
        <w:rPr>
          <w:rFonts w:hint="default" w:ascii="Times New Roman" w:hAnsi="Times New Roman" w:cs="Times New Roman"/>
          <w:color w:val="000000" w:themeColor="text1"/>
          <w:kern w:val="2"/>
          <w:sz w:val="24"/>
          <w:szCs w:val="22"/>
          <w:highlight w:val="none"/>
          <w:lang w:val="en-US" w:eastAsia="zh-CN" w:bidi="ar-SA"/>
          <w14:textFill>
            <w14:solidFill>
              <w14:schemeClr w14:val="tx1"/>
            </w14:solidFill>
          </w14:textFill>
        </w:rPr>
        <w:t>储层改造</w:t>
      </w: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施工作业人员，</w:t>
      </w:r>
      <w:r>
        <w:rPr>
          <w:rFonts w:hint="default" w:ascii="Times New Roman" w:hAnsi="Times New Roman" w:cs="Times New Roman"/>
          <w:color w:val="000000" w:themeColor="text1"/>
          <w:kern w:val="2"/>
          <w:sz w:val="24"/>
          <w:szCs w:val="22"/>
          <w:highlight w:val="none"/>
          <w:lang w:val="en-US" w:eastAsia="zh-CN" w:bidi="ar-SA"/>
          <w14:textFill>
            <w14:solidFill>
              <w14:schemeClr w14:val="tx1"/>
            </w14:solidFill>
          </w14:textFill>
        </w:rPr>
        <w:t>储层改造施工人员</w:t>
      </w: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按4</w:t>
      </w:r>
      <w:r>
        <w:rPr>
          <w:rFonts w:hint="default" w:ascii="Times New Roman" w:hAnsi="Times New Roman" w:cs="Times New Roman"/>
          <w:color w:val="000000" w:themeColor="text1"/>
          <w:kern w:val="2"/>
          <w:sz w:val="24"/>
          <w:szCs w:val="22"/>
          <w:highlight w:val="none"/>
          <w:lang w:val="en-US" w:eastAsia="zh-CN" w:bidi="ar-SA"/>
          <w14:textFill>
            <w14:solidFill>
              <w14:schemeClr w14:val="tx1"/>
            </w14:solidFill>
          </w14:textFill>
        </w:rPr>
        <w:t>0</w:t>
      </w: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人计，每人每天产生的生活垃圾按0.5kg/d计算，则生活垃圾的产生量约为2</w:t>
      </w:r>
      <w:r>
        <w:rPr>
          <w:rFonts w:hint="default" w:ascii="Times New Roman" w:hAnsi="Times New Roman" w:cs="Times New Roman"/>
          <w:color w:val="000000" w:themeColor="text1"/>
          <w:kern w:val="2"/>
          <w:sz w:val="24"/>
          <w:szCs w:val="22"/>
          <w:highlight w:val="none"/>
          <w:lang w:val="en-US" w:eastAsia="zh-CN" w:bidi="ar-SA"/>
          <w14:textFill>
            <w14:solidFill>
              <w14:schemeClr w14:val="tx1"/>
            </w14:solidFill>
          </w14:textFill>
        </w:rPr>
        <w:t>0</w:t>
      </w: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kg/d。井场设置垃圾坑收集，定期按井场所在地环卫部门相关要求实施统一妥善处置。</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2）建筑垃圾</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完井搬迁时可能产生少量建筑垃圾，主要如包装袋，废弃建筑材料等，其量小，由施工队伍统一收集清运至政府指定地方。</w:t>
      </w:r>
    </w:p>
    <w:p>
      <w:pPr>
        <w:spacing w:before="120" w:beforeLines="50"/>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（5）地下水污染</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1）地下水污染源类型分析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储层改造工程的下属污染类型主要为</w:t>
      </w:r>
      <w:r>
        <w:rPr>
          <w:rFonts w:hint="default" w:ascii="Times New Roman" w:hAnsi="Times New Roman" w:cs="Times New Roman"/>
          <w:color w:val="000000" w:themeColor="text1"/>
          <w:highlight w:val="none"/>
          <w14:textFill>
            <w14:solidFill>
              <w14:schemeClr w14:val="tx1"/>
            </w14:solidFill>
          </w14:textFill>
        </w:rPr>
        <w:t>压裂过程井筒破裂漏失的压裂液。</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2）污染途径分析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在储层改造时的</w:t>
      </w:r>
      <w:r>
        <w:rPr>
          <w:rFonts w:hint="default" w:ascii="Times New Roman" w:hAnsi="Times New Roman" w:cs="Times New Roman"/>
          <w:bCs/>
          <w:color w:val="000000" w:themeColor="text1"/>
          <w:szCs w:val="24"/>
          <w:highlight w:val="none"/>
          <w14:textFill>
            <w14:solidFill>
              <w14:schemeClr w14:val="tx1"/>
            </w14:solidFill>
          </w14:textFill>
        </w:rPr>
        <w:t>压裂过程中</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发生</w:t>
      </w:r>
      <w:r>
        <w:rPr>
          <w:rFonts w:hint="default" w:ascii="Times New Roman" w:hAnsi="Times New Roman" w:cs="Times New Roman"/>
          <w:bCs/>
          <w:color w:val="000000" w:themeColor="text1"/>
          <w:szCs w:val="24"/>
          <w:highlight w:val="none"/>
          <w14:textFill>
            <w14:solidFill>
              <w14:schemeClr w14:val="tx1"/>
            </w14:solidFill>
          </w14:textFill>
        </w:rPr>
        <w:t>井筒破裂事故中，在水头压力差的作用下，将有少量压裂液滤失，并在含水层中扩散迁移，污染地下水，污染程度与所选用的钻井泥浆体系与压裂方案密切相关。</w:t>
      </w:r>
    </w:p>
    <w:p>
      <w:pPr>
        <w:ind w:firstLine="480"/>
        <w:rPr>
          <w:rFonts w:hint="default" w:ascii="Times New Roman" w:hAnsi="Times New Roman" w:cs="Times New Roman"/>
          <w:b/>
          <w:bCs w:val="0"/>
          <w:color w:val="000000" w:themeColor="text1"/>
          <w:szCs w:val="24"/>
          <w:highlight w:val="none"/>
          <w14:textFill>
            <w14:solidFill>
              <w14:schemeClr w14:val="tx1"/>
            </w14:solidFill>
          </w14:textFill>
        </w:rPr>
      </w:pPr>
      <w:r>
        <w:rPr>
          <w:rFonts w:hint="default" w:ascii="Times New Roman" w:hAnsi="Times New Roman" w:cs="Times New Roman"/>
          <w:b/>
          <w:bCs w:val="0"/>
          <w:color w:val="000000" w:themeColor="text1"/>
          <w:szCs w:val="24"/>
          <w:highlight w:val="none"/>
          <w14:textFill>
            <w14:solidFill>
              <w14:schemeClr w14:val="tx1"/>
            </w14:solidFill>
          </w14:textFill>
        </w:rPr>
        <w:t>3）地下水污染源源强分析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压裂过程中</w:t>
      </w:r>
      <w:r>
        <w:rPr>
          <w:rFonts w:hint="default" w:ascii="Times New Roman" w:hAnsi="Times New Roman" w:cs="Times New Roman"/>
          <w:bCs/>
          <w:color w:val="000000" w:themeColor="text1"/>
          <w:szCs w:val="24"/>
          <w:highlight w:val="none"/>
          <w14:textFill>
            <w14:solidFill>
              <w14:schemeClr w14:val="tx1"/>
            </w14:solidFill>
          </w14:textFill>
        </w:rPr>
        <w:t>监控系统一般在地层滤失量＜3m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/h时即可发现</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压裂液滤失</w:t>
      </w:r>
      <w:r>
        <w:rPr>
          <w:rFonts w:hint="default" w:ascii="Times New Roman" w:hAnsi="Times New Roman" w:cs="Times New Roman"/>
          <w:bCs/>
          <w:color w:val="000000" w:themeColor="text1"/>
          <w:szCs w:val="24"/>
          <w:highlight w:val="none"/>
          <w14:textFill>
            <w14:solidFill>
              <w14:schemeClr w14:val="tx1"/>
            </w14:solidFill>
          </w14:textFill>
        </w:rPr>
        <w:t>，以便及时采取堵漏措施。从措施上减少井筒内</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压裂液</w:t>
      </w:r>
      <w:r>
        <w:rPr>
          <w:rFonts w:hint="default" w:ascii="Times New Roman" w:hAnsi="Times New Roman" w:cs="Times New Roman"/>
          <w:bCs/>
          <w:color w:val="000000" w:themeColor="text1"/>
          <w:szCs w:val="24"/>
          <w:highlight w:val="none"/>
          <w14:textFill>
            <w14:solidFill>
              <w14:schemeClr w14:val="tx1"/>
            </w14:solidFill>
          </w14:textFill>
        </w:rPr>
        <w:t>滤失可能。</w:t>
      </w:r>
    </w:p>
    <w:p>
      <w:pPr>
        <w:ind w:firstLine="480"/>
        <w:outlineLvl w:val="3"/>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3.4.</w:t>
      </w: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2</w:t>
      </w:r>
      <w:r>
        <w:rPr>
          <w:rFonts w:hint="default" w:ascii="Times New Roman" w:hAnsi="Times New Roman" w:eastAsia="黑体" w:cs="Times New Roman"/>
          <w:color w:val="000000" w:themeColor="text1"/>
          <w:szCs w:val="24"/>
          <w:highlight w:val="none"/>
          <w14:textFill>
            <w14:solidFill>
              <w14:schemeClr w14:val="tx1"/>
            </w14:solidFill>
          </w14:textFill>
        </w:rPr>
        <w:t>.</w:t>
      </w: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4油气集输工程</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本项目试采期普光106-2H侧钻井产气经复建后的P106集气站的加热炉加热、节流计量后依托原有已建管线外输至天然气净化厂。</w:t>
      </w:r>
      <w:r>
        <w:rPr>
          <w:rFonts w:hint="default" w:ascii="Times New Roman" w:hAnsi="Times New Roman" w:cs="Times New Roman"/>
          <w:bCs/>
          <w:color w:val="000000" w:themeColor="text1"/>
          <w:szCs w:val="24"/>
          <w:highlight w:val="none"/>
          <w14:textFill>
            <w14:solidFill>
              <w14:schemeClr w14:val="tx1"/>
            </w14:solidFill>
          </w14:textFill>
        </w:rPr>
        <w:t>集气站复建在原集气站所在位置上建设，工艺设备简单，</w:t>
      </w:r>
      <w:r>
        <w:rPr>
          <w:rFonts w:hint="default" w:ascii="Times New Roman" w:hAnsi="Times New Roman" w:cs="Times New Roman"/>
          <w:color w:val="000000" w:themeColor="text1"/>
          <w:highlight w:val="none"/>
          <w14:textFill>
            <w14:solidFill>
              <w14:schemeClr w14:val="tx1"/>
            </w14:solidFill>
          </w14:textFill>
        </w:rPr>
        <w:t>本次地面工程内容主要为拆除井口 BDV 流程，其他拆除流程均原位置复建，</w:t>
      </w:r>
      <w:r>
        <w:rPr>
          <w:rFonts w:hint="eastAsia" w:cs="Times New Roman"/>
          <w:color w:val="000000" w:themeColor="text1"/>
          <w:highlight w:val="none"/>
          <w:lang w:eastAsia="zh-CN"/>
          <w14:textFill>
            <w14:solidFill>
              <w14:schemeClr w14:val="tx1"/>
            </w14:solidFill>
          </w14:textFill>
        </w:rPr>
        <w:t>同时新建临时分酸分离器、移动式乙二醇加注撬车1套</w:t>
      </w:r>
      <w:r>
        <w:rPr>
          <w:rFonts w:hint="default" w:ascii="Times New Roman" w:hAnsi="Times New Roman" w:cs="Times New Roman"/>
          <w:color w:val="000000" w:themeColor="text1"/>
          <w:highlight w:val="none"/>
          <w14:textFill>
            <w14:solidFill>
              <w14:schemeClr w14:val="tx1"/>
            </w14:solidFill>
          </w14:textFill>
        </w:rPr>
        <w:t>，配套站控室、围墙、大门等设施均依托原P106集气站站内已建设施，不改变原 P106 集气站性质，复建后流程与拆除前基本一致。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本项目地面工程量较小，施工期较短，其污染物产生量较少，对环境的影响较小。</w:t>
      </w:r>
    </w:p>
    <w:p>
      <w:pPr>
        <w:pStyle w:val="21"/>
        <w:spacing w:before="0"/>
        <w:ind w:left="0" w:firstLine="482"/>
        <w:jc w:val="both"/>
        <w:rPr>
          <w:rFonts w:hint="default" w:ascii="Times New Roman" w:hAnsi="Times New Roman" w:cs="Times New Roman"/>
          <w:b/>
          <w:bCs/>
          <w:color w:val="000000" w:themeColor="text1"/>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（1）生态环境</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由于站场施工工作全部在钻井井场内完成，占地均位于原占地范围内，生态影响主要为部分设备基础建设造成施工区域土地裸露，在雨季极易产生径流，加重土壤侵蚀程度，造成水土流失。本项目在设备安装完毕后及时进行场站内道路硬化和绿化，减少场站施工区水土流失。</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（2）废气</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施工期废气主要为施工机具作业时产生的尾气，基础开挖、场地平整及物料装卸等施工过程产生的粉尘，车辆运输产生的二次扬尘等，产生量较少，通过自然扩散后对环境影响较小。</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（3）废水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废水主要施工废水</w:t>
      </w:r>
      <w:r>
        <w:rPr>
          <w:rFonts w:hint="default" w:ascii="Times New Roman" w:hAnsi="Times New Roman" w:cs="Times New Roman"/>
          <w:bCs/>
          <w:color w:val="000000" w:themeColor="text1"/>
          <w:szCs w:val="24"/>
          <w:highlight w:val="none"/>
          <w14:textFill>
            <w14:solidFill>
              <w14:schemeClr w14:val="tx1"/>
            </w14:solidFill>
          </w14:textFill>
        </w:rPr>
        <w:t>（主要污染物为SS）</w:t>
      </w:r>
      <w:r>
        <w:rPr>
          <w:rFonts w:hint="default" w:ascii="Times New Roman" w:hAnsi="Times New Roman" w:cs="Times New Roman"/>
          <w:color w:val="000000" w:themeColor="text1"/>
          <w:szCs w:val="24"/>
          <w:highlight w:val="none"/>
          <w14:textFill>
            <w14:solidFill>
              <w14:schemeClr w14:val="tx1"/>
            </w14:solidFill>
          </w14:textFill>
        </w:rPr>
        <w:t>以及施工人员的生活污水（主要污染物为</w:t>
      </w:r>
      <w:r>
        <w:rPr>
          <w:rFonts w:hint="default" w:ascii="Times New Roman" w:hAnsi="Times New Roman" w:cs="Times New Roman"/>
          <w:bCs/>
          <w:color w:val="000000" w:themeColor="text1"/>
          <w:szCs w:val="24"/>
          <w:highlight w:val="none"/>
          <w14:textFill>
            <w14:solidFill>
              <w14:schemeClr w14:val="tx1"/>
            </w14:solidFill>
          </w14:textFill>
        </w:rPr>
        <w:t>COD、SS和NH</w:t>
      </w:r>
      <w:r>
        <w:rPr>
          <w:rFonts w:hint="default" w:ascii="Times New Roman" w:hAnsi="Times New Roman" w:cs="Times New Roman"/>
          <w:bCs/>
          <w:color w:val="000000" w:themeColor="text1"/>
          <w:szCs w:val="24"/>
          <w:highlight w:val="none"/>
          <w:vertAlign w:val="sub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-N等</w:t>
      </w:r>
      <w:r>
        <w:rPr>
          <w:rFonts w:hint="default" w:ascii="Times New Roman" w:hAnsi="Times New Roman" w:cs="Times New Roman"/>
          <w:color w:val="000000" w:themeColor="text1"/>
          <w:szCs w:val="24"/>
          <w:highlight w:val="none"/>
          <w14:textFill>
            <w14:solidFill>
              <w14:schemeClr w14:val="tx1"/>
            </w14:solidFill>
          </w14:textFill>
        </w:rPr>
        <w:t>）。生活污水经生态厕所收集后</w:t>
      </w:r>
      <w:r>
        <w:rPr>
          <w:rFonts w:hint="default" w:ascii="Times New Roman" w:hAnsi="Times New Roman" w:cs="Times New Roman"/>
          <w:color w:val="000000" w:themeColor="text1"/>
          <w:szCs w:val="24"/>
          <w:highlight w:val="none"/>
          <w:lang w:val="en-US" w:eastAsia="zh-CN"/>
          <w14:textFill>
            <w14:solidFill>
              <w14:schemeClr w14:val="tx1"/>
            </w14:solidFill>
          </w14:textFill>
        </w:rPr>
        <w:t>定期由密闭罐车</w:t>
      </w:r>
      <w:r>
        <w:rPr>
          <w:rFonts w:hint="default" w:ascii="Times New Roman" w:hAnsi="Times New Roman" w:cs="Times New Roman"/>
          <w:color w:val="000000" w:themeColor="text1"/>
          <w:szCs w:val="24"/>
          <w:highlight w:val="none"/>
          <w14:textFill>
            <w14:solidFill>
              <w14:schemeClr w14:val="tx1"/>
            </w14:solidFill>
          </w14:textFill>
        </w:rPr>
        <w:t>拉运至周边生活污水处理厂处理；少量生产废水在施工现场设置沉淀池，施工废水经隔油沉淀处理后回用于洒水降尘，不外排。</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（4）噪声</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站场建设的噪声主要是推土机、电焊机、载重汽车等运行中产生的，工程量小、时间短，噪声源强小，夜间不施工，对环境影响小。项目集输管道工程管材的运输、管沟开挖等施工过程中，因使用各种机械工具和车辆而产生噪声污染，其排放强度根据装卸、运输的车辆和工具的型号不同有所不同，具有间断性和暂时性。由于管道工程量小、时间短，噪声源强小，夜间不施工，对环境影响小</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（5）固废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4"/>
          <w:highlight w:val="none"/>
          <w:lang w:val="en-US" w:eastAsia="zh-CN"/>
          <w14:textFill>
            <w14:solidFill>
              <w14:schemeClr w14:val="tx1"/>
            </w14:solidFill>
          </w14:textFill>
        </w:rPr>
        <w:t>油气集输工程在进行井口流程和集气站复建时</w:t>
      </w:r>
      <w:r>
        <w:rPr>
          <w:rFonts w:hint="default" w:ascii="Times New Roman" w:hAnsi="Times New Roman" w:cs="Times New Roman"/>
          <w:color w:val="000000" w:themeColor="text1"/>
          <w:szCs w:val="24"/>
          <w:highlight w:val="none"/>
          <w14:textFill>
            <w14:solidFill>
              <w14:schemeClr w14:val="tx1"/>
            </w14:solidFill>
          </w14:textFill>
        </w:rPr>
        <w:t>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p>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4、施工期</w:t>
      </w:r>
      <w:r>
        <w:rPr>
          <w:rFonts w:hint="default" w:ascii="Times New Roman" w:hAnsi="Times New Roman" w:cs="Times New Roman"/>
          <w:b/>
          <w:bCs/>
          <w:color w:val="000000" w:themeColor="text1"/>
          <w:szCs w:val="24"/>
          <w:highlight w:val="none"/>
          <w14:textFill>
            <w14:solidFill>
              <w14:schemeClr w14:val="tx1"/>
            </w14:solidFill>
          </w14:textFill>
        </w:rPr>
        <w:t>“</w:t>
      </w:r>
      <w:r>
        <w:rPr>
          <w:rFonts w:hint="default" w:ascii="Times New Roman" w:hAnsi="Times New Roman" w:eastAsia="黑体" w:cs="Times New Roman"/>
          <w:color w:val="000000" w:themeColor="text1"/>
          <w:szCs w:val="24"/>
          <w:highlight w:val="none"/>
          <w14:textFill>
            <w14:solidFill>
              <w14:schemeClr w14:val="tx1"/>
            </w14:solidFill>
          </w14:textFill>
        </w:rPr>
        <w:t>三废</w:t>
      </w:r>
      <w:r>
        <w:rPr>
          <w:rFonts w:hint="default" w:ascii="Times New Roman" w:hAnsi="Times New Roman" w:cs="Times New Roman"/>
          <w:b/>
          <w:bCs/>
          <w:color w:val="000000" w:themeColor="text1"/>
          <w:szCs w:val="24"/>
          <w:highlight w:val="none"/>
          <w14:textFill>
            <w14:solidFill>
              <w14:schemeClr w14:val="tx1"/>
            </w14:solidFill>
          </w14:textFill>
        </w:rPr>
        <w:t>”</w:t>
      </w:r>
      <w:r>
        <w:rPr>
          <w:rFonts w:hint="default" w:ascii="Times New Roman" w:hAnsi="Times New Roman" w:eastAsia="黑体" w:cs="Times New Roman"/>
          <w:color w:val="000000" w:themeColor="text1"/>
          <w:szCs w:val="24"/>
          <w:highlight w:val="none"/>
          <w14:textFill>
            <w14:solidFill>
              <w14:schemeClr w14:val="tx1"/>
            </w14:solidFill>
          </w14:textFill>
        </w:rPr>
        <w:t>汇总表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综上所</w:t>
      </w:r>
      <w:r>
        <w:rPr>
          <w:rFonts w:hint="default" w:ascii="Times New Roman" w:hAnsi="Times New Roman" w:cs="Times New Roman"/>
          <w:color w:val="000000" w:themeColor="text1"/>
          <w:highlight w:val="none"/>
          <w:lang w:eastAsia="zh-CN"/>
          <w14:textFill>
            <w14:solidFill>
              <w14:schemeClr w14:val="tx1"/>
            </w14:solidFill>
          </w14:textFill>
        </w:rPr>
        <w:t>述</w:t>
      </w:r>
      <w:r>
        <w:rPr>
          <w:rFonts w:hint="default" w:ascii="Times New Roman" w:hAnsi="Times New Roman" w:cs="Times New Roman"/>
          <w:color w:val="000000" w:themeColor="text1"/>
          <w:highlight w:val="none"/>
          <w14:textFill>
            <w14:solidFill>
              <w14:schemeClr w14:val="tx1"/>
            </w14:solidFill>
          </w14:textFill>
        </w:rPr>
        <w:t>，本项目施工期污染物产生量及排放状况与生态影响见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_Ref142593545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bookmarkStart w:id="167" w:name="_Ref142593545"/>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11</w:t>
      </w:r>
      <w:r>
        <w:rPr>
          <w:rFonts w:hint="default" w:ascii="Times New Roman" w:hAnsi="Times New Roman" w:cs="Times New Roman"/>
          <w:color w:val="000000" w:themeColor="text1"/>
          <w:highlight w:val="none"/>
          <w14:textFill>
            <w14:solidFill>
              <w14:schemeClr w14:val="tx1"/>
            </w14:solidFill>
          </w14:textFill>
        </w:rPr>
        <w:fldChar w:fldCharType="end"/>
      </w:r>
      <w:bookmarkEnd w:id="167"/>
      <w:r>
        <w:rPr>
          <w:rFonts w:hint="default" w:ascii="Times New Roman" w:hAnsi="Times New Roman" w:cs="Times New Roman"/>
          <w:color w:val="000000" w:themeColor="text1"/>
          <w:highlight w:val="none"/>
          <w14:textFill>
            <w14:solidFill>
              <w14:schemeClr w14:val="tx1"/>
            </w14:solidFill>
          </w14:textFill>
        </w:rPr>
        <w:t xml:space="preserve"> 本项目施工期正常工况下“三废”及生态影响汇总表</w:t>
      </w:r>
    </w:p>
    <w:tbl>
      <w:tblPr>
        <w:tblStyle w:val="52"/>
        <w:tblW w:w="50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11"/>
        <w:gridCol w:w="1286"/>
        <w:gridCol w:w="1958"/>
        <w:gridCol w:w="2528"/>
        <w:gridCol w:w="1466"/>
        <w:gridCol w:w="1508"/>
        <w:gridCol w:w="42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515" w:type="pct"/>
            <w:gridSpan w:val="3"/>
            <w:vAlign w:val="center"/>
          </w:tcPr>
          <w:p>
            <w:pPr>
              <w:pStyle w:val="295"/>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污染源</w:t>
            </w:r>
          </w:p>
        </w:tc>
        <w:tc>
          <w:tcPr>
            <w:tcW w:w="900" w:type="pct"/>
            <w:vAlign w:val="center"/>
          </w:tcPr>
          <w:p>
            <w:pPr>
              <w:pStyle w:val="295"/>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主要污染物</w:t>
            </w:r>
          </w:p>
        </w:tc>
        <w:tc>
          <w:tcPr>
            <w:tcW w:w="522" w:type="pct"/>
            <w:vAlign w:val="center"/>
          </w:tcPr>
          <w:p>
            <w:pPr>
              <w:pStyle w:val="295"/>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产生量</w:t>
            </w:r>
          </w:p>
        </w:tc>
        <w:tc>
          <w:tcPr>
            <w:tcW w:w="537" w:type="pct"/>
            <w:vAlign w:val="center"/>
          </w:tcPr>
          <w:p>
            <w:pPr>
              <w:pStyle w:val="295"/>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排放量</w:t>
            </w:r>
          </w:p>
        </w:tc>
        <w:tc>
          <w:tcPr>
            <w:tcW w:w="1525" w:type="pct"/>
            <w:vAlign w:val="center"/>
          </w:tcPr>
          <w:p>
            <w:pPr>
              <w:pStyle w:val="295"/>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restart"/>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废气</w:t>
            </w:r>
          </w:p>
        </w:tc>
        <w:tc>
          <w:tcPr>
            <w:tcW w:w="458" w:type="pct"/>
            <w:vMerge w:val="restar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钻前工程</w:t>
            </w: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施工扬尘</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TSP</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短期排放，定期洒水抑尘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施工机械和运输车辆尾气</w:t>
            </w:r>
          </w:p>
        </w:tc>
        <w:tc>
          <w:tcPr>
            <w:tcW w:w="900"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CO、NOx等</w:t>
            </w:r>
          </w:p>
        </w:tc>
        <w:tc>
          <w:tcPr>
            <w:tcW w:w="522"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537"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1525"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选用尾气排放达标机械车辆，加强保养维护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restar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钻井工程</w:t>
            </w:r>
          </w:p>
        </w:tc>
        <w:tc>
          <w:tcPr>
            <w:tcW w:w="696" w:type="pct"/>
            <w:vMerge w:val="restart"/>
            <w:vAlign w:val="center"/>
          </w:tcPr>
          <w:p>
            <w:pPr>
              <w:pStyle w:val="295"/>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备用柴油机/发电机废气</w:t>
            </w:r>
          </w:p>
        </w:tc>
        <w:tc>
          <w:tcPr>
            <w:tcW w:w="900"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NOx</w:t>
            </w:r>
          </w:p>
        </w:tc>
        <w:tc>
          <w:tcPr>
            <w:tcW w:w="1059" w:type="pct"/>
            <w:gridSpan w:val="2"/>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2.34kg/h</w:t>
            </w:r>
          </w:p>
        </w:tc>
        <w:tc>
          <w:tcPr>
            <w:tcW w:w="1525" w:type="pct"/>
            <w:vMerge w:val="restar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自带消烟除尘装置处理后6m高排气筒排放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Merge w:val="continue"/>
            <w:vAlign w:val="center"/>
          </w:tcPr>
          <w:p>
            <w:pPr>
              <w:pStyle w:val="295"/>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900"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p>
        </w:tc>
        <w:tc>
          <w:tcPr>
            <w:tcW w:w="1059" w:type="pct"/>
            <w:gridSpan w:val="2"/>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0.016kg/h</w:t>
            </w:r>
          </w:p>
        </w:tc>
        <w:tc>
          <w:tcPr>
            <w:tcW w:w="1525"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900"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1059" w:type="pct"/>
            <w:gridSpan w:val="2"/>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0.66kg/h</w:t>
            </w:r>
          </w:p>
        </w:tc>
        <w:tc>
          <w:tcPr>
            <w:tcW w:w="1525"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事故放喷废气</w:t>
            </w:r>
          </w:p>
        </w:tc>
        <w:tc>
          <w:tcPr>
            <w:tcW w:w="900"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NOx、CO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、颗粒物、SO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p>
        </w:tc>
        <w:tc>
          <w:tcPr>
            <w:tcW w:w="2584" w:type="pct"/>
            <w:gridSpan w:val="3"/>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少量，短期排放，点火燃烧处理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无组织挥发性废气</w:t>
            </w:r>
          </w:p>
        </w:tc>
        <w:tc>
          <w:tcPr>
            <w:tcW w:w="900"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无组织挥发性有机物</w:t>
            </w:r>
          </w:p>
        </w:tc>
        <w:tc>
          <w:tcPr>
            <w:tcW w:w="2584" w:type="pct"/>
            <w:gridSpan w:val="3"/>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少量，短期排放，自然扩散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restar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储层改造工程</w:t>
            </w: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压裂作业废气</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CO、NOx等</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选用尾气排放达标机械车辆，加强保养维护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测试放喷废气</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NOx、CO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、颗粒物、SO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p>
        </w:tc>
        <w:tc>
          <w:tcPr>
            <w:tcW w:w="2584" w:type="pct"/>
            <w:gridSpan w:val="3"/>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少量，短期排放，点火燃烧处理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61" w:hRule="atLeas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restar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油气集输工程（井口流程+集气站复建）</w:t>
            </w:r>
          </w:p>
        </w:tc>
        <w:tc>
          <w:tcPr>
            <w:tcW w:w="696"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施工扬尘</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TSP</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短期排放，定期洒水抑尘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施工机械和运输车辆尾气</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CO、NOx等</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选用尾气排放达标机械车辆，加强保养维护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restart"/>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w:t>
            </w:r>
          </w:p>
        </w:tc>
        <w:tc>
          <w:tcPr>
            <w:tcW w:w="458" w:type="pct"/>
            <w:vMerge w:val="restar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钻前工程</w:t>
            </w:r>
          </w:p>
        </w:tc>
        <w:tc>
          <w:tcPr>
            <w:tcW w:w="696" w:type="pc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施工废水</w:t>
            </w:r>
          </w:p>
        </w:tc>
        <w:tc>
          <w:tcPr>
            <w:tcW w:w="900" w:type="pc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SS和石油类</w:t>
            </w:r>
          </w:p>
        </w:tc>
        <w:tc>
          <w:tcPr>
            <w:tcW w:w="522"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537"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525"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经隔油池沉淀处理后回用于洒水降尘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49" w:hRule="atLeas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生活污水</w:t>
            </w:r>
          </w:p>
        </w:tc>
        <w:tc>
          <w:tcPr>
            <w:tcW w:w="900" w:type="pct"/>
            <w:vAlign w:val="center"/>
          </w:tcPr>
          <w:p>
            <w:pPr>
              <w:pStyle w:val="295"/>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COD、SS和NH</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bCs/>
                <w:color w:val="000000" w:themeColor="text1"/>
                <w:sz w:val="21"/>
                <w:szCs w:val="21"/>
                <w:highlight w:val="none"/>
                <w14:textFill>
                  <w14:solidFill>
                    <w14:schemeClr w14:val="tx1"/>
                  </w14:solidFill>
                </w14:textFill>
              </w:rPr>
              <w:t>-N等</w:t>
            </w:r>
          </w:p>
        </w:tc>
        <w:tc>
          <w:tcPr>
            <w:tcW w:w="522" w:type="pc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1.92m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/d</w:t>
            </w:r>
          </w:p>
        </w:tc>
        <w:tc>
          <w:tcPr>
            <w:tcW w:w="537" w:type="pc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利用农户已有的设施进行收集处置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restar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钻井工程</w:t>
            </w:r>
          </w:p>
        </w:tc>
        <w:tc>
          <w:tcPr>
            <w:tcW w:w="696" w:type="pc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钻井废水</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石油类、悬浮物、COD及氯化物等</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351.32m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537" w:type="pc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钻井废水经清洁化操作平台处理后回用于配制钻井液，剩余部分</w:t>
            </w:r>
            <w:r>
              <w:rPr>
                <w:rFonts w:hint="default" w:ascii="Times New Roman" w:hAnsi="Times New Roman" w:cs="Times New Roman"/>
                <w:color w:val="000000" w:themeColor="text1"/>
                <w:sz w:val="21"/>
                <w:szCs w:val="21"/>
                <w:highlight w:val="none"/>
                <w14:textFill>
                  <w14:solidFill>
                    <w14:schemeClr w14:val="tx1"/>
                  </w14:solidFill>
                </w14:textFill>
              </w:rPr>
              <w:t>由罐车拉运至赵家坝污水处理站达标后管输至普光11井回注站回注，不外排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生活污水</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COD、SS和NH</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bCs/>
                <w:color w:val="000000" w:themeColor="text1"/>
                <w:sz w:val="21"/>
                <w:szCs w:val="21"/>
                <w:highlight w:val="none"/>
                <w14:textFill>
                  <w14:solidFill>
                    <w14:schemeClr w14:val="tx1"/>
                  </w14:solidFill>
                </w14:textFill>
              </w:rPr>
              <w:t>-N等</w:t>
            </w:r>
          </w:p>
        </w:tc>
        <w:tc>
          <w:tcPr>
            <w:tcW w:w="522" w:type="pc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2.88m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/d</w:t>
            </w:r>
          </w:p>
        </w:tc>
        <w:tc>
          <w:tcPr>
            <w:tcW w:w="537"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525"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经生态厕所收集后定期由密闭罐车拉运至周边生活污水处理厂处理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初期雨水</w:t>
            </w:r>
          </w:p>
        </w:tc>
        <w:tc>
          <w:tcPr>
            <w:tcW w:w="900" w:type="pct"/>
            <w:vAlign w:val="center"/>
          </w:tcPr>
          <w:p>
            <w:pPr>
              <w:pStyle w:val="295"/>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石油类、悬浮物、COD等</w:t>
            </w:r>
          </w:p>
        </w:tc>
        <w:tc>
          <w:tcPr>
            <w:tcW w:w="522"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147.1</w:t>
            </w:r>
            <w:r>
              <w:rPr>
                <w:rFonts w:hint="default" w:ascii="Times New Roman" w:hAnsi="Times New Roman" w:cs="Times New Roman"/>
                <w:color w:val="000000" w:themeColor="text1"/>
                <w:sz w:val="21"/>
                <w:szCs w:val="21"/>
                <w:highlight w:val="none"/>
                <w14:textFill>
                  <w14:solidFill>
                    <w14:schemeClr w14:val="tx1"/>
                  </w14:solidFill>
                </w14:textFill>
              </w:rPr>
              <w:t>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/次</w:t>
            </w:r>
          </w:p>
        </w:tc>
        <w:tc>
          <w:tcPr>
            <w:tcW w:w="537"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525" w:type="pct"/>
            <w:vAlign w:val="center"/>
          </w:tcPr>
          <w:p>
            <w:pPr>
              <w:pStyle w:val="295"/>
              <w:rPr>
                <w:rFonts w:hint="default" w:ascii="Times New Roman" w:hAnsi="Times New Roman" w:eastAsia="宋体" w:cs="Times New Roman"/>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初期雨水同钻井废水一并经不落地装置处理后大部分回用于配制钻井液，剩余不能回用部分暂存于清洁生产操作平台的废水罐内，定期装车拉运至赵家坝污水处理站处理达标后经普光11井回注站回注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747" w:hRule="atLeas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restar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储层改造工程</w:t>
            </w: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洗井废水</w:t>
            </w:r>
          </w:p>
        </w:tc>
        <w:tc>
          <w:tcPr>
            <w:tcW w:w="900" w:type="pct"/>
            <w:vMerge w:val="restar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石油类、悬浮物、COD</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挥发酚、氯离子</w:t>
            </w:r>
            <w:r>
              <w:rPr>
                <w:rFonts w:hint="default" w:ascii="Times New Roman" w:hAnsi="Times New Roman" w:cs="Times New Roman"/>
                <w:color w:val="000000" w:themeColor="text1"/>
                <w:sz w:val="21"/>
                <w:szCs w:val="21"/>
                <w:highlight w:val="none"/>
                <w14:textFill>
                  <w14:solidFill>
                    <w14:schemeClr w14:val="tx1"/>
                  </w14:solidFill>
                </w14:textFill>
              </w:rPr>
              <w:t>等</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525" w:type="pct"/>
            <w:vMerge w:val="restar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由放喷池、压裂液储罐收集后，</w:t>
            </w:r>
            <w:r>
              <w:rPr>
                <w:rFonts w:hint="default" w:ascii="Times New Roman" w:hAnsi="Times New Roman" w:cs="Times New Roman"/>
                <w:color w:val="000000" w:themeColor="text1"/>
                <w:sz w:val="21"/>
                <w:szCs w:val="21"/>
                <w:highlight w:val="none"/>
                <w:lang w:eastAsia="zh-CN"/>
                <w14:textFill>
                  <w14:solidFill>
                    <w14:schemeClr w14:val="tx1"/>
                  </w14:solidFill>
                </w14:textFill>
              </w:rPr>
              <w:t>优先回用于周边其他井场压裂液配置</w:t>
            </w:r>
            <w:r>
              <w:rPr>
                <w:rFonts w:hint="default" w:ascii="Times New Roman" w:hAnsi="Times New Roman" w:cs="Times New Roman"/>
                <w:color w:val="000000" w:themeColor="text1"/>
                <w:sz w:val="21"/>
                <w:szCs w:val="21"/>
                <w:highlight w:val="none"/>
                <w14:textFill>
                  <w14:solidFill>
                    <w14:schemeClr w14:val="tx1"/>
                  </w14:solidFill>
                </w14:textFill>
              </w:rPr>
              <w:t>，不能回用的用罐车拉运至赵家坝污水处理站处理达标后经普光11井回注站回注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压裂返排液</w:t>
            </w:r>
          </w:p>
        </w:tc>
        <w:tc>
          <w:tcPr>
            <w:tcW w:w="900"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588m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525"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696" w:type="pc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生活污水</w:t>
            </w:r>
          </w:p>
        </w:tc>
        <w:tc>
          <w:tcPr>
            <w:tcW w:w="900"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COD、SS和NH</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bCs/>
                <w:color w:val="000000" w:themeColor="text1"/>
                <w:sz w:val="21"/>
                <w:szCs w:val="21"/>
                <w:highlight w:val="none"/>
                <w14:textFill>
                  <w14:solidFill>
                    <w14:schemeClr w14:val="tx1"/>
                  </w14:solidFill>
                </w14:textFill>
              </w:rPr>
              <w:t>-N等</w:t>
            </w:r>
          </w:p>
        </w:tc>
        <w:tc>
          <w:tcPr>
            <w:tcW w:w="522"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2.56m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/d</w:t>
            </w:r>
          </w:p>
        </w:tc>
        <w:tc>
          <w:tcPr>
            <w:tcW w:w="537"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525"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经生态厕所收集后定期由密闭罐车拉运至周边生活污水处理厂处理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56" w:hRule="atLeas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油气集输工程（井口流程+集气站复建）</w:t>
            </w:r>
          </w:p>
        </w:tc>
        <w:tc>
          <w:tcPr>
            <w:tcW w:w="696"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生活污水</w:t>
            </w:r>
          </w:p>
        </w:tc>
        <w:tc>
          <w:tcPr>
            <w:tcW w:w="900" w:type="pct"/>
            <w:vAlign w:val="center"/>
          </w:tcPr>
          <w:p>
            <w:pPr>
              <w:pStyle w:val="295"/>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COD、SS和NH</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bCs/>
                <w:color w:val="000000" w:themeColor="text1"/>
                <w:sz w:val="21"/>
                <w:szCs w:val="21"/>
                <w:highlight w:val="none"/>
                <w14:textFill>
                  <w14:solidFill>
                    <w14:schemeClr w14:val="tx1"/>
                  </w14:solidFill>
                </w14:textFill>
              </w:rPr>
              <w:t>-N等</w:t>
            </w:r>
          </w:p>
        </w:tc>
        <w:tc>
          <w:tcPr>
            <w:tcW w:w="522"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少量</w:t>
            </w:r>
          </w:p>
        </w:tc>
        <w:tc>
          <w:tcPr>
            <w:tcW w:w="537"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525" w:type="pct"/>
            <w:vAlign w:val="center"/>
          </w:tcPr>
          <w:p>
            <w:pPr>
              <w:pStyle w:val="295"/>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经生态厕所收集后定期由密闭罐车拉运至周边生活污水处理厂处理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restart"/>
            <w:tcMar>
              <w:left w:w="0" w:type="dxa"/>
              <w:right w:w="0" w:type="dxa"/>
            </w:tcMar>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噪声</w:t>
            </w:r>
          </w:p>
        </w:tc>
        <w:tc>
          <w:tcPr>
            <w:tcW w:w="458" w:type="pc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钻前工程</w:t>
            </w:r>
          </w:p>
        </w:tc>
        <w:tc>
          <w:tcPr>
            <w:tcW w:w="696" w:type="pc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钻前工程施工</w:t>
            </w:r>
            <w:r>
              <w:rPr>
                <w:rFonts w:hint="default" w:ascii="Times New Roman" w:hAnsi="Times New Roman" w:cs="Times New Roman"/>
                <w:color w:val="000000" w:themeColor="text1"/>
                <w:szCs w:val="24"/>
                <w:highlight w:val="none"/>
                <w:lang w:val="en-US" w:eastAsia="zh-CN"/>
                <w14:textFill>
                  <w14:solidFill>
                    <w14:schemeClr w14:val="tx1"/>
                  </w14:solidFill>
                </w14:textFill>
              </w:rPr>
              <w:t>噪声</w:t>
            </w:r>
          </w:p>
        </w:tc>
        <w:tc>
          <w:tcPr>
            <w:tcW w:w="1959" w:type="pct"/>
            <w:gridSpan w:val="3"/>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82~101dB（A）</w:t>
            </w:r>
          </w:p>
        </w:tc>
        <w:tc>
          <w:tcPr>
            <w:tcW w:w="1525" w:type="pct"/>
            <w:vAlign w:val="center"/>
          </w:tcPr>
          <w:p>
            <w:pPr>
              <w:pStyle w:val="295"/>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选用低噪声设备、加强维护保养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restar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钻井工程</w:t>
            </w:r>
          </w:p>
        </w:tc>
        <w:tc>
          <w:tcPr>
            <w:tcW w:w="696"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钻井设备噪声</w:t>
            </w:r>
          </w:p>
        </w:tc>
        <w:tc>
          <w:tcPr>
            <w:tcW w:w="1959" w:type="pct"/>
            <w:gridSpan w:val="3"/>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75~103dB（A）</w:t>
            </w:r>
          </w:p>
        </w:tc>
        <w:tc>
          <w:tcPr>
            <w:tcW w:w="1525"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选用低噪声设备、加强维护保养，置于钻井井场内，基础安装减振垫层，柴油发电机设置于室内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696"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事故放喷噪声</w:t>
            </w:r>
          </w:p>
        </w:tc>
        <w:tc>
          <w:tcPr>
            <w:tcW w:w="1959" w:type="pct"/>
            <w:gridSpan w:val="3"/>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110dB（A）</w:t>
            </w:r>
          </w:p>
        </w:tc>
        <w:tc>
          <w:tcPr>
            <w:tcW w:w="1525"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 xml:space="preserve">仅事故情况下产生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restar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储层改造工程</w:t>
            </w:r>
          </w:p>
        </w:tc>
        <w:tc>
          <w:tcPr>
            <w:tcW w:w="696"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压裂作业设备</w:t>
            </w:r>
          </w:p>
        </w:tc>
        <w:tc>
          <w:tcPr>
            <w:tcW w:w="1959" w:type="pct"/>
            <w:gridSpan w:val="3"/>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95～100</w:t>
            </w:r>
            <w:r>
              <w:rPr>
                <w:rFonts w:hint="default" w:ascii="Times New Roman" w:hAnsi="Times New Roman" w:cs="Times New Roman"/>
                <w:color w:val="000000" w:themeColor="text1"/>
                <w:sz w:val="21"/>
                <w:szCs w:val="21"/>
                <w:highlight w:val="none"/>
                <w14:textFill>
                  <w14:solidFill>
                    <w14:schemeClr w14:val="tx1"/>
                  </w14:solidFill>
                </w14:textFill>
              </w:rPr>
              <w:t>dB（A）</w:t>
            </w:r>
          </w:p>
        </w:tc>
        <w:tc>
          <w:tcPr>
            <w:tcW w:w="1525" w:type="pct"/>
            <w:vAlign w:val="center"/>
          </w:tcPr>
          <w:p>
            <w:pPr>
              <w:pStyle w:val="295"/>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选用低噪声设备、加强维护保养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696"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测试放喷噪声</w:t>
            </w:r>
          </w:p>
        </w:tc>
        <w:tc>
          <w:tcPr>
            <w:tcW w:w="1959" w:type="pct"/>
            <w:gridSpan w:val="3"/>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110dB（A）</w:t>
            </w:r>
          </w:p>
        </w:tc>
        <w:tc>
          <w:tcPr>
            <w:tcW w:w="1525" w:type="pct"/>
            <w:vAlign w:val="center"/>
          </w:tcPr>
          <w:p>
            <w:pPr>
              <w:pStyle w:val="295"/>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仅</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测试放喷</w:t>
            </w:r>
            <w:r>
              <w:rPr>
                <w:rFonts w:hint="default" w:ascii="Times New Roman" w:hAnsi="Times New Roman" w:cs="Times New Roman"/>
                <w:color w:val="000000" w:themeColor="text1"/>
                <w:sz w:val="21"/>
                <w:szCs w:val="21"/>
                <w:highlight w:val="none"/>
                <w14:textFill>
                  <w14:solidFill>
                    <w14:schemeClr w14:val="tx1"/>
                  </w14:solidFill>
                </w14:textFill>
              </w:rPr>
              <w:t>情况下产生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Align w:val="center"/>
          </w:tcPr>
          <w:p>
            <w:pPr>
              <w:pStyle w:val="21"/>
              <w:keepNext w:val="0"/>
              <w:keepLines w:val="0"/>
              <w:pageBreakBefore w:val="0"/>
              <w:widowControl/>
              <w:kinsoku/>
              <w:wordWrap/>
              <w:overflowPunct/>
              <w:topLinePunct w:val="0"/>
              <w:autoSpaceDE/>
              <w:autoSpaceDN/>
              <w:bidi w:val="0"/>
              <w:adjustRightInd w:val="0"/>
              <w:snapToGrid w:val="0"/>
              <w:spacing w:before="0" w:line="240" w:lineRule="auto"/>
              <w:ind w:left="0" w:leftChars="0" w:firstLine="0" w:firstLineChars="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油气集输工程（井口流程+集气站复建）</w:t>
            </w:r>
          </w:p>
        </w:tc>
        <w:tc>
          <w:tcPr>
            <w:tcW w:w="696" w:type="pct"/>
            <w:vAlign w:val="center"/>
          </w:tcPr>
          <w:p>
            <w:pPr>
              <w:pStyle w:val="295"/>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施工</w:t>
            </w:r>
            <w:r>
              <w:rPr>
                <w:rFonts w:hint="default" w:ascii="Times New Roman" w:hAnsi="Times New Roman" w:cs="Times New Roman"/>
                <w:color w:val="000000" w:themeColor="text1"/>
                <w:szCs w:val="24"/>
                <w:highlight w:val="none"/>
                <w:lang w:val="en-US" w:eastAsia="zh-CN"/>
                <w14:textFill>
                  <w14:solidFill>
                    <w14:schemeClr w14:val="tx1"/>
                  </w14:solidFill>
                </w14:textFill>
              </w:rPr>
              <w:t>噪声</w:t>
            </w:r>
          </w:p>
        </w:tc>
        <w:tc>
          <w:tcPr>
            <w:tcW w:w="1959" w:type="pct"/>
            <w:gridSpan w:val="3"/>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82~101dB（A）</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选用低噪声设备、加强维护保养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restart"/>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固废</w:t>
            </w:r>
          </w:p>
        </w:tc>
        <w:tc>
          <w:tcPr>
            <w:tcW w:w="458" w:type="pct"/>
            <w:vMerge w:val="restart"/>
            <w:vAlign w:val="center"/>
          </w:tcPr>
          <w:p>
            <w:pPr>
              <w:pStyle w:val="21"/>
              <w:keepNext w:val="0"/>
              <w:keepLines w:val="0"/>
              <w:pageBreakBefore w:val="0"/>
              <w:widowControl/>
              <w:kinsoku/>
              <w:wordWrap/>
              <w:overflowPunct/>
              <w:topLinePunct w:val="0"/>
              <w:autoSpaceDE/>
              <w:autoSpaceDN/>
              <w:bidi w:val="0"/>
              <w:adjustRightInd w:val="0"/>
              <w:snapToGrid w:val="0"/>
              <w:spacing w:before="0" w:line="240" w:lineRule="auto"/>
              <w:ind w:left="0" w:leftChars="0" w:firstLine="0" w:firstLineChars="0"/>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钻前工程</w:t>
            </w:r>
          </w:p>
        </w:tc>
        <w:tc>
          <w:tcPr>
            <w:tcW w:w="696" w:type="pct"/>
            <w:vAlign w:val="center"/>
          </w:tcPr>
          <w:p>
            <w:pPr>
              <w:pStyle w:val="295"/>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基础开挖土石方</w:t>
            </w:r>
          </w:p>
        </w:tc>
        <w:tc>
          <w:tcPr>
            <w:tcW w:w="1959" w:type="pct"/>
            <w:gridSpan w:val="3"/>
            <w:vAlign w:val="center"/>
          </w:tcPr>
          <w:p>
            <w:pPr>
              <w:pStyle w:val="295"/>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约1100m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p>
        </w:tc>
        <w:tc>
          <w:tcPr>
            <w:tcW w:w="1525" w:type="pct"/>
            <w:vAlign w:val="center"/>
          </w:tcPr>
          <w:p>
            <w:pPr>
              <w:pStyle w:val="295"/>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集中堆放至井场东侧的表土堆场，表土用于后期生态恢复，综合利用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1"/>
              <w:keepNext w:val="0"/>
              <w:keepLines w:val="0"/>
              <w:pageBreakBefore w:val="0"/>
              <w:widowControl/>
              <w:kinsoku/>
              <w:wordWrap/>
              <w:overflowPunct/>
              <w:topLinePunct w:val="0"/>
              <w:autoSpaceDE/>
              <w:autoSpaceDN/>
              <w:bidi w:val="0"/>
              <w:adjustRightInd w:val="0"/>
              <w:snapToGrid w:val="0"/>
              <w:spacing w:before="0" w:line="240" w:lineRule="auto"/>
              <w:ind w:left="0" w:leftChars="0" w:firstLine="0" w:firstLineChars="0"/>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Align w:val="center"/>
          </w:tcPr>
          <w:p>
            <w:pPr>
              <w:pStyle w:val="295"/>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建筑垃圾</w:t>
            </w:r>
          </w:p>
        </w:tc>
        <w:tc>
          <w:tcPr>
            <w:tcW w:w="1959" w:type="pct"/>
            <w:gridSpan w:val="3"/>
            <w:vAlign w:val="center"/>
          </w:tcPr>
          <w:p>
            <w:pPr>
              <w:pStyle w:val="295"/>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少量</w:t>
            </w:r>
          </w:p>
        </w:tc>
        <w:tc>
          <w:tcPr>
            <w:tcW w:w="1525" w:type="pct"/>
            <w:vAlign w:val="center"/>
          </w:tcPr>
          <w:p>
            <w:pPr>
              <w:pStyle w:val="295"/>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由施工队伍统一收集清运至政府指定地方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1"/>
              <w:keepNext w:val="0"/>
              <w:keepLines w:val="0"/>
              <w:pageBreakBefore w:val="0"/>
              <w:widowControl/>
              <w:kinsoku/>
              <w:wordWrap/>
              <w:overflowPunct/>
              <w:topLinePunct w:val="0"/>
              <w:autoSpaceDE/>
              <w:autoSpaceDN/>
              <w:bidi w:val="0"/>
              <w:adjustRightInd w:val="0"/>
              <w:snapToGrid w:val="0"/>
              <w:spacing w:before="0" w:line="240" w:lineRule="auto"/>
              <w:ind w:left="0" w:leftChars="0" w:firstLine="0" w:firstLineChars="0"/>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Align w:val="center"/>
          </w:tcPr>
          <w:p>
            <w:pPr>
              <w:pStyle w:val="295"/>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生活垃圾</w:t>
            </w:r>
          </w:p>
        </w:tc>
        <w:tc>
          <w:tcPr>
            <w:tcW w:w="3484" w:type="pct"/>
            <w:gridSpan w:val="4"/>
            <w:vAlign w:val="center"/>
          </w:tcPr>
          <w:p>
            <w:pPr>
              <w:pStyle w:val="295"/>
              <w:keepNext w:val="0"/>
              <w:keepLines w:val="0"/>
              <w:pageBreakBefore w:val="0"/>
              <w:widowControl/>
              <w:kinsoku/>
              <w:wordWrap/>
              <w:overflowPunct/>
              <w:topLinePunct w:val="0"/>
              <w:autoSpaceDE/>
              <w:autoSpaceDN/>
              <w:bidi w:val="0"/>
              <w:adjustRightInd w:val="0"/>
              <w:snapToGrid w:val="0"/>
              <w:spacing w:line="240" w:lineRule="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施工人员多为当地民工，租住在附近农户，无集中生活垃圾产生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819" w:hRule="atLeas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restar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钻井工程</w:t>
            </w: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水基钻井固废</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废水基泥浆、岩屑</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609.62t</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经泥浆不落地工艺进行固液分离后暂存于固废临时堆放区，定期用密闭罐车就近交给依法取得生态环境部门关于利用和处置相关工业固体废物项目环评批复、具有处理处置相应固体废物能力并配套建设有废气、废水、固废等污染物治理设施的单位进行资源化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油基钻井固废</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废油基泥浆、油基岩屑</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320.17m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如遇特殊地层，油基钻井废泥浆、岩屑暂存于新建的60m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危险废物暂存场所（采取必要的防风、防晒、防雨、防漏、防渗、防腐以及其他环境污染防治措施，不得露天堆放危险废物），泥浆和油基钻井岩屑</w:t>
            </w:r>
            <w:r>
              <w:rPr>
                <w:rFonts w:hint="default" w:ascii="Times New Roman" w:hAnsi="Times New Roman" w:cs="Times New Roman"/>
                <w:color w:val="000000" w:themeColor="text1"/>
                <w:sz w:val="21"/>
                <w:szCs w:val="21"/>
                <w:highlight w:val="none"/>
                <w:lang w:eastAsia="zh-CN"/>
                <w14:textFill>
                  <w14:solidFill>
                    <w14:schemeClr w14:val="tx1"/>
                  </w14:solidFill>
                </w14:textFill>
              </w:rPr>
              <w:t>及时</w:t>
            </w:r>
            <w:r>
              <w:rPr>
                <w:rFonts w:hint="default" w:ascii="Times New Roman" w:hAnsi="Times New Roman" w:cs="Times New Roman"/>
                <w:color w:val="000000" w:themeColor="text1"/>
                <w:sz w:val="21"/>
                <w:szCs w:val="21"/>
                <w:highlight w:val="none"/>
                <w14:textFill>
                  <w14:solidFill>
                    <w14:schemeClr w14:val="tx1"/>
                  </w14:solidFill>
                </w14:textFill>
              </w:rPr>
              <w:t>交由有资质的单位处置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废油</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润滑油等</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0.7m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设置废油桶集中收集暂存于泥浆不落地装置区临时堆放区内，钻井队综合利用或交由有资质的单位处理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废包装材料</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包装袋等</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2.0t</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集中收集后部分回用，剩余的送当地废品回收站处理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生活垃圾</w:t>
            </w:r>
          </w:p>
        </w:tc>
        <w:tc>
          <w:tcPr>
            <w:tcW w:w="900"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生活垃圾</w:t>
            </w:r>
          </w:p>
        </w:tc>
        <w:tc>
          <w:tcPr>
            <w:tcW w:w="522"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22.5kg/d</w:t>
            </w:r>
          </w:p>
        </w:tc>
        <w:tc>
          <w:tcPr>
            <w:tcW w:w="537"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集中收集，交由当地环卫部门处置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restart"/>
            <w:vAlign w:val="center"/>
          </w:tcPr>
          <w:p>
            <w:pPr>
              <w:pStyle w:val="295"/>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储层改造工程</w:t>
            </w: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生活垃圾</w:t>
            </w:r>
          </w:p>
        </w:tc>
        <w:tc>
          <w:tcPr>
            <w:tcW w:w="900"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生活垃圾</w:t>
            </w:r>
          </w:p>
        </w:tc>
        <w:tc>
          <w:tcPr>
            <w:tcW w:w="522"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0.0</w:t>
            </w:r>
            <w:r>
              <w:rPr>
                <w:rFonts w:hint="default" w:ascii="Times New Roman" w:hAnsi="Times New Roman" w:cs="Times New Roman"/>
                <w:color w:val="000000" w:themeColor="text1"/>
                <w:sz w:val="21"/>
                <w:szCs w:val="21"/>
                <w:highlight w:val="none"/>
                <w14:textFill>
                  <w14:solidFill>
                    <w14:schemeClr w14:val="tx1"/>
                  </w14:solidFill>
                </w14:textFill>
              </w:rPr>
              <w:t>kg/d</w:t>
            </w:r>
          </w:p>
        </w:tc>
        <w:tc>
          <w:tcPr>
            <w:tcW w:w="537"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1525"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集中收集，交由当地环卫部门处置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Merge w:val="continue"/>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完井搬迁建筑垃圾</w:t>
            </w:r>
          </w:p>
        </w:tc>
        <w:tc>
          <w:tcPr>
            <w:tcW w:w="900"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包装袋，废弃建筑施工材料</w:t>
            </w:r>
          </w:p>
        </w:tc>
        <w:tc>
          <w:tcPr>
            <w:tcW w:w="522"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537"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525"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施工队伍统一收集清运至政府指定地方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vMerge w:val="continue"/>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p>
        </w:tc>
        <w:tc>
          <w:tcPr>
            <w:tcW w:w="458" w:type="pct"/>
            <w:vAlign w:val="center"/>
          </w:tcPr>
          <w:p>
            <w:pPr>
              <w:pStyle w:val="295"/>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油气集输工程（井口流程+集气站复建）</w:t>
            </w:r>
          </w:p>
        </w:tc>
        <w:tc>
          <w:tcPr>
            <w:tcW w:w="696"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建筑垃圾</w:t>
            </w:r>
          </w:p>
        </w:tc>
        <w:tc>
          <w:tcPr>
            <w:tcW w:w="900"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包装袋，废弃建筑施工材料</w:t>
            </w:r>
          </w:p>
        </w:tc>
        <w:tc>
          <w:tcPr>
            <w:tcW w:w="522"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少量</w:t>
            </w:r>
          </w:p>
        </w:tc>
        <w:tc>
          <w:tcPr>
            <w:tcW w:w="537"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525" w:type="pct"/>
            <w:vAlign w:val="center"/>
          </w:tcPr>
          <w:p>
            <w:pPr>
              <w:pStyle w:val="295"/>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施工队伍统一收集清运至政府指定地方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生态</w:t>
            </w:r>
          </w:p>
        </w:tc>
        <w:tc>
          <w:tcPr>
            <w:tcW w:w="3113" w:type="pct"/>
            <w:gridSpan w:val="5"/>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新建生活营地、井场</w:t>
            </w:r>
            <w:r>
              <w:rPr>
                <w:rFonts w:hint="default" w:ascii="Times New Roman" w:hAnsi="Times New Roman" w:cs="Times New Roman"/>
                <w:color w:val="000000" w:themeColor="text1"/>
                <w:szCs w:val="24"/>
                <w:highlight w:val="none"/>
                <w14:textFill>
                  <w14:solidFill>
                    <w14:schemeClr w14:val="tx1"/>
                  </w14:solidFill>
                </w14:textFill>
              </w:rPr>
              <w:t>场地基础开挖、土石方回填</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构筑物建设等活动对土地的扰动作用</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进而</w:t>
            </w:r>
            <w:r>
              <w:rPr>
                <w:rFonts w:hint="default" w:ascii="Times New Roman" w:hAnsi="Times New Roman" w:cs="Times New Roman"/>
                <w:color w:val="000000" w:themeColor="text1"/>
                <w:szCs w:val="24"/>
                <w:highlight w:val="none"/>
                <w14:textFill>
                  <w14:solidFill>
                    <w14:schemeClr w14:val="tx1"/>
                  </w14:solidFill>
                </w14:textFill>
              </w:rPr>
              <w:t>改变土地利用性质、造成水土流失等</w:t>
            </w:r>
          </w:p>
        </w:tc>
        <w:tc>
          <w:tcPr>
            <w:tcW w:w="1525" w:type="pct"/>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施工</w:t>
            </w:r>
            <w:r>
              <w:rPr>
                <w:rFonts w:hint="default" w:ascii="Times New Roman" w:hAnsi="Times New Roman" w:cs="Times New Roman"/>
                <w:color w:val="000000" w:themeColor="text1"/>
                <w:sz w:val="21"/>
                <w:szCs w:val="21"/>
                <w:highlight w:val="none"/>
                <w:lang w:eastAsia="zh-CN"/>
                <w14:textFill>
                  <w14:solidFill>
                    <w14:schemeClr w14:val="tx1"/>
                  </w14:solidFill>
                </w14:textFill>
              </w:rPr>
              <w:t>完成</w:t>
            </w:r>
            <w:r>
              <w:rPr>
                <w:rFonts w:hint="default" w:ascii="Times New Roman" w:hAnsi="Times New Roman" w:cs="Times New Roman"/>
                <w:color w:val="000000" w:themeColor="text1"/>
                <w:sz w:val="21"/>
                <w:szCs w:val="21"/>
                <w:highlight w:val="none"/>
                <w14:textFill>
                  <w14:solidFill>
                    <w14:schemeClr w14:val="tx1"/>
                  </w14:solidFill>
                </w14:textFill>
              </w:rPr>
              <w:t>后，无后续使用需求的临时占地恢复原有使用功能，进行植被恢复工作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60" w:type="pct"/>
            <w:tcMar>
              <w:left w:w="0" w:type="dxa"/>
              <w:right w:w="0" w:type="dxa"/>
            </w:tcMar>
            <w:vAlign w:val="center"/>
          </w:tcPr>
          <w:p>
            <w:pPr>
              <w:pStyle w:val="295"/>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环境风险</w:t>
            </w:r>
          </w:p>
        </w:tc>
        <w:tc>
          <w:tcPr>
            <w:tcW w:w="4639" w:type="pct"/>
            <w:gridSpan w:val="6"/>
            <w:vAlign w:val="center"/>
          </w:tcPr>
          <w:p>
            <w:pPr>
              <w:pStyle w:val="295"/>
              <w:jc w:val="left"/>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钻井井喷失控或泄漏的天然气导致的火灾爆炸环境风险事故，以及泄漏天然气导致的环境风险事故；污染物渗漏污染地表土壤和浅层地下水；污染物外运处理中的运输风险等</w:t>
            </w:r>
          </w:p>
        </w:tc>
      </w:tr>
    </w:tbl>
    <w:p>
      <w:pPr>
        <w:pStyle w:val="4"/>
        <w:spacing w:before="0" w:beforeLines="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sectPr>
          <w:pgSz w:w="16840" w:h="11910" w:orient="landscape"/>
          <w:pgMar w:top="1803" w:right="1440" w:bottom="1803" w:left="1440" w:header="964" w:footer="964" w:gutter="0"/>
          <w:pgBorders>
            <w:top w:val="none" w:sz="0" w:space="0"/>
            <w:left w:val="none" w:sz="0" w:space="0"/>
            <w:bottom w:val="none" w:sz="0" w:space="0"/>
            <w:right w:val="none" w:sz="0" w:space="0"/>
          </w:pgBorders>
          <w:cols w:space="0" w:num="1"/>
          <w:rtlGutter w:val="0"/>
          <w:docGrid w:linePitch="326" w:charSpace="0"/>
        </w:sectPr>
      </w:pPr>
      <w:bookmarkStart w:id="168" w:name="3.4.2运营期污染源强分析"/>
      <w:bookmarkEnd w:id="168"/>
      <w:bookmarkStart w:id="169" w:name="_Toc120173113"/>
    </w:p>
    <w:p>
      <w:pPr>
        <w:pStyle w:val="4"/>
        <w:spacing w:before="0" w:beforeLines="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拟建项目</w:t>
      </w:r>
      <w:r>
        <w:rPr>
          <w:rFonts w:hint="default" w:ascii="Times New Roman" w:hAnsi="Times New Roman" w:cs="Times New Roman"/>
          <w:color w:val="000000" w:themeColor="text1"/>
          <w:highlight w:val="none"/>
          <w:lang w:eastAsia="zh-CN"/>
          <w14:textFill>
            <w14:solidFill>
              <w14:schemeClr w14:val="tx1"/>
            </w14:solidFill>
          </w14:textFill>
        </w:rPr>
        <w:t>试采期污染源强分析</w:t>
      </w:r>
      <w:bookmarkEnd w:id="169"/>
    </w:p>
    <w:p>
      <w:pPr>
        <w:pStyle w:val="5"/>
        <w:spacing w:before="0" w:beforeLines="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废气</w:t>
      </w:r>
    </w:p>
    <w:p>
      <w:pPr>
        <w:ind w:firstLine="480"/>
        <w:rPr>
          <w:rFonts w:hint="default" w:ascii="Times New Roman" w:hAnsi="Times New Roman" w:cs="Times New Roman"/>
          <w:bCs/>
          <w:color w:val="000000" w:themeColor="text1"/>
          <w:highlight w:val="none"/>
          <w14:textFill>
            <w14:solidFill>
              <w14:schemeClr w14:val="tx1"/>
            </w14:solidFill>
          </w14:textFill>
        </w:rPr>
      </w:pPr>
      <w:bookmarkStart w:id="170" w:name="OLE_LINK44"/>
      <w:bookmarkStart w:id="171" w:name="OLE_LINK43"/>
      <w:r>
        <w:rPr>
          <w:rFonts w:hint="default" w:ascii="Times New Roman" w:hAnsi="Times New Roman" w:cs="Times New Roman"/>
          <w:bCs/>
          <w:color w:val="000000" w:themeColor="text1"/>
          <w:highlight w:val="none"/>
          <w14:textFill>
            <w14:solidFill>
              <w14:schemeClr w14:val="tx1"/>
            </w14:solidFill>
          </w14:textFill>
        </w:rPr>
        <w:t>试采期普光P106集气站正常生产情况下，流程设备、管线、阀室等工艺设备为高压密闭作业，无</w:t>
      </w:r>
      <w:r>
        <w:rPr>
          <w:rFonts w:hint="default" w:ascii="Times New Roman" w:hAnsi="Times New Roman" w:cs="Times New Roman"/>
          <w:bCs/>
          <w:color w:val="000000" w:themeColor="text1"/>
          <w:highlight w:val="none"/>
          <w:lang w:eastAsia="zh-CN"/>
          <w14:textFill>
            <w14:solidFill>
              <w14:schemeClr w14:val="tx1"/>
            </w14:solidFill>
          </w14:textFill>
        </w:rPr>
        <w:t>天然气泄漏</w:t>
      </w:r>
      <w:r>
        <w:rPr>
          <w:rFonts w:hint="default" w:ascii="Times New Roman" w:hAnsi="Times New Roman" w:cs="Times New Roman"/>
          <w:bCs/>
          <w:color w:val="000000" w:themeColor="text1"/>
          <w:highlight w:val="none"/>
          <w14:textFill>
            <w14:solidFill>
              <w14:schemeClr w14:val="tx1"/>
            </w14:solidFill>
          </w14:textFill>
        </w:rPr>
        <w:t>废气产生；本项目试采期用电由P106集气站接入，不单独设置备用燃气发电机，也无备用发电机</w:t>
      </w:r>
      <w:r>
        <w:rPr>
          <w:rFonts w:hint="default" w:ascii="Times New Roman" w:hAnsi="Times New Roman" w:cs="Times New Roman"/>
          <w:bCs/>
          <w:color w:val="000000" w:themeColor="text1"/>
          <w:highlight w:val="none"/>
          <w:lang w:eastAsia="zh-CN"/>
          <w14:textFill>
            <w14:solidFill>
              <w14:schemeClr w14:val="tx1"/>
            </w14:solidFill>
          </w14:textFill>
        </w:rPr>
        <w:t>燃烧废气</w:t>
      </w:r>
      <w:r>
        <w:rPr>
          <w:rFonts w:hint="default" w:ascii="Times New Roman" w:hAnsi="Times New Roman" w:cs="Times New Roman"/>
          <w:bCs/>
          <w:color w:val="000000" w:themeColor="text1"/>
          <w:highlight w:val="none"/>
          <w14:textFill>
            <w14:solidFill>
              <w14:schemeClr w14:val="tx1"/>
            </w14:solidFill>
          </w14:textFill>
        </w:rPr>
        <w:t>产生。试采期正常情况下主要废气为依托使用P106集气站水套加热炉废气，非正常运行状态主要有检修废气或系统超压等情况产生的事故放空燃烧废气。</w:t>
      </w:r>
    </w:p>
    <w:p>
      <w:pPr>
        <w:ind w:firstLine="482"/>
        <w:rPr>
          <w:b/>
          <w:color w:val="000000" w:themeColor="text1"/>
          <w:szCs w:val="24"/>
          <w:highlight w:val="none"/>
          <w14:textFill>
            <w14:solidFill>
              <w14:schemeClr w14:val="tx1"/>
            </w14:solidFill>
          </w14:textFill>
        </w:rPr>
      </w:pPr>
      <w:r>
        <w:rPr>
          <w:b/>
          <w:color w:val="000000" w:themeColor="text1"/>
          <w:szCs w:val="24"/>
          <w:highlight w:val="none"/>
          <w14:textFill>
            <w14:solidFill>
              <w14:schemeClr w14:val="tx1"/>
            </w14:solidFill>
          </w14:textFill>
        </w:rPr>
        <w:t>1）水套炉燃烧废气</w:t>
      </w:r>
    </w:p>
    <w:p>
      <w:pPr>
        <w:ind w:firstLine="480"/>
        <w:rPr>
          <w:rFonts w:cs="Times New Roman"/>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根据项目可研报告核算，</w:t>
      </w:r>
      <w:r>
        <w:rPr>
          <w:rFonts w:cs="Times New Roman"/>
          <w:color w:val="000000" w:themeColor="text1"/>
          <w:szCs w:val="24"/>
          <w:highlight w:val="none"/>
          <w14:textFill>
            <w14:solidFill>
              <w14:schemeClr w14:val="tx1"/>
            </w14:solidFill>
          </w14:textFill>
        </w:rPr>
        <w:t>本项目水套炉所使用的天然气来源于拟建燃气管线输送的净化厂净化后天然气，主要成分为甲烷，燃烧后其废气中主要污染物为NO</w:t>
      </w:r>
      <w:r>
        <w:rPr>
          <w:rFonts w:cs="Times New Roman"/>
          <w:color w:val="000000" w:themeColor="text1"/>
          <w:szCs w:val="24"/>
          <w:highlight w:val="none"/>
          <w:vertAlign w:val="subscript"/>
          <w14:textFill>
            <w14:solidFill>
              <w14:schemeClr w14:val="tx1"/>
            </w14:solidFill>
          </w14:textFill>
        </w:rPr>
        <w:t>X</w:t>
      </w:r>
      <w:r>
        <w:rPr>
          <w:rFonts w:cs="Times New Roman"/>
          <w:color w:val="000000" w:themeColor="text1"/>
          <w:szCs w:val="24"/>
          <w:highlight w:val="none"/>
          <w14:textFill>
            <w14:solidFill>
              <w14:schemeClr w14:val="tx1"/>
            </w14:solidFill>
          </w14:textFill>
        </w:rPr>
        <w:t>。根据可研报告核算，试采站单个</w:t>
      </w:r>
      <w:r>
        <w:rPr>
          <w:rFonts w:hint="eastAsia" w:cs="Times New Roman"/>
          <w:color w:val="000000" w:themeColor="text1"/>
          <w:szCs w:val="24"/>
          <w:highlight w:val="none"/>
          <w:lang w:val="en-US" w:eastAsia="zh-CN"/>
          <w14:textFill>
            <w14:solidFill>
              <w14:schemeClr w14:val="tx1"/>
            </w14:solidFill>
          </w14:textFill>
        </w:rPr>
        <w:t>8</w:t>
      </w:r>
      <w:r>
        <w:rPr>
          <w:rFonts w:cs="Times New Roman"/>
          <w:color w:val="000000" w:themeColor="text1"/>
          <w:szCs w:val="24"/>
          <w:highlight w:val="none"/>
          <w14:textFill>
            <w14:solidFill>
              <w14:schemeClr w14:val="tx1"/>
            </w14:solidFill>
          </w14:textFill>
        </w:rPr>
        <w:t>00kW</w:t>
      </w:r>
      <w:r>
        <w:rPr>
          <w:rFonts w:hint="eastAsia" w:cs="Times New Roman"/>
          <w:color w:val="000000" w:themeColor="text1"/>
          <w:szCs w:val="24"/>
          <w:highlight w:val="none"/>
          <w14:textFill>
            <w14:solidFill>
              <w14:schemeClr w14:val="tx1"/>
            </w14:solidFill>
          </w14:textFill>
        </w:rPr>
        <w:t>的</w:t>
      </w:r>
      <w:r>
        <w:rPr>
          <w:rFonts w:cs="Times New Roman"/>
          <w:color w:val="000000" w:themeColor="text1"/>
          <w:szCs w:val="24"/>
          <w:highlight w:val="none"/>
          <w14:textFill>
            <w14:solidFill>
              <w14:schemeClr w14:val="tx1"/>
            </w14:solidFill>
          </w14:textFill>
        </w:rPr>
        <w:t>水套加热炉用气量为</w:t>
      </w:r>
      <w:r>
        <w:rPr>
          <w:rFonts w:hint="eastAsia" w:cs="Times New Roman"/>
          <w:color w:val="000000" w:themeColor="text1"/>
          <w:szCs w:val="24"/>
          <w:highlight w:val="none"/>
          <w:lang w:val="en-US" w:eastAsia="zh-CN"/>
          <w14:textFill>
            <w14:solidFill>
              <w14:schemeClr w14:val="tx1"/>
            </w14:solidFill>
          </w14:textFill>
        </w:rPr>
        <w:t>10</w:t>
      </w:r>
      <w:r>
        <w:rPr>
          <w:rFonts w:hint="eastAsia" w:cs="Times New Roman"/>
          <w:color w:val="000000" w:themeColor="text1"/>
          <w:szCs w:val="24"/>
          <w:highlight w:val="none"/>
          <w14:textFill>
            <w14:solidFill>
              <w14:schemeClr w14:val="tx1"/>
            </w14:solidFill>
          </w14:textFill>
        </w:rPr>
        <w:t>0</w:t>
      </w:r>
      <w:r>
        <w:rPr>
          <w:rFonts w:cs="Times New Roman"/>
          <w:color w:val="000000" w:themeColor="text1"/>
          <w:szCs w:val="24"/>
          <w:highlight w:val="none"/>
          <w14:textFill>
            <w14:solidFill>
              <w14:schemeClr w14:val="tx1"/>
            </w14:solidFill>
          </w14:textFill>
        </w:rPr>
        <w:t>×10</w:t>
      </w:r>
      <w:r>
        <w:rPr>
          <w:rFonts w:cs="Times New Roman"/>
          <w:color w:val="000000" w:themeColor="text1"/>
          <w:szCs w:val="24"/>
          <w:highlight w:val="none"/>
          <w:vertAlign w:val="superscript"/>
          <w14:textFill>
            <w14:solidFill>
              <w14:schemeClr w14:val="tx1"/>
            </w14:solidFill>
          </w14:textFill>
        </w:rPr>
        <w:t>4</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/a，按年运行360天计算（扣除检修和关井恢复压力期），则水套加热炉燃气量约为</w:t>
      </w:r>
      <w:r>
        <w:rPr>
          <w:rFonts w:hint="eastAsia" w:cs="Times New Roman"/>
          <w:color w:val="000000" w:themeColor="text1"/>
          <w:szCs w:val="24"/>
          <w:highlight w:val="none"/>
          <w14:textFill>
            <w14:solidFill>
              <w14:schemeClr w14:val="tx1"/>
            </w14:solidFill>
          </w14:textFill>
        </w:rPr>
        <w:t>115.74</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/h。水套加热炉燃烧后产生的废气通过8m高排气筒排放，排放方式为连续排放。水套加热炉的相关设计参数见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_Ref143004491 \h  \* MERGEFORMAT </w:instrText>
      </w:r>
      <w:r>
        <w:rPr>
          <w:rFonts w:cs="Times New Roman"/>
          <w:color w:val="000000" w:themeColor="text1"/>
          <w:szCs w:val="24"/>
          <w:highlight w:val="none"/>
          <w14:textFill>
            <w14:solidFill>
              <w14:schemeClr w14:val="tx1"/>
            </w14:solidFill>
          </w14:textFill>
        </w:rPr>
        <w:fldChar w:fldCharType="separate"/>
      </w:r>
      <w:r>
        <w:rPr>
          <w:rFonts w:cs="Times New Roman"/>
          <w:color w:val="000000" w:themeColor="text1"/>
          <w:szCs w:val="24"/>
          <w:highlight w:val="none"/>
          <w14:textFill>
            <w14:solidFill>
              <w14:schemeClr w14:val="tx1"/>
            </w14:solidFill>
          </w14:textFill>
        </w:rPr>
        <w:t>表3.</w:t>
      </w:r>
      <w:r>
        <w:rPr>
          <w:rFonts w:hint="eastAsia" w:cs="Times New Roman"/>
          <w:color w:val="000000" w:themeColor="text1"/>
          <w:szCs w:val="24"/>
          <w:highlight w:val="none"/>
          <w14:textFill>
            <w14:solidFill>
              <w14:schemeClr w14:val="tx1"/>
            </w14:solidFill>
          </w14:textFill>
        </w:rPr>
        <w:t>4</w:t>
      </w:r>
      <w:r>
        <w:rPr>
          <w:rFonts w:cs="Times New Roman"/>
          <w:color w:val="000000" w:themeColor="text1"/>
          <w:szCs w:val="24"/>
          <w:highlight w:val="none"/>
          <w14:textFill>
            <w14:solidFill>
              <w14:schemeClr w14:val="tx1"/>
            </w14:solidFill>
          </w14:textFill>
        </w:rPr>
        <w:noBreakHyphen/>
      </w:r>
      <w:r>
        <w:rPr>
          <w:rFonts w:cs="Times New Roman"/>
          <w:color w:val="000000" w:themeColor="text1"/>
          <w:szCs w:val="24"/>
          <w:highlight w:val="none"/>
          <w14:textFill>
            <w14:solidFill>
              <w14:schemeClr w14:val="tx1"/>
            </w14:solidFill>
          </w14:textFill>
        </w:rPr>
        <w:t>12</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1"/>
        <w:spacing w:before="0" w:beforeLines="0"/>
        <w:ind w:firstLine="482"/>
        <w:rPr>
          <w:color w:val="000000" w:themeColor="text1"/>
          <w:highlight w:val="none"/>
          <w14:textFill>
            <w14:solidFill>
              <w14:schemeClr w14:val="tx1"/>
            </w14:solidFill>
          </w14:textFill>
        </w:rPr>
      </w:pPr>
      <w:bookmarkStart w:id="172" w:name="_Ref143004491"/>
      <w:r>
        <w:rPr>
          <w:rFonts w:hint="eastAsia"/>
          <w:color w:val="000000" w:themeColor="text1"/>
          <w:highlight w:val="none"/>
          <w14:textFill>
            <w14:solidFill>
              <w14:schemeClr w14:val="tx1"/>
            </w14:solidFill>
          </w14:textFill>
        </w:rPr>
        <w:t>表3.4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172"/>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单台水套加热炉相关设计参数</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1175"/>
        <w:gridCol w:w="1175"/>
        <w:gridCol w:w="1174"/>
        <w:gridCol w:w="1175"/>
        <w:gridCol w:w="1175"/>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pStyle w:val="29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水套加热炉功率</w:t>
            </w:r>
          </w:p>
        </w:tc>
        <w:tc>
          <w:tcPr>
            <w:tcW w:w="1175" w:type="dxa"/>
            <w:vAlign w:val="center"/>
          </w:tcPr>
          <w:p>
            <w:pPr>
              <w:pStyle w:val="29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排气筒高度</w:t>
            </w:r>
            <w:r>
              <w:rPr>
                <w:rFonts w:hint="eastAsia"/>
                <w:b/>
                <w:bCs/>
                <w:color w:val="000000" w:themeColor="text1"/>
                <w:highlight w:val="none"/>
                <w:lang w:eastAsia="zh-CN"/>
                <w14:textFill>
                  <w14:solidFill>
                    <w14:schemeClr w14:val="tx1"/>
                  </w14:solidFill>
                </w14:textFill>
              </w:rPr>
              <w:t>（</w:t>
            </w:r>
            <w:r>
              <w:rPr>
                <w:b/>
                <w:bCs/>
                <w:color w:val="000000" w:themeColor="text1"/>
                <w:highlight w:val="none"/>
                <w14:textFill>
                  <w14:solidFill>
                    <w14:schemeClr w14:val="tx1"/>
                  </w14:solidFill>
                </w14:textFill>
              </w:rPr>
              <w:t>m)</w:t>
            </w:r>
          </w:p>
        </w:tc>
        <w:tc>
          <w:tcPr>
            <w:tcW w:w="1175" w:type="dxa"/>
            <w:vAlign w:val="center"/>
          </w:tcPr>
          <w:p>
            <w:pPr>
              <w:pStyle w:val="29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排气筒内径</w:t>
            </w:r>
            <w:r>
              <w:rPr>
                <w:rFonts w:hint="eastAsia"/>
                <w:b/>
                <w:bCs/>
                <w:color w:val="000000" w:themeColor="text1"/>
                <w:highlight w:val="none"/>
                <w:lang w:eastAsia="zh-CN"/>
                <w14:textFill>
                  <w14:solidFill>
                    <w14:schemeClr w14:val="tx1"/>
                  </w14:solidFill>
                </w14:textFill>
              </w:rPr>
              <w:t>（</w:t>
            </w:r>
            <w:r>
              <w:rPr>
                <w:b/>
                <w:bCs/>
                <w:color w:val="000000" w:themeColor="text1"/>
                <w:highlight w:val="none"/>
                <w14:textFill>
                  <w14:solidFill>
                    <w14:schemeClr w14:val="tx1"/>
                  </w14:solidFill>
                </w14:textFill>
              </w:rPr>
              <w:t>m)</w:t>
            </w:r>
          </w:p>
        </w:tc>
        <w:tc>
          <w:tcPr>
            <w:tcW w:w="1174" w:type="dxa"/>
            <w:vAlign w:val="center"/>
          </w:tcPr>
          <w:p>
            <w:pPr>
              <w:pStyle w:val="29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自耗气量</w:t>
            </w:r>
            <w:r>
              <w:rPr>
                <w:rFonts w:hint="eastAsia"/>
                <w:b/>
                <w:bCs/>
                <w:color w:val="000000" w:themeColor="text1"/>
                <w:highlight w:val="none"/>
                <w:lang w:eastAsia="zh-CN"/>
                <w14:textFill>
                  <w14:solidFill>
                    <w14:schemeClr w14:val="tx1"/>
                  </w14:solidFill>
                </w14:textFill>
              </w:rPr>
              <w:t>（</w:t>
            </w:r>
            <w:r>
              <w:rPr>
                <w:b/>
                <w:bCs/>
                <w:color w:val="000000" w:themeColor="text1"/>
                <w:highlight w:val="none"/>
                <w14:textFill>
                  <w14:solidFill>
                    <w14:schemeClr w14:val="tx1"/>
                  </w14:solidFill>
                </w14:textFill>
              </w:rPr>
              <w:t>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/h)</w:t>
            </w:r>
          </w:p>
        </w:tc>
        <w:tc>
          <w:tcPr>
            <w:tcW w:w="1175" w:type="dxa"/>
            <w:vAlign w:val="center"/>
          </w:tcPr>
          <w:p>
            <w:pPr>
              <w:pStyle w:val="29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排放时间</w:t>
            </w:r>
            <w:r>
              <w:rPr>
                <w:rFonts w:hint="eastAsia"/>
                <w:b/>
                <w:bCs/>
                <w:color w:val="000000" w:themeColor="text1"/>
                <w:highlight w:val="none"/>
                <w:lang w:eastAsia="zh-CN"/>
                <w14:textFill>
                  <w14:solidFill>
                    <w14:schemeClr w14:val="tx1"/>
                  </w14:solidFill>
                </w14:textFill>
              </w:rPr>
              <w:t>（</w:t>
            </w:r>
            <w:r>
              <w:rPr>
                <w:b/>
                <w:bCs/>
                <w:color w:val="000000" w:themeColor="text1"/>
                <w:highlight w:val="none"/>
                <w14:textFill>
                  <w14:solidFill>
                    <w14:schemeClr w14:val="tx1"/>
                  </w14:solidFill>
                </w14:textFill>
              </w:rPr>
              <w:t>h/a)</w:t>
            </w:r>
          </w:p>
        </w:tc>
        <w:tc>
          <w:tcPr>
            <w:tcW w:w="1175" w:type="dxa"/>
            <w:vAlign w:val="center"/>
          </w:tcPr>
          <w:p>
            <w:pPr>
              <w:pStyle w:val="29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排放工况</w:t>
            </w:r>
          </w:p>
        </w:tc>
        <w:tc>
          <w:tcPr>
            <w:tcW w:w="1174" w:type="dxa"/>
            <w:vAlign w:val="center"/>
          </w:tcPr>
          <w:p>
            <w:pPr>
              <w:pStyle w:val="295"/>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烟气出口温度</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4" w:type="dxa"/>
            <w:vAlign w:val="center"/>
          </w:tcPr>
          <w:p>
            <w:pPr>
              <w:pStyle w:val="29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00kW</w:t>
            </w:r>
          </w:p>
        </w:tc>
        <w:tc>
          <w:tcPr>
            <w:tcW w:w="1175" w:type="dxa"/>
            <w:vAlign w:val="center"/>
          </w:tcPr>
          <w:p>
            <w:pPr>
              <w:pStyle w:val="2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1175" w:type="dxa"/>
            <w:vAlign w:val="center"/>
          </w:tcPr>
          <w:p>
            <w:pPr>
              <w:pStyle w:val="2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2</w:t>
            </w:r>
          </w:p>
        </w:tc>
        <w:tc>
          <w:tcPr>
            <w:tcW w:w="1174" w:type="dxa"/>
            <w:vAlign w:val="center"/>
          </w:tcPr>
          <w:p>
            <w:pPr>
              <w:pStyle w:val="29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115.74</w:t>
            </w:r>
          </w:p>
        </w:tc>
        <w:tc>
          <w:tcPr>
            <w:tcW w:w="1175" w:type="dxa"/>
            <w:vAlign w:val="center"/>
          </w:tcPr>
          <w:p>
            <w:pPr>
              <w:pStyle w:val="2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8640</w:t>
            </w:r>
          </w:p>
        </w:tc>
        <w:tc>
          <w:tcPr>
            <w:tcW w:w="1175" w:type="dxa"/>
            <w:vAlign w:val="center"/>
          </w:tcPr>
          <w:p>
            <w:pPr>
              <w:pStyle w:val="2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w:t>
            </w:r>
          </w:p>
        </w:tc>
        <w:tc>
          <w:tcPr>
            <w:tcW w:w="1174" w:type="dxa"/>
            <w:vAlign w:val="center"/>
          </w:tcPr>
          <w:p>
            <w:pPr>
              <w:pStyle w:val="2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r>
    </w:tbl>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本次评价采用水套加热炉废气产排核算均按照《排放源统计调查产排污核算方法和系数手册》（环境部公告2021 第24号）中</w:t>
      </w:r>
      <w:r>
        <w:rPr>
          <w:rFonts w:hint="eastAsia" w:ascii="宋体" w:hAnsi="宋体" w:cs="宋体"/>
          <w:color w:val="000000" w:themeColor="text1"/>
          <w:szCs w:val="24"/>
          <w:highlight w:val="none"/>
          <w14:textFill>
            <w14:solidFill>
              <w14:schemeClr w14:val="tx1"/>
            </w14:solidFill>
          </w14:textFill>
        </w:rPr>
        <w:t>“锅炉产排污量核算系数手册”</w:t>
      </w:r>
      <w:r>
        <w:rPr>
          <w:rFonts w:cs="Times New Roman"/>
          <w:color w:val="000000" w:themeColor="text1"/>
          <w:szCs w:val="24"/>
          <w:highlight w:val="none"/>
          <w14:textFill>
            <w14:solidFill>
              <w14:schemeClr w14:val="tx1"/>
            </w14:solidFill>
          </w14:textFill>
        </w:rPr>
        <w:t>中燃气工业锅炉废气产排污系数计算，热力生产型燃气锅炉的工业废气产生量为10.7753标立</w:t>
      </w:r>
      <w:r>
        <w:rPr>
          <w:rFonts w:hint="eastAsia" w:cs="Times New Roman"/>
          <w:color w:val="000000" w:themeColor="text1"/>
          <w:szCs w:val="24"/>
          <w:highlight w:val="none"/>
          <w14:textFill>
            <w14:solidFill>
              <w14:schemeClr w14:val="tx1"/>
            </w14:solidFill>
          </w14:textFill>
        </w:rPr>
        <w:t>10.753</w:t>
      </w:r>
      <w:r>
        <w:rPr>
          <w:rFonts w:cs="Times New Roman"/>
          <w:color w:val="000000" w:themeColor="text1"/>
          <w:szCs w:val="24"/>
          <w:highlight w:val="none"/>
          <w14:textFill>
            <w14:solidFill>
              <w14:schemeClr w14:val="tx1"/>
            </w14:solidFill>
          </w14:textFill>
        </w:rPr>
        <w:t>方米/立方米-原料，其中水套加热炉采用</w:t>
      </w:r>
      <w:r>
        <w:rPr>
          <w:rFonts w:hint="eastAsia" w:cs="Times New Roman"/>
          <w:color w:val="000000" w:themeColor="text1"/>
          <w:szCs w:val="24"/>
          <w:highlight w:val="none"/>
          <w14:textFill>
            <w14:solidFill>
              <w14:schemeClr w14:val="tx1"/>
            </w14:solidFill>
          </w14:textFill>
        </w:rPr>
        <w:t>国内领先</w:t>
      </w:r>
      <w:r>
        <w:rPr>
          <w:rFonts w:cs="Times New Roman"/>
          <w:color w:val="000000" w:themeColor="text1"/>
          <w:szCs w:val="24"/>
          <w:highlight w:val="none"/>
          <w14:textFill>
            <w14:solidFill>
              <w14:schemeClr w14:val="tx1"/>
            </w14:solidFill>
          </w14:textFill>
        </w:rPr>
        <w:t>低氮燃烧，氮氧化物的产生系数为6.97千克/万立方米-原料</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SO</w:t>
      </w:r>
      <w:r>
        <w:rPr>
          <w:rFonts w:cs="Times New Roman"/>
          <w:color w:val="000000" w:themeColor="text1"/>
          <w:szCs w:val="24"/>
          <w:highlight w:val="none"/>
          <w:vertAlign w:val="subscript"/>
          <w14:textFill>
            <w14:solidFill>
              <w14:schemeClr w14:val="tx1"/>
            </w14:solidFill>
          </w14:textFill>
        </w:rPr>
        <w:t>2</w:t>
      </w:r>
      <w:r>
        <w:rPr>
          <w:rFonts w:cs="Times New Roman"/>
          <w:color w:val="000000" w:themeColor="text1"/>
          <w:szCs w:val="24"/>
          <w:highlight w:val="none"/>
          <w14:textFill>
            <w14:solidFill>
              <w14:schemeClr w14:val="tx1"/>
            </w14:solidFill>
          </w14:textFill>
        </w:rPr>
        <w:t>的产生系数为0.02S（S=</w:t>
      </w:r>
      <w:r>
        <w:rPr>
          <w:rFonts w:hint="eastAsia" w:cs="Times New Roman"/>
          <w:color w:val="000000" w:themeColor="text1"/>
          <w:szCs w:val="24"/>
          <w:highlight w:val="none"/>
          <w14:textFill>
            <w14:solidFill>
              <w14:schemeClr w14:val="tx1"/>
            </w14:solidFill>
          </w14:textFill>
        </w:rPr>
        <w:t>6</w:t>
      </w:r>
      <w:r>
        <w:rPr>
          <w:rFonts w:cs="Times New Roman"/>
          <w:color w:val="000000" w:themeColor="text1"/>
          <w:szCs w:val="24"/>
          <w:highlight w:val="none"/>
          <w14:textFill>
            <w14:solidFill>
              <w14:schemeClr w14:val="tx1"/>
            </w14:solidFill>
          </w14:textFill>
        </w:rPr>
        <w:t>，本项目采用</w:t>
      </w:r>
      <w:r>
        <w:rPr>
          <w:rFonts w:hint="eastAsia" w:cs="Times New Roman"/>
          <w:color w:val="000000" w:themeColor="text1"/>
          <w:szCs w:val="24"/>
          <w:highlight w:val="none"/>
          <w14:textFill>
            <w14:solidFill>
              <w14:schemeClr w14:val="tx1"/>
            </w14:solidFill>
          </w14:textFill>
        </w:rPr>
        <w:t>井</w:t>
      </w:r>
      <w:r>
        <w:rPr>
          <w:rFonts w:cs="Times New Roman"/>
          <w:color w:val="000000" w:themeColor="text1"/>
          <w:szCs w:val="24"/>
          <w:highlight w:val="none"/>
          <w14:textFill>
            <w14:solidFill>
              <w14:schemeClr w14:val="tx1"/>
            </w14:solidFill>
          </w14:textFill>
        </w:rPr>
        <w:t>区自产</w:t>
      </w:r>
      <w:r>
        <w:rPr>
          <w:rFonts w:hint="eastAsia" w:cs="Times New Roman"/>
          <w:color w:val="000000" w:themeColor="text1"/>
          <w:szCs w:val="24"/>
          <w:highlight w:val="none"/>
          <w14:textFill>
            <w14:solidFill>
              <w14:schemeClr w14:val="tx1"/>
            </w14:solidFill>
          </w14:textFill>
        </w:rPr>
        <w:t>返输净化</w:t>
      </w:r>
      <w:r>
        <w:rPr>
          <w:rFonts w:cs="Times New Roman"/>
          <w:color w:val="000000" w:themeColor="text1"/>
          <w:szCs w:val="24"/>
          <w:highlight w:val="none"/>
          <w14:textFill>
            <w14:solidFill>
              <w14:schemeClr w14:val="tx1"/>
            </w14:solidFill>
          </w14:textFill>
        </w:rPr>
        <w:t>天然气，根据气质组分，</w:t>
      </w:r>
      <w:r>
        <w:rPr>
          <w:rFonts w:hint="eastAsia" w:cs="Times New Roman"/>
          <w:color w:val="000000" w:themeColor="text1"/>
          <w:szCs w:val="24"/>
          <w:highlight w:val="none"/>
          <w14:textFill>
            <w14:solidFill>
              <w14:schemeClr w14:val="tx1"/>
            </w14:solidFill>
          </w14:textFill>
        </w:rPr>
        <w:t>返输气总硫</w:t>
      </w:r>
      <w:r>
        <w:rPr>
          <w:rFonts w:cs="Times New Roman"/>
          <w:color w:val="000000" w:themeColor="text1"/>
          <w:szCs w:val="24"/>
          <w:highlight w:val="none"/>
          <w14:textFill>
            <w14:solidFill>
              <w14:schemeClr w14:val="tx1"/>
            </w14:solidFill>
          </w14:textFill>
        </w:rPr>
        <w:t>浓度</w:t>
      </w:r>
      <w:r>
        <w:rPr>
          <w:rFonts w:hint="eastAsia" w:cs="Times New Roman"/>
          <w:color w:val="000000" w:themeColor="text1"/>
          <w:szCs w:val="24"/>
          <w:highlight w:val="none"/>
          <w14:textFill>
            <w14:solidFill>
              <w14:schemeClr w14:val="tx1"/>
            </w14:solidFill>
          </w14:textFill>
        </w:rPr>
        <w:t>最大</w:t>
      </w:r>
      <w:r>
        <w:rPr>
          <w:rFonts w:cs="Times New Roman"/>
          <w:color w:val="000000" w:themeColor="text1"/>
          <w:szCs w:val="24"/>
          <w:highlight w:val="none"/>
          <w14:textFill>
            <w14:solidFill>
              <w14:schemeClr w14:val="tx1"/>
            </w14:solidFill>
          </w14:textFill>
        </w:rPr>
        <w:t>为</w:t>
      </w:r>
      <w:r>
        <w:rPr>
          <w:rFonts w:hint="eastAsia" w:cs="Times New Roman"/>
          <w:color w:val="000000" w:themeColor="text1"/>
          <w:szCs w:val="24"/>
          <w:highlight w:val="none"/>
          <w14:textFill>
            <w14:solidFill>
              <w14:schemeClr w14:val="tx1"/>
            </w14:solidFill>
          </w14:textFill>
        </w:rPr>
        <w:t>6</w:t>
      </w:r>
      <w:r>
        <w:rPr>
          <w:rFonts w:cs="Times New Roman"/>
          <w:color w:val="000000" w:themeColor="text1"/>
          <w:szCs w:val="24"/>
          <w:highlight w:val="none"/>
          <w14:textFill>
            <w14:solidFill>
              <w14:schemeClr w14:val="tx1"/>
            </w14:solidFill>
          </w14:textFill>
        </w:rPr>
        <w:t>mg/m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）千克/万立方米-原料。本项目水套加热炉燃气使用量为</w:t>
      </w:r>
      <w:r>
        <w:rPr>
          <w:rFonts w:hint="eastAsia" w:cs="Times New Roman"/>
          <w:color w:val="000000" w:themeColor="text1"/>
          <w:szCs w:val="24"/>
          <w:highlight w:val="none"/>
          <w14:textFill>
            <w14:solidFill>
              <w14:schemeClr w14:val="tx1"/>
            </w14:solidFill>
          </w14:textFill>
        </w:rPr>
        <w:t>115.74</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/h，据此核算出</w:t>
      </w:r>
      <w:r>
        <w:rPr>
          <w:rFonts w:hint="eastAsia" w:cs="Times New Roman"/>
          <w:color w:val="000000" w:themeColor="text1"/>
          <w:szCs w:val="24"/>
          <w:highlight w:val="none"/>
          <w14:textFill>
            <w14:solidFill>
              <w14:schemeClr w14:val="tx1"/>
            </w14:solidFill>
          </w14:textFill>
        </w:rPr>
        <w:t>本项目</w:t>
      </w:r>
      <w:r>
        <w:rPr>
          <w:rFonts w:cs="Times New Roman"/>
          <w:color w:val="000000" w:themeColor="text1"/>
          <w:szCs w:val="24"/>
          <w:highlight w:val="none"/>
          <w14:textFill>
            <w14:solidFill>
              <w14:schemeClr w14:val="tx1"/>
            </w14:solidFill>
          </w14:textFill>
        </w:rPr>
        <w:t>水套加热炉的污染物排放情况见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_Ref143004562 \h </w:instrText>
      </w:r>
      <w:r>
        <w:rPr>
          <w:rFonts w:cs="Times New Roman"/>
          <w:color w:val="000000" w:themeColor="text1"/>
          <w:szCs w:val="24"/>
          <w:highlight w:val="none"/>
          <w14:textFill>
            <w14:solidFill>
              <w14:schemeClr w14:val="tx1"/>
            </w14:solidFill>
          </w14:textFill>
        </w:rPr>
        <w:fldChar w:fldCharType="separate"/>
      </w:r>
      <w:r>
        <w:rPr>
          <w:rFonts w:hint="eastAsia" w:cs="Times New Roman"/>
          <w:color w:val="000000" w:themeColor="text1"/>
          <w:szCs w:val="24"/>
          <w:highlight w:val="none"/>
          <w14:textFill>
            <w14:solidFill>
              <w14:schemeClr w14:val="tx1"/>
            </w14:solidFill>
          </w14:textFill>
        </w:rPr>
        <w:t>表</w:t>
      </w:r>
      <w:r>
        <w:rPr>
          <w:rFonts w:cs="Times New Roman"/>
          <w:color w:val="000000" w:themeColor="text1"/>
          <w:szCs w:val="24"/>
          <w:highlight w:val="none"/>
          <w14:textFill>
            <w14:solidFill>
              <w14:schemeClr w14:val="tx1"/>
            </w14:solidFill>
          </w14:textFill>
        </w:rPr>
        <w:t>3.</w:t>
      </w:r>
      <w:r>
        <w:rPr>
          <w:rFonts w:hint="eastAsia" w:cs="Times New Roman"/>
          <w:color w:val="000000" w:themeColor="text1"/>
          <w:szCs w:val="24"/>
          <w:highlight w:val="none"/>
          <w14:textFill>
            <w14:solidFill>
              <w14:schemeClr w14:val="tx1"/>
            </w14:solidFill>
          </w14:textFill>
        </w:rPr>
        <w:t>4</w:t>
      </w:r>
      <w:r>
        <w:rPr>
          <w:rFonts w:cs="Times New Roman"/>
          <w:color w:val="000000" w:themeColor="text1"/>
          <w:szCs w:val="24"/>
          <w:highlight w:val="none"/>
          <w14:textFill>
            <w14:solidFill>
              <w14:schemeClr w14:val="tx1"/>
            </w14:solidFill>
          </w14:textFill>
        </w:rPr>
        <w:noBreakHyphen/>
      </w:r>
      <w:r>
        <w:rPr>
          <w:rFonts w:cs="Times New Roman"/>
          <w:color w:val="000000" w:themeColor="text1"/>
          <w:szCs w:val="24"/>
          <w:highlight w:val="none"/>
          <w14:textFill>
            <w14:solidFill>
              <w14:schemeClr w14:val="tx1"/>
            </w14:solidFill>
          </w14:textFill>
        </w:rPr>
        <w:t>13</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bookmarkStart w:id="173" w:name="_Ref143004562"/>
    </w:p>
    <w:p>
      <w:pPr>
        <w:pStyle w:val="201"/>
        <w:spacing w:before="0" w:beforeLines="0"/>
        <w:ind w:firstLine="48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SEQ 表 \* ARABIC \s 2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fldChar w:fldCharType="end"/>
      </w:r>
      <w:bookmarkEnd w:id="173"/>
      <w:r>
        <w:rPr>
          <w:rFonts w:hint="eastAsia"/>
          <w:color w:val="000000" w:themeColor="text1"/>
          <w:highlight w:val="none"/>
          <w14:textFill>
            <w14:solidFill>
              <w14:schemeClr w14:val="tx1"/>
            </w14:solidFill>
          </w14:textFill>
        </w:rPr>
        <w:t xml:space="preserve">  水套加热炉污染物排放情况</w:t>
      </w:r>
    </w:p>
    <w:tbl>
      <w:tblPr>
        <w:tblStyle w:val="52"/>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649"/>
        <w:gridCol w:w="994"/>
        <w:gridCol w:w="1214"/>
        <w:gridCol w:w="1674"/>
        <w:gridCol w:w="626"/>
        <w:gridCol w:w="772"/>
        <w:gridCol w:w="941"/>
        <w:gridCol w:w="1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649" w:type="dxa"/>
            <w:vMerge w:val="restart"/>
            <w:vAlign w:val="center"/>
          </w:tcPr>
          <w:p>
            <w:pPr>
              <w:pStyle w:val="594"/>
              <w:rPr>
                <w:b/>
                <w:bCs/>
                <w:color w:val="000000" w:themeColor="text1"/>
                <w:kern w:val="2"/>
                <w:highlight w:val="none"/>
                <w14:textFill>
                  <w14:solidFill>
                    <w14:schemeClr w14:val="tx1"/>
                  </w14:solidFill>
                </w14:textFill>
              </w:rPr>
            </w:pPr>
            <w:r>
              <w:rPr>
                <w:b/>
                <w:bCs/>
                <w:color w:val="000000" w:themeColor="text1"/>
                <w:kern w:val="2"/>
                <w:highlight w:val="none"/>
                <w14:textFill>
                  <w14:solidFill>
                    <w14:schemeClr w14:val="tx1"/>
                  </w14:solidFill>
                </w14:textFill>
              </w:rPr>
              <w:t>废气类型</w:t>
            </w:r>
          </w:p>
        </w:tc>
        <w:tc>
          <w:tcPr>
            <w:tcW w:w="3882" w:type="dxa"/>
            <w:gridSpan w:val="3"/>
            <w:vAlign w:val="center"/>
          </w:tcPr>
          <w:p>
            <w:pPr>
              <w:pStyle w:val="594"/>
              <w:ind w:firstLine="482"/>
              <w:rPr>
                <w:b/>
                <w:bCs/>
                <w:color w:val="000000" w:themeColor="text1"/>
                <w:kern w:val="2"/>
                <w:highlight w:val="none"/>
                <w14:textFill>
                  <w14:solidFill>
                    <w14:schemeClr w14:val="tx1"/>
                  </w14:solidFill>
                </w14:textFill>
              </w:rPr>
            </w:pPr>
            <w:r>
              <w:rPr>
                <w:b/>
                <w:bCs/>
                <w:color w:val="000000" w:themeColor="text1"/>
                <w:kern w:val="2"/>
                <w:highlight w:val="none"/>
                <w14:textFill>
                  <w14:solidFill>
                    <w14:schemeClr w14:val="tx1"/>
                  </w14:solidFill>
                </w14:textFill>
              </w:rPr>
              <w:t>排放量</w:t>
            </w:r>
          </w:p>
        </w:tc>
        <w:tc>
          <w:tcPr>
            <w:tcW w:w="1398" w:type="dxa"/>
            <w:gridSpan w:val="2"/>
            <w:vAlign w:val="center"/>
          </w:tcPr>
          <w:p>
            <w:pPr>
              <w:pStyle w:val="594"/>
              <w:ind w:firstLine="482"/>
              <w:rPr>
                <w:b/>
                <w:bCs/>
                <w:color w:val="000000" w:themeColor="text1"/>
                <w:kern w:val="2"/>
                <w:highlight w:val="none"/>
                <w14:textFill>
                  <w14:solidFill>
                    <w14:schemeClr w14:val="tx1"/>
                  </w14:solidFill>
                </w14:textFill>
              </w:rPr>
            </w:pPr>
            <w:r>
              <w:rPr>
                <w:b/>
                <w:bCs/>
                <w:color w:val="000000" w:themeColor="text1"/>
                <w:kern w:val="2"/>
                <w:highlight w:val="none"/>
                <w14:textFill>
                  <w14:solidFill>
                    <w14:schemeClr w14:val="tx1"/>
                  </w14:solidFill>
                </w14:textFill>
              </w:rPr>
              <w:t>排气筒</w:t>
            </w:r>
          </w:p>
        </w:tc>
        <w:tc>
          <w:tcPr>
            <w:tcW w:w="941" w:type="dxa"/>
            <w:vMerge w:val="restart"/>
            <w:vAlign w:val="center"/>
          </w:tcPr>
          <w:p>
            <w:pPr>
              <w:pStyle w:val="594"/>
              <w:jc w:val="both"/>
              <w:rPr>
                <w:b/>
                <w:bCs/>
                <w:color w:val="000000" w:themeColor="text1"/>
                <w:kern w:val="2"/>
                <w:highlight w:val="none"/>
                <w14:textFill>
                  <w14:solidFill>
                    <w14:schemeClr w14:val="tx1"/>
                  </w14:solidFill>
                </w14:textFill>
              </w:rPr>
            </w:pPr>
            <w:r>
              <w:rPr>
                <w:b/>
                <w:bCs/>
                <w:color w:val="000000" w:themeColor="text1"/>
                <w:kern w:val="2"/>
                <w:highlight w:val="none"/>
                <w14:textFill>
                  <w14:solidFill>
                    <w14:schemeClr w14:val="tx1"/>
                  </w14:solidFill>
                </w14:textFill>
              </w:rPr>
              <w:t>排烟温度</w:t>
            </w:r>
            <w:r>
              <w:rPr>
                <w:rFonts w:hint="eastAsia"/>
                <w:b/>
                <w:bCs/>
                <w:color w:val="000000" w:themeColor="text1"/>
                <w:kern w:val="2"/>
                <w:highlight w:val="none"/>
                <w14:textFill>
                  <w14:solidFill>
                    <w14:schemeClr w14:val="tx1"/>
                  </w14:solidFill>
                </w14:textFill>
              </w:rPr>
              <w:t>（℃）</w:t>
            </w:r>
          </w:p>
        </w:tc>
        <w:tc>
          <w:tcPr>
            <w:tcW w:w="1489" w:type="dxa"/>
            <w:vMerge w:val="restart"/>
            <w:vAlign w:val="center"/>
          </w:tcPr>
          <w:p>
            <w:pPr>
              <w:pStyle w:val="594"/>
              <w:jc w:val="both"/>
              <w:rPr>
                <w:b/>
                <w:bCs/>
                <w:color w:val="000000" w:themeColor="text1"/>
                <w:kern w:val="2"/>
                <w:highlight w:val="none"/>
                <w14:textFill>
                  <w14:solidFill>
                    <w14:schemeClr w14:val="tx1"/>
                  </w14:solidFill>
                </w14:textFill>
              </w:rPr>
            </w:pPr>
            <w:r>
              <w:rPr>
                <w:b/>
                <w:bCs/>
                <w:color w:val="000000" w:themeColor="text1"/>
                <w:kern w:val="2"/>
                <w:highlight w:val="none"/>
                <w14:textFill>
                  <w14:solidFill>
                    <w14:schemeClr w14:val="tx1"/>
                  </w14:solidFill>
                </w14:textFill>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649" w:type="dxa"/>
            <w:vMerge w:val="continue"/>
            <w:vAlign w:val="center"/>
          </w:tcPr>
          <w:p>
            <w:pPr>
              <w:pStyle w:val="594"/>
              <w:ind w:firstLine="480"/>
              <w:rPr>
                <w:bCs/>
                <w:color w:val="000000" w:themeColor="text1"/>
                <w:kern w:val="2"/>
                <w:highlight w:val="none"/>
                <w14:textFill>
                  <w14:solidFill>
                    <w14:schemeClr w14:val="tx1"/>
                  </w14:solidFill>
                </w14:textFill>
              </w:rPr>
            </w:pPr>
          </w:p>
        </w:tc>
        <w:tc>
          <w:tcPr>
            <w:tcW w:w="994" w:type="dxa"/>
            <w:vAlign w:val="center"/>
          </w:tcPr>
          <w:p>
            <w:pPr>
              <w:pStyle w:val="594"/>
              <w:rPr>
                <w:b/>
                <w:bCs/>
                <w:color w:val="000000" w:themeColor="text1"/>
                <w:kern w:val="2"/>
                <w:highlight w:val="none"/>
                <w14:textFill>
                  <w14:solidFill>
                    <w14:schemeClr w14:val="tx1"/>
                  </w14:solidFill>
                </w14:textFill>
              </w:rPr>
            </w:pPr>
            <w:r>
              <w:rPr>
                <w:b/>
                <w:bCs/>
                <w:color w:val="000000" w:themeColor="text1"/>
                <w:kern w:val="2"/>
                <w:highlight w:val="none"/>
                <w14:textFill>
                  <w14:solidFill>
                    <w14:schemeClr w14:val="tx1"/>
                  </w14:solidFill>
                </w14:textFill>
              </w:rPr>
              <w:t>项目</w:t>
            </w:r>
          </w:p>
        </w:tc>
        <w:tc>
          <w:tcPr>
            <w:tcW w:w="1214" w:type="dxa"/>
            <w:vAlign w:val="center"/>
          </w:tcPr>
          <w:p>
            <w:pPr>
              <w:pStyle w:val="594"/>
              <w:rPr>
                <w:b/>
                <w:bCs/>
                <w:color w:val="000000" w:themeColor="text1"/>
                <w:kern w:val="2"/>
                <w:highlight w:val="none"/>
                <w14:textFill>
                  <w14:solidFill>
                    <w14:schemeClr w14:val="tx1"/>
                  </w14:solidFill>
                </w14:textFill>
              </w:rPr>
            </w:pPr>
            <w:r>
              <w:rPr>
                <w:b/>
                <w:bCs/>
                <w:color w:val="000000" w:themeColor="text1"/>
                <w:kern w:val="2"/>
                <w:highlight w:val="none"/>
                <w14:textFill>
                  <w14:solidFill>
                    <w14:schemeClr w14:val="tx1"/>
                  </w14:solidFill>
                </w14:textFill>
              </w:rPr>
              <w:t>排放浓度</w:t>
            </w:r>
            <w:r>
              <w:rPr>
                <w:color w:val="000000" w:themeColor="text1"/>
                <w:kern w:val="2"/>
                <w:highlight w:val="none"/>
                <w14:textFill>
                  <w14:solidFill>
                    <w14:schemeClr w14:val="tx1"/>
                  </w14:solidFill>
                </w14:textFill>
              </w:rPr>
              <w:t>mg/m</w:t>
            </w:r>
            <w:r>
              <w:rPr>
                <w:color w:val="000000" w:themeColor="text1"/>
                <w:kern w:val="2"/>
                <w:highlight w:val="none"/>
                <w:vertAlign w:val="superscript"/>
                <w14:textFill>
                  <w14:solidFill>
                    <w14:schemeClr w14:val="tx1"/>
                  </w14:solidFill>
                </w14:textFill>
              </w:rPr>
              <w:t>3</w:t>
            </w:r>
          </w:p>
        </w:tc>
        <w:tc>
          <w:tcPr>
            <w:tcW w:w="1674" w:type="dxa"/>
            <w:vAlign w:val="center"/>
          </w:tcPr>
          <w:p>
            <w:pPr>
              <w:pStyle w:val="594"/>
              <w:rPr>
                <w:b/>
                <w:bCs/>
                <w:color w:val="000000" w:themeColor="text1"/>
                <w:kern w:val="2"/>
                <w:highlight w:val="none"/>
                <w14:textFill>
                  <w14:solidFill>
                    <w14:schemeClr w14:val="tx1"/>
                  </w14:solidFill>
                </w14:textFill>
              </w:rPr>
            </w:pPr>
            <w:r>
              <w:rPr>
                <w:b/>
                <w:bCs/>
                <w:color w:val="000000" w:themeColor="text1"/>
                <w:kern w:val="2"/>
                <w:highlight w:val="none"/>
                <w14:textFill>
                  <w14:solidFill>
                    <w14:schemeClr w14:val="tx1"/>
                  </w14:solidFill>
                </w14:textFill>
              </w:rPr>
              <w:t>排放强度</w:t>
            </w:r>
          </w:p>
        </w:tc>
        <w:tc>
          <w:tcPr>
            <w:tcW w:w="626" w:type="dxa"/>
            <w:vAlign w:val="center"/>
          </w:tcPr>
          <w:p>
            <w:pPr>
              <w:pStyle w:val="594"/>
              <w:rPr>
                <w:b/>
                <w:bCs/>
                <w:color w:val="000000" w:themeColor="text1"/>
                <w:kern w:val="2"/>
                <w:highlight w:val="none"/>
                <w14:textFill>
                  <w14:solidFill>
                    <w14:schemeClr w14:val="tx1"/>
                  </w14:solidFill>
                </w14:textFill>
              </w:rPr>
            </w:pPr>
            <w:r>
              <w:rPr>
                <w:b/>
                <w:bCs/>
                <w:color w:val="000000" w:themeColor="text1"/>
                <w:kern w:val="2"/>
                <w:highlight w:val="none"/>
                <w14:textFill>
                  <w14:solidFill>
                    <w14:schemeClr w14:val="tx1"/>
                  </w14:solidFill>
                </w14:textFill>
              </w:rPr>
              <w:t>高度</w:t>
            </w:r>
          </w:p>
        </w:tc>
        <w:tc>
          <w:tcPr>
            <w:tcW w:w="772" w:type="dxa"/>
            <w:vAlign w:val="center"/>
          </w:tcPr>
          <w:p>
            <w:pPr>
              <w:pStyle w:val="594"/>
              <w:rPr>
                <w:b/>
                <w:bCs/>
                <w:color w:val="000000" w:themeColor="text1"/>
                <w:kern w:val="2"/>
                <w:highlight w:val="none"/>
                <w14:textFill>
                  <w14:solidFill>
                    <w14:schemeClr w14:val="tx1"/>
                  </w14:solidFill>
                </w14:textFill>
              </w:rPr>
            </w:pPr>
            <w:r>
              <w:rPr>
                <w:b/>
                <w:bCs/>
                <w:color w:val="000000" w:themeColor="text1"/>
                <w:kern w:val="2"/>
                <w:highlight w:val="none"/>
                <w14:textFill>
                  <w14:solidFill>
                    <w14:schemeClr w14:val="tx1"/>
                  </w14:solidFill>
                </w14:textFill>
              </w:rPr>
              <w:t>内径</w:t>
            </w:r>
          </w:p>
        </w:tc>
        <w:tc>
          <w:tcPr>
            <w:tcW w:w="941" w:type="dxa"/>
            <w:vMerge w:val="continue"/>
            <w:vAlign w:val="center"/>
          </w:tcPr>
          <w:p>
            <w:pPr>
              <w:pStyle w:val="594"/>
              <w:ind w:firstLine="480"/>
              <w:rPr>
                <w:bCs/>
                <w:color w:val="000000" w:themeColor="text1"/>
                <w:kern w:val="2"/>
                <w:highlight w:val="none"/>
                <w14:textFill>
                  <w14:solidFill>
                    <w14:schemeClr w14:val="tx1"/>
                  </w14:solidFill>
                </w14:textFill>
              </w:rPr>
            </w:pPr>
          </w:p>
        </w:tc>
        <w:tc>
          <w:tcPr>
            <w:tcW w:w="1489" w:type="dxa"/>
            <w:vMerge w:val="continue"/>
            <w:vAlign w:val="center"/>
          </w:tcPr>
          <w:p>
            <w:pPr>
              <w:pStyle w:val="594"/>
              <w:ind w:firstLine="480"/>
              <w:rPr>
                <w:bCs/>
                <w:color w:val="000000" w:themeColor="text1"/>
                <w:kern w:val="2"/>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49" w:type="dxa"/>
            <w:vMerge w:val="restart"/>
            <w:vAlign w:val="center"/>
          </w:tcPr>
          <w:p>
            <w:pPr>
              <w:pStyle w:val="594"/>
              <w:rPr>
                <w:bCs/>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单个水套炉</w:t>
            </w:r>
            <w:r>
              <w:rPr>
                <w:bCs/>
                <w:color w:val="000000" w:themeColor="text1"/>
                <w:kern w:val="2"/>
                <w:highlight w:val="none"/>
                <w14:textFill>
                  <w14:solidFill>
                    <w14:schemeClr w14:val="tx1"/>
                  </w14:solidFill>
                </w14:textFill>
              </w:rPr>
              <w:t>燃烧废气</w:t>
            </w:r>
          </w:p>
        </w:tc>
        <w:tc>
          <w:tcPr>
            <w:tcW w:w="994" w:type="dxa"/>
            <w:vAlign w:val="center"/>
          </w:tcPr>
          <w:p>
            <w:pPr>
              <w:pStyle w:val="594"/>
              <w:rPr>
                <w:bCs/>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烟气流量</w:t>
            </w:r>
          </w:p>
        </w:tc>
        <w:tc>
          <w:tcPr>
            <w:tcW w:w="1214" w:type="dxa"/>
            <w:vAlign w:val="center"/>
          </w:tcPr>
          <w:p>
            <w:pPr>
              <w:pStyle w:val="594"/>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w:t>
            </w:r>
          </w:p>
        </w:tc>
        <w:tc>
          <w:tcPr>
            <w:tcW w:w="1674" w:type="dxa"/>
            <w:vAlign w:val="center"/>
          </w:tcPr>
          <w:p>
            <w:pPr>
              <w:pStyle w:val="594"/>
              <w:rPr>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1247.13</w:t>
            </w:r>
            <w:r>
              <w:rPr>
                <w:color w:val="000000" w:themeColor="text1"/>
                <w:kern w:val="2"/>
                <w:highlight w:val="none"/>
                <w14:textFill>
                  <w14:solidFill>
                    <w14:schemeClr w14:val="tx1"/>
                  </w14:solidFill>
                </w14:textFill>
              </w:rPr>
              <w:t>Nm</w:t>
            </w:r>
            <w:r>
              <w:rPr>
                <w:color w:val="000000" w:themeColor="text1"/>
                <w:kern w:val="2"/>
                <w:highlight w:val="none"/>
                <w:vertAlign w:val="superscript"/>
                <w14:textFill>
                  <w14:solidFill>
                    <w14:schemeClr w14:val="tx1"/>
                  </w14:solidFill>
                </w14:textFill>
              </w:rPr>
              <w:t>3</w:t>
            </w:r>
            <w:r>
              <w:rPr>
                <w:color w:val="000000" w:themeColor="text1"/>
                <w:kern w:val="2"/>
                <w:highlight w:val="none"/>
                <w14:textFill>
                  <w14:solidFill>
                    <w14:schemeClr w14:val="tx1"/>
                  </w14:solidFill>
                </w14:textFill>
              </w:rPr>
              <w:t>/</w:t>
            </w:r>
            <w:r>
              <w:rPr>
                <w:rFonts w:hint="eastAsia"/>
                <w:color w:val="000000" w:themeColor="text1"/>
                <w:kern w:val="2"/>
                <w:highlight w:val="none"/>
                <w14:textFill>
                  <w14:solidFill>
                    <w14:schemeClr w14:val="tx1"/>
                  </w14:solidFill>
                </w14:textFill>
              </w:rPr>
              <w:t>h</w:t>
            </w:r>
          </w:p>
          <w:p>
            <w:pPr>
              <w:pStyle w:val="594"/>
              <w:rPr>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996.7</w:t>
            </w:r>
            <w:r>
              <w:rPr>
                <w:rFonts w:cs="Times New Roman"/>
                <w:color w:val="000000" w:themeColor="text1"/>
                <w:kern w:val="2"/>
                <w:highlight w:val="none"/>
                <w14:textFill>
                  <w14:solidFill>
                    <w14:schemeClr w14:val="tx1"/>
                  </w14:solidFill>
                </w14:textFill>
              </w:rPr>
              <w:t>万m</w:t>
            </w:r>
            <w:r>
              <w:rPr>
                <w:rFonts w:hint="eastAsia" w:cs="Times New Roman"/>
                <w:color w:val="000000" w:themeColor="text1"/>
                <w:kern w:val="2"/>
                <w:highlight w:val="none"/>
                <w:vertAlign w:val="superscript"/>
                <w14:textFill>
                  <w14:solidFill>
                    <w14:schemeClr w14:val="tx1"/>
                  </w14:solidFill>
                </w14:textFill>
              </w:rPr>
              <w:t>3</w:t>
            </w:r>
            <w:r>
              <w:rPr>
                <w:rFonts w:cs="Times New Roman"/>
                <w:color w:val="000000" w:themeColor="text1"/>
                <w:kern w:val="2"/>
                <w:highlight w:val="none"/>
                <w14:textFill>
                  <w14:solidFill>
                    <w14:schemeClr w14:val="tx1"/>
                  </w14:solidFill>
                </w14:textFill>
              </w:rPr>
              <w:t>/a</w:t>
            </w:r>
          </w:p>
        </w:tc>
        <w:tc>
          <w:tcPr>
            <w:tcW w:w="626" w:type="dxa"/>
            <w:vMerge w:val="restart"/>
            <w:vAlign w:val="center"/>
          </w:tcPr>
          <w:p>
            <w:pPr>
              <w:pStyle w:val="594"/>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8m</w:t>
            </w:r>
          </w:p>
        </w:tc>
        <w:tc>
          <w:tcPr>
            <w:tcW w:w="772" w:type="dxa"/>
            <w:vMerge w:val="restart"/>
            <w:vAlign w:val="center"/>
          </w:tcPr>
          <w:p>
            <w:pPr>
              <w:pStyle w:val="594"/>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0.</w:t>
            </w:r>
            <w:r>
              <w:rPr>
                <w:rFonts w:hint="eastAsia"/>
                <w:bCs/>
                <w:color w:val="000000" w:themeColor="text1"/>
                <w:kern w:val="2"/>
                <w:highlight w:val="none"/>
                <w14:textFill>
                  <w14:solidFill>
                    <w14:schemeClr w14:val="tx1"/>
                  </w14:solidFill>
                </w14:textFill>
              </w:rPr>
              <w:t>2</w:t>
            </w:r>
            <w:r>
              <w:rPr>
                <w:bCs/>
                <w:color w:val="000000" w:themeColor="text1"/>
                <w:kern w:val="2"/>
                <w:highlight w:val="none"/>
                <w14:textFill>
                  <w14:solidFill>
                    <w14:schemeClr w14:val="tx1"/>
                  </w14:solidFill>
                </w14:textFill>
              </w:rPr>
              <w:t>m</w:t>
            </w:r>
          </w:p>
        </w:tc>
        <w:tc>
          <w:tcPr>
            <w:tcW w:w="941" w:type="dxa"/>
            <w:vMerge w:val="restart"/>
            <w:vAlign w:val="center"/>
          </w:tcPr>
          <w:p>
            <w:pPr>
              <w:pStyle w:val="594"/>
              <w:ind w:firstLine="480"/>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200</w:t>
            </w:r>
          </w:p>
        </w:tc>
        <w:tc>
          <w:tcPr>
            <w:tcW w:w="1489" w:type="dxa"/>
            <w:vMerge w:val="restart"/>
            <w:vAlign w:val="center"/>
          </w:tcPr>
          <w:p>
            <w:pPr>
              <w:pStyle w:val="594"/>
              <w:rPr>
                <w:bCs/>
                <w:color w:val="000000" w:themeColor="text1"/>
                <w:kern w:val="2"/>
                <w:highlight w:val="none"/>
                <w14:textFill>
                  <w14:solidFill>
                    <w14:schemeClr w14:val="tx1"/>
                  </w14:solidFill>
                </w14:textFill>
              </w:rPr>
            </w:pPr>
            <w:r>
              <w:rPr>
                <w:bCs/>
                <w:color w:val="000000" w:themeColor="text1"/>
                <w:highlight w:val="none"/>
                <w14:textFill>
                  <w14:solidFill>
                    <w14:schemeClr w14:val="tx1"/>
                  </w14:solidFill>
                </w14:textFill>
              </w:rPr>
              <w:t>有组织排放，连续24小时，年333天</w:t>
            </w:r>
            <w:r>
              <w:rPr>
                <w:rFonts w:hint="eastAsia"/>
                <w:bCs/>
                <w:color w:val="000000" w:themeColor="text1"/>
                <w:highlight w:val="none"/>
                <w14:textFill>
                  <w14:solidFill>
                    <w14:schemeClr w14:val="tx1"/>
                  </w14:solidFill>
                </w14:textFill>
              </w:rPr>
              <w:t>（扣除检修和关井恢复压力期）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49" w:type="dxa"/>
            <w:vMerge w:val="continue"/>
            <w:vAlign w:val="center"/>
          </w:tcPr>
          <w:p>
            <w:pPr>
              <w:pStyle w:val="594"/>
              <w:ind w:firstLine="480"/>
              <w:rPr>
                <w:color w:val="000000" w:themeColor="text1"/>
                <w:kern w:val="2"/>
                <w:highlight w:val="none"/>
                <w14:textFill>
                  <w14:solidFill>
                    <w14:schemeClr w14:val="tx1"/>
                  </w14:solidFill>
                </w14:textFill>
              </w:rPr>
            </w:pPr>
          </w:p>
        </w:tc>
        <w:tc>
          <w:tcPr>
            <w:tcW w:w="994" w:type="dxa"/>
            <w:vAlign w:val="center"/>
          </w:tcPr>
          <w:p>
            <w:pPr>
              <w:pStyle w:val="594"/>
              <w:rPr>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SO</w:t>
            </w:r>
            <w:r>
              <w:rPr>
                <w:color w:val="000000" w:themeColor="text1"/>
                <w:kern w:val="2"/>
                <w:highlight w:val="none"/>
                <w:vertAlign w:val="subscript"/>
                <w14:textFill>
                  <w14:solidFill>
                    <w14:schemeClr w14:val="tx1"/>
                  </w14:solidFill>
                </w14:textFill>
              </w:rPr>
              <w:t>2</w:t>
            </w:r>
          </w:p>
        </w:tc>
        <w:tc>
          <w:tcPr>
            <w:tcW w:w="1214" w:type="dxa"/>
            <w:vAlign w:val="center"/>
          </w:tcPr>
          <w:p>
            <w:pPr>
              <w:pStyle w:val="594"/>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0.67</w:t>
            </w:r>
          </w:p>
        </w:tc>
        <w:tc>
          <w:tcPr>
            <w:tcW w:w="1674" w:type="dxa"/>
            <w:vAlign w:val="center"/>
          </w:tcPr>
          <w:p>
            <w:pPr>
              <w:pStyle w:val="594"/>
              <w:rPr>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0.0</w:t>
            </w:r>
            <w:r>
              <w:rPr>
                <w:rFonts w:hint="eastAsia"/>
                <w:color w:val="000000" w:themeColor="text1"/>
                <w:kern w:val="2"/>
                <w:highlight w:val="none"/>
                <w14:textFill>
                  <w14:solidFill>
                    <w14:schemeClr w14:val="tx1"/>
                  </w14:solidFill>
                </w14:textFill>
              </w:rPr>
              <w:t>11</w:t>
            </w:r>
            <w:r>
              <w:rPr>
                <w:color w:val="000000" w:themeColor="text1"/>
                <w:kern w:val="2"/>
                <w:highlight w:val="none"/>
                <w14:textFill>
                  <w14:solidFill>
                    <w14:schemeClr w14:val="tx1"/>
                  </w14:solidFill>
                </w14:textFill>
              </w:rPr>
              <w:t>t/a；0.00</w:t>
            </w:r>
            <w:r>
              <w:rPr>
                <w:rFonts w:hint="eastAsia"/>
                <w:color w:val="000000" w:themeColor="text1"/>
                <w:kern w:val="2"/>
                <w:highlight w:val="none"/>
                <w14:textFill>
                  <w14:solidFill>
                    <w14:schemeClr w14:val="tx1"/>
                  </w14:solidFill>
                </w14:textFill>
              </w:rPr>
              <w:t>14</w:t>
            </w:r>
            <w:r>
              <w:rPr>
                <w:color w:val="000000" w:themeColor="text1"/>
                <w:kern w:val="2"/>
                <w:highlight w:val="none"/>
                <w14:textFill>
                  <w14:solidFill>
                    <w14:schemeClr w14:val="tx1"/>
                  </w14:solidFill>
                </w14:textFill>
              </w:rPr>
              <w:t>kg/h</w:t>
            </w:r>
          </w:p>
        </w:tc>
        <w:tc>
          <w:tcPr>
            <w:tcW w:w="626" w:type="dxa"/>
            <w:vMerge w:val="continue"/>
            <w:vAlign w:val="center"/>
          </w:tcPr>
          <w:p>
            <w:pPr>
              <w:pStyle w:val="594"/>
              <w:ind w:firstLine="480"/>
              <w:rPr>
                <w:bCs/>
                <w:color w:val="000000" w:themeColor="text1"/>
                <w:kern w:val="2"/>
                <w:highlight w:val="none"/>
                <w14:textFill>
                  <w14:solidFill>
                    <w14:schemeClr w14:val="tx1"/>
                  </w14:solidFill>
                </w14:textFill>
              </w:rPr>
            </w:pPr>
          </w:p>
        </w:tc>
        <w:tc>
          <w:tcPr>
            <w:tcW w:w="772" w:type="dxa"/>
            <w:vMerge w:val="continue"/>
            <w:vAlign w:val="center"/>
          </w:tcPr>
          <w:p>
            <w:pPr>
              <w:pStyle w:val="594"/>
              <w:ind w:firstLine="480"/>
              <w:rPr>
                <w:bCs/>
                <w:color w:val="000000" w:themeColor="text1"/>
                <w:kern w:val="2"/>
                <w:highlight w:val="none"/>
                <w14:textFill>
                  <w14:solidFill>
                    <w14:schemeClr w14:val="tx1"/>
                  </w14:solidFill>
                </w14:textFill>
              </w:rPr>
            </w:pPr>
          </w:p>
        </w:tc>
        <w:tc>
          <w:tcPr>
            <w:tcW w:w="941" w:type="dxa"/>
            <w:vMerge w:val="continue"/>
            <w:vAlign w:val="center"/>
          </w:tcPr>
          <w:p>
            <w:pPr>
              <w:pStyle w:val="594"/>
              <w:ind w:firstLine="480"/>
              <w:rPr>
                <w:bCs/>
                <w:color w:val="000000" w:themeColor="text1"/>
                <w:kern w:val="2"/>
                <w:highlight w:val="none"/>
                <w14:textFill>
                  <w14:solidFill>
                    <w14:schemeClr w14:val="tx1"/>
                  </w14:solidFill>
                </w14:textFill>
              </w:rPr>
            </w:pPr>
          </w:p>
        </w:tc>
        <w:tc>
          <w:tcPr>
            <w:tcW w:w="1489" w:type="dxa"/>
            <w:vMerge w:val="continue"/>
            <w:vAlign w:val="center"/>
          </w:tcPr>
          <w:p>
            <w:pPr>
              <w:pStyle w:val="594"/>
              <w:ind w:firstLine="480"/>
              <w:rPr>
                <w:bCs/>
                <w:color w:val="000000" w:themeColor="text1"/>
                <w:kern w:val="2"/>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49" w:type="dxa"/>
            <w:vMerge w:val="continue"/>
            <w:vAlign w:val="center"/>
          </w:tcPr>
          <w:p>
            <w:pPr>
              <w:pStyle w:val="594"/>
              <w:ind w:firstLine="480"/>
              <w:rPr>
                <w:color w:val="000000" w:themeColor="text1"/>
                <w:kern w:val="2"/>
                <w:highlight w:val="none"/>
                <w14:textFill>
                  <w14:solidFill>
                    <w14:schemeClr w14:val="tx1"/>
                  </w14:solidFill>
                </w14:textFill>
              </w:rPr>
            </w:pPr>
          </w:p>
        </w:tc>
        <w:tc>
          <w:tcPr>
            <w:tcW w:w="994" w:type="dxa"/>
            <w:vAlign w:val="center"/>
          </w:tcPr>
          <w:p>
            <w:pPr>
              <w:pStyle w:val="594"/>
              <w:jc w:val="center"/>
              <w:rPr>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NOx</w:t>
            </w:r>
          </w:p>
        </w:tc>
        <w:tc>
          <w:tcPr>
            <w:tcW w:w="1214" w:type="dxa"/>
            <w:vAlign w:val="center"/>
          </w:tcPr>
          <w:p>
            <w:pPr>
              <w:pStyle w:val="594"/>
              <w:rPr>
                <w:bCs/>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64.86</w:t>
            </w:r>
          </w:p>
        </w:tc>
        <w:tc>
          <w:tcPr>
            <w:tcW w:w="1674" w:type="dxa"/>
            <w:vAlign w:val="center"/>
          </w:tcPr>
          <w:p>
            <w:pPr>
              <w:pStyle w:val="594"/>
              <w:rPr>
                <w:bCs/>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0.</w:t>
            </w:r>
            <w:r>
              <w:rPr>
                <w:rFonts w:hint="eastAsia"/>
                <w:color w:val="000000" w:themeColor="text1"/>
                <w:kern w:val="2"/>
                <w:highlight w:val="none"/>
                <w14:textFill>
                  <w14:solidFill>
                    <w14:schemeClr w14:val="tx1"/>
                  </w14:solidFill>
                </w14:textFill>
              </w:rPr>
              <w:t>64</w:t>
            </w:r>
            <w:r>
              <w:rPr>
                <w:color w:val="000000" w:themeColor="text1"/>
                <w:kern w:val="2"/>
                <w:highlight w:val="none"/>
                <w14:textFill>
                  <w14:solidFill>
                    <w14:schemeClr w14:val="tx1"/>
                  </w14:solidFill>
                </w14:textFill>
              </w:rPr>
              <w:t>t/a；0.0</w:t>
            </w:r>
            <w:r>
              <w:rPr>
                <w:rFonts w:hint="eastAsia"/>
                <w:color w:val="000000" w:themeColor="text1"/>
                <w:kern w:val="2"/>
                <w:highlight w:val="none"/>
                <w14:textFill>
                  <w14:solidFill>
                    <w14:schemeClr w14:val="tx1"/>
                  </w14:solidFill>
                </w14:textFill>
              </w:rPr>
              <w:t>81</w:t>
            </w:r>
            <w:r>
              <w:rPr>
                <w:color w:val="000000" w:themeColor="text1"/>
                <w:kern w:val="2"/>
                <w:highlight w:val="none"/>
                <w14:textFill>
                  <w14:solidFill>
                    <w14:schemeClr w14:val="tx1"/>
                  </w14:solidFill>
                </w14:textFill>
              </w:rPr>
              <w:t>kg/h</w:t>
            </w:r>
          </w:p>
        </w:tc>
        <w:tc>
          <w:tcPr>
            <w:tcW w:w="626" w:type="dxa"/>
            <w:vMerge w:val="continue"/>
            <w:vAlign w:val="center"/>
          </w:tcPr>
          <w:p>
            <w:pPr>
              <w:pStyle w:val="594"/>
              <w:ind w:firstLine="480"/>
              <w:rPr>
                <w:bCs/>
                <w:color w:val="000000" w:themeColor="text1"/>
                <w:kern w:val="2"/>
                <w:highlight w:val="none"/>
                <w14:textFill>
                  <w14:solidFill>
                    <w14:schemeClr w14:val="tx1"/>
                  </w14:solidFill>
                </w14:textFill>
              </w:rPr>
            </w:pPr>
          </w:p>
        </w:tc>
        <w:tc>
          <w:tcPr>
            <w:tcW w:w="772" w:type="dxa"/>
            <w:vMerge w:val="continue"/>
            <w:vAlign w:val="center"/>
          </w:tcPr>
          <w:p>
            <w:pPr>
              <w:pStyle w:val="594"/>
              <w:ind w:firstLine="480"/>
              <w:rPr>
                <w:bCs/>
                <w:color w:val="000000" w:themeColor="text1"/>
                <w:kern w:val="2"/>
                <w:highlight w:val="none"/>
                <w14:textFill>
                  <w14:solidFill>
                    <w14:schemeClr w14:val="tx1"/>
                  </w14:solidFill>
                </w14:textFill>
              </w:rPr>
            </w:pPr>
          </w:p>
        </w:tc>
        <w:tc>
          <w:tcPr>
            <w:tcW w:w="941" w:type="dxa"/>
            <w:vMerge w:val="continue"/>
            <w:vAlign w:val="center"/>
          </w:tcPr>
          <w:p>
            <w:pPr>
              <w:pStyle w:val="594"/>
              <w:ind w:firstLine="480"/>
              <w:rPr>
                <w:bCs/>
                <w:color w:val="000000" w:themeColor="text1"/>
                <w:kern w:val="2"/>
                <w:highlight w:val="none"/>
                <w14:textFill>
                  <w14:solidFill>
                    <w14:schemeClr w14:val="tx1"/>
                  </w14:solidFill>
                </w14:textFill>
              </w:rPr>
            </w:pPr>
          </w:p>
        </w:tc>
        <w:tc>
          <w:tcPr>
            <w:tcW w:w="1489" w:type="dxa"/>
            <w:vMerge w:val="continue"/>
            <w:vAlign w:val="center"/>
          </w:tcPr>
          <w:p>
            <w:pPr>
              <w:pStyle w:val="594"/>
              <w:ind w:firstLine="480"/>
              <w:rPr>
                <w:bCs/>
                <w:color w:val="000000" w:themeColor="text1"/>
                <w:kern w:val="2"/>
                <w:highlight w:val="none"/>
                <w14:textFill>
                  <w14:solidFill>
                    <w14:schemeClr w14:val="tx1"/>
                  </w14:solidFill>
                </w14:textFill>
              </w:rPr>
            </w:pPr>
          </w:p>
        </w:tc>
      </w:tr>
    </w:tbl>
    <w:p>
      <w:pPr>
        <w:spacing w:before="120" w:beforeLines="50"/>
        <w:ind w:firstLine="480"/>
        <w:rPr>
          <w:bCs/>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由上表可见本项目水套炉燃烧废气通过水套炉自带8m高排气筒排放，满足《锅炉大气污染物排放标准》（GB13271-2014）中大气污染物NOx：200mg/m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、SO</w:t>
      </w:r>
      <w:r>
        <w:rPr>
          <w:rFonts w:cs="Times New Roman"/>
          <w:color w:val="000000" w:themeColor="text1"/>
          <w:szCs w:val="24"/>
          <w:highlight w:val="none"/>
          <w:vertAlign w:val="subscript"/>
          <w14:textFill>
            <w14:solidFill>
              <w14:schemeClr w14:val="tx1"/>
            </w14:solidFill>
          </w14:textFill>
        </w:rPr>
        <w:t>2</w:t>
      </w:r>
      <w:r>
        <w:rPr>
          <w:rFonts w:cs="Times New Roman"/>
          <w:color w:val="000000" w:themeColor="text1"/>
          <w:szCs w:val="24"/>
          <w:highlight w:val="none"/>
          <w14:textFill>
            <w14:solidFill>
              <w14:schemeClr w14:val="tx1"/>
            </w14:solidFill>
          </w14:textFill>
        </w:rPr>
        <w:t>：50mg/m</w:t>
      </w:r>
      <w:r>
        <w:rPr>
          <w:rFonts w:cs="Times New Roman"/>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的</w:t>
      </w:r>
      <w:r>
        <w:rPr>
          <w:rFonts w:cs="Times New Roman"/>
          <w:color w:val="000000" w:themeColor="text1"/>
          <w:szCs w:val="24"/>
          <w:highlight w:val="none"/>
          <w14:textFill>
            <w14:solidFill>
              <w14:schemeClr w14:val="tx1"/>
            </w14:solidFill>
          </w14:textFill>
        </w:rPr>
        <w:t>排放浓度限值要求</w:t>
      </w:r>
      <w:r>
        <w:rPr>
          <w:color w:val="000000" w:themeColor="text1"/>
          <w:highlight w:val="none"/>
          <w14:textFill>
            <w14:solidFill>
              <w14:schemeClr w14:val="tx1"/>
            </w14:solidFill>
          </w14:textFill>
        </w:rPr>
        <w:t>。</w:t>
      </w:r>
    </w:p>
    <w:p>
      <w:pPr>
        <w:ind w:firstLine="480"/>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b/>
          <w:color w:val="000000" w:themeColor="text1"/>
          <w:szCs w:val="24"/>
          <w:highlight w:val="none"/>
          <w:lang w:val="en-US" w:eastAsia="zh-CN"/>
          <w14:textFill>
            <w14:solidFill>
              <w14:schemeClr w14:val="tx1"/>
            </w14:solidFill>
          </w14:textFill>
        </w:rPr>
        <w:t>2）</w:t>
      </w:r>
      <w:r>
        <w:rPr>
          <w:rFonts w:hint="default"/>
          <w:b/>
          <w:color w:val="000000" w:themeColor="text1"/>
          <w:szCs w:val="24"/>
          <w:highlight w:val="none"/>
          <w:lang w:val="en-US" w:eastAsia="zh-CN"/>
          <w14:textFill>
            <w14:solidFill>
              <w14:schemeClr w14:val="tx1"/>
            </w14:solidFill>
          </w14:textFill>
        </w:rPr>
        <w:t>非正常运行状态主要有检修废气或系统超压等情况产生的事故放空燃烧废气</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非正常工况主要废气为站场检修/事故放空废气，项目装置检修时为保证检修过程的安全，需排空装置及管道内的残留天然气，残留天然气通过放空系统点火排放。本项目试采期依托P106集气站已建的放空火炬，本项目的实施不会增加火炬头长明灯废气量。</w:t>
      </w:r>
    </w:p>
    <w:bookmarkEnd w:id="170"/>
    <w:bookmarkEnd w:id="171"/>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废水</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本项目建成后，试采期废水主要为</w:t>
      </w:r>
      <w:r>
        <w:rPr>
          <w:rFonts w:hint="default" w:ascii="Times New Roman" w:hAnsi="Times New Roman" w:cs="Times New Roman"/>
          <w:bCs/>
          <w:color w:val="000000" w:themeColor="text1"/>
          <w:highlight w:val="none"/>
          <w:lang w:val="en-US" w:eastAsia="zh-CN"/>
          <w14:textFill>
            <w14:solidFill>
              <w14:schemeClr w14:val="tx1"/>
            </w14:solidFill>
          </w14:textFill>
        </w:rPr>
        <w:t>气田水</w:t>
      </w:r>
      <w:r>
        <w:rPr>
          <w:rFonts w:hint="default" w:ascii="Times New Roman" w:hAnsi="Times New Roman" w:cs="Times New Roman"/>
          <w:bCs/>
          <w:color w:val="000000" w:themeColor="text1"/>
          <w:highlight w:val="none"/>
          <w14:textFill>
            <w14:solidFill>
              <w14:schemeClr w14:val="tx1"/>
            </w14:solidFill>
          </w14:textFill>
        </w:rPr>
        <w:t>、非正常工况井下作业废水，本项目依托P106集气站采气，试采期工作人员不新增，因此无新增生活污水产生。具体产生情况分析如下</w:t>
      </w:r>
      <w:r>
        <w:rPr>
          <w:rFonts w:hint="default" w:ascii="Times New Roman" w:hAnsi="Times New Roman" w:cs="Times New Roman"/>
          <w:color w:val="000000" w:themeColor="text1"/>
          <w:highlight w:val="none"/>
          <w14:textFill>
            <w14:solidFill>
              <w14:schemeClr w14:val="tx1"/>
            </w14:solidFill>
          </w14:textFill>
        </w:rPr>
        <w:t>。</w:t>
      </w:r>
    </w:p>
    <w:p>
      <w:pPr>
        <w:pStyle w:val="25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eastAsia="宋体" w:cs="Times New Roman"/>
          <w:b/>
          <w:bCs/>
          <w:color w:val="000000" w:themeColor="text1"/>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w:t>
      </w:r>
      <w:r>
        <w:rPr>
          <w:rFonts w:hint="default" w:ascii="Times New Roman" w:hAnsi="Times New Roman" w:cs="Times New Roman"/>
          <w:b/>
          <w:bCs/>
          <w:color w:val="000000" w:themeColor="text1"/>
          <w:highlight w:val="none"/>
          <w:lang w:val="en-US" w:eastAsia="zh-CN"/>
          <w14:textFill>
            <w14:solidFill>
              <w14:schemeClr w14:val="tx1"/>
            </w14:solidFill>
          </w14:textFill>
        </w:rPr>
        <w:t>气田水</w:t>
      </w:r>
    </w:p>
    <w:p>
      <w:pPr>
        <w:pStyle w:val="25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本项目试采期2年，试采初期压裂返排液未完全返排，含压裂返排液的气田水可能达200m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/d以上，此阶段不超过半年，</w:t>
      </w:r>
      <w:bookmarkStart w:id="174" w:name="_Hlk156572519"/>
      <w:r>
        <w:rPr>
          <w:rFonts w:hint="default" w:ascii="Times New Roman" w:hAnsi="Times New Roman" w:cs="Times New Roman"/>
          <w:bCs/>
          <w:color w:val="000000" w:themeColor="text1"/>
          <w:highlight w:val="none"/>
          <w14:textFill>
            <w14:solidFill>
              <w14:schemeClr w14:val="tx1"/>
            </w14:solidFill>
          </w14:textFill>
        </w:rPr>
        <w:t>同气田水一并用依托集气站火炬分液罐收集暂存</w:t>
      </w:r>
      <w:bookmarkEnd w:id="174"/>
      <w:r>
        <w:rPr>
          <w:rFonts w:hint="default" w:ascii="Times New Roman" w:hAnsi="Times New Roman" w:cs="Times New Roman"/>
          <w:bCs/>
          <w:color w:val="000000" w:themeColor="text1"/>
          <w:highlight w:val="none"/>
          <w14:textFill>
            <w14:solidFill>
              <w14:schemeClr w14:val="tx1"/>
            </w14:solidFill>
          </w14:textFill>
        </w:rPr>
        <w:t>，暂存</w:t>
      </w:r>
      <w:r>
        <w:rPr>
          <w:rFonts w:hint="default" w:ascii="Times New Roman" w:hAnsi="Times New Roman" w:cs="Times New Roman"/>
          <w:bCs/>
          <w:color w:val="000000" w:themeColor="text1"/>
          <w:szCs w:val="24"/>
          <w:highlight w:val="none"/>
          <w14:textFill>
            <w14:solidFill>
              <w14:schemeClr w14:val="tx1"/>
            </w14:solidFill>
          </w14:textFill>
        </w:rPr>
        <w:t>一定量后直接用密闭罐车拉运至赵家坝污水处理站处理达到《气田水注入技术要求》（SY/T 6596-2016）中注入水基本要求后管输至普光11井回注站回注处理，不外排。</w:t>
      </w:r>
      <w:r>
        <w:rPr>
          <w:rFonts w:hint="default" w:ascii="Times New Roman" w:hAnsi="Times New Roman" w:cs="Times New Roman"/>
          <w:bCs/>
          <w:color w:val="000000" w:themeColor="text1"/>
          <w:highlight w:val="none"/>
          <w14:textFill>
            <w14:solidFill>
              <w14:schemeClr w14:val="tx1"/>
            </w14:solidFill>
          </w14:textFill>
        </w:rPr>
        <w:t>根据可研报告核算，并类比区块普光气田多个已建天然气井日产气田水情况，预估本项目正常试采时单井气田水产生量约为10m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/d（如普光203-2T井近期日产气田水5m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/d，且随着试采时间的增加，气田水量将逐步减少）。本</w:t>
      </w:r>
      <w:r>
        <w:rPr>
          <w:rFonts w:hint="default" w:ascii="Times New Roman" w:hAnsi="Times New Roman" w:cs="Times New Roman"/>
          <w:color w:val="000000" w:themeColor="text1"/>
          <w:highlight w:val="none"/>
          <w14:textFill>
            <w14:solidFill>
              <w14:schemeClr w14:val="tx1"/>
            </w14:solidFill>
          </w14:textFill>
        </w:rPr>
        <w:t>工程拟新建实验性探井1口，普光106-2H侧钻井建成后采气经采气树一级节流和临时分酸分离后，通过新建输气管道接入P106集气站已建工艺流程，在P106集气站的加热炉加热、节流计量后，将处理的天然气接入已建外输流程。</w:t>
      </w:r>
      <w:bookmarkStart w:id="175" w:name="OLE_LINK272"/>
      <w:bookmarkStart w:id="176" w:name="OLE_LINK273"/>
      <w:r>
        <w:rPr>
          <w:rFonts w:hint="default" w:ascii="Times New Roman" w:hAnsi="Times New Roman" w:cs="Times New Roman"/>
          <w:color w:val="000000" w:themeColor="text1"/>
          <w:highlight w:val="none"/>
          <w14:textFill>
            <w14:solidFill>
              <w14:schemeClr w14:val="tx1"/>
            </w14:solidFill>
          </w14:textFill>
        </w:rPr>
        <w:t>项目试采期来气经复建后的P106集气站进行脱水分离，依托P106集气站已建酸液缓冲罐收集暂存，然后通过密闭罐车拉运至赵家坝污水处理站达到《气田水回注方法》（SY/T 6596-2016）中注入水基本要求后管输至普光11井回注站回注处理，不外排。</w:t>
      </w:r>
      <w:bookmarkEnd w:id="175"/>
      <w:bookmarkEnd w:id="176"/>
    </w:p>
    <w:p>
      <w:pPr>
        <w:ind w:firstLine="480"/>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气田水水质情况参照2021年12月31日D403集气站外输污水管道监测数据，详见</w:t>
      </w:r>
      <w:r>
        <w:rPr>
          <w:rFonts w:hint="default" w:ascii="Times New Roman" w:hAnsi="Times New Roman" w:cs="Times New Roman"/>
          <w:bCs/>
          <w:color w:val="000000" w:themeColor="text1"/>
          <w:highlight w:val="none"/>
          <w14:textFill>
            <w14:solidFill>
              <w14:schemeClr w14:val="tx1"/>
            </w14:solidFill>
          </w14:textFill>
        </w:rPr>
        <w:fldChar w:fldCharType="begin"/>
      </w:r>
      <w:r>
        <w:rPr>
          <w:rFonts w:hint="default" w:ascii="Times New Roman" w:hAnsi="Times New Roman" w:cs="Times New Roman"/>
          <w:bCs/>
          <w:color w:val="000000" w:themeColor="text1"/>
          <w:highlight w:val="none"/>
          <w14:textFill>
            <w14:solidFill>
              <w14:schemeClr w14:val="tx1"/>
            </w14:solidFill>
          </w14:textFill>
        </w:rPr>
        <w:instrText xml:space="preserve"> REF _Ref142593553 \h  \* MERGEFORMAT </w:instrText>
      </w:r>
      <w:r>
        <w:rPr>
          <w:rFonts w:hint="default" w:ascii="Times New Roman" w:hAnsi="Times New Roman" w:cs="Times New Roman"/>
          <w:bCs/>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表3.4</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14</w:t>
      </w:r>
      <w:r>
        <w:rPr>
          <w:rFonts w:hint="default" w:ascii="Times New Roman" w:hAnsi="Times New Roman" w:cs="Times New Roman"/>
          <w:bCs/>
          <w:color w:val="000000" w:themeColor="text1"/>
          <w:highlight w:val="none"/>
          <w14:textFill>
            <w14:solidFill>
              <w14:schemeClr w14:val="tx1"/>
            </w14:solidFill>
          </w14:textFill>
        </w:rPr>
        <w:fldChar w:fldCharType="end"/>
      </w:r>
      <w:r>
        <w:rPr>
          <w:rFonts w:hint="default" w:ascii="Times New Roman" w:hAnsi="Times New Roman" w:cs="Times New Roman"/>
          <w:bCs/>
          <w:color w:val="000000" w:themeColor="text1"/>
          <w:highlight w:val="none"/>
          <w14:textFill>
            <w14:solidFill>
              <w14:schemeClr w14:val="tx1"/>
            </w14:solidFill>
          </w14:textFill>
        </w:rPr>
        <w:t>。</w:t>
      </w:r>
    </w:p>
    <w:p>
      <w:pPr>
        <w:pStyle w:val="201"/>
        <w:spacing w:before="120"/>
        <w:rPr>
          <w:rFonts w:hint="default" w:ascii="Times New Roman" w:hAnsi="Times New Roman" w:eastAsia="黑体" w:cs="Times New Roman"/>
          <w:color w:val="000000" w:themeColor="text1"/>
          <w:highlight w:val="none"/>
          <w:lang w:val="en-US" w:eastAsia="zh-CN"/>
          <w14:textFill>
            <w14:solidFill>
              <w14:schemeClr w14:val="tx1"/>
            </w14:solidFill>
          </w14:textFill>
        </w:rPr>
      </w:pPr>
      <w:bookmarkStart w:id="177" w:name="_Ref142593553"/>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14</w:t>
      </w:r>
      <w:r>
        <w:rPr>
          <w:rFonts w:hint="default" w:ascii="Times New Roman" w:hAnsi="Times New Roman" w:cs="Times New Roman"/>
          <w:color w:val="000000" w:themeColor="text1"/>
          <w:highlight w:val="none"/>
          <w14:textFill>
            <w14:solidFill>
              <w14:schemeClr w14:val="tx1"/>
            </w14:solidFill>
          </w14:textFill>
        </w:rPr>
        <w:fldChar w:fldCharType="end"/>
      </w:r>
      <w:bookmarkEnd w:id="177"/>
      <w:r>
        <w:rPr>
          <w:rFonts w:hint="default" w:ascii="Times New Roman" w:hAnsi="Times New Roman" w:cs="Times New Roman"/>
          <w:color w:val="000000" w:themeColor="text1"/>
          <w:highlight w:val="none"/>
          <w14:textFill>
            <w14:solidFill>
              <w14:schemeClr w14:val="tx1"/>
            </w14:solidFill>
          </w14:textFill>
        </w:rPr>
        <w:t xml:space="preserve"> </w:t>
      </w:r>
      <w:r>
        <w:rPr>
          <w:rFonts w:hint="default" w:ascii="Times New Roman" w:hAnsi="Times New Roman" w:cs="Times New Roman"/>
          <w:color w:val="000000" w:themeColor="text1"/>
          <w:highlight w:val="none"/>
          <w:lang w:eastAsia="zh-CN"/>
          <w14:textFill>
            <w14:solidFill>
              <w14:schemeClr w14:val="tx1"/>
            </w14:solidFill>
          </w14:textFill>
        </w:rPr>
        <w:t>气田水（含初期压裂返排液）</w:t>
      </w:r>
      <w:r>
        <w:rPr>
          <w:rFonts w:hint="default" w:ascii="Times New Roman" w:hAnsi="Times New Roman" w:cs="Times New Roman"/>
          <w:color w:val="000000" w:themeColor="text1"/>
          <w:highlight w:val="none"/>
          <w14:textFill>
            <w14:solidFill>
              <w14:schemeClr w14:val="tx1"/>
            </w14:solidFill>
          </w14:textFill>
        </w:rPr>
        <w:t>水质一览表</w:t>
      </w:r>
      <w:r>
        <w:rPr>
          <w:rFonts w:hint="default"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sz w:val="22"/>
          <w:szCs w:val="22"/>
          <w:highlight w:val="none"/>
          <w14:textFill>
            <w14:solidFill>
              <w14:schemeClr w14:val="tx1"/>
            </w14:solidFill>
          </w14:textFill>
        </w:rPr>
        <w:t>mg/L</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5"/>
        <w:gridCol w:w="702"/>
        <w:gridCol w:w="828"/>
        <w:gridCol w:w="709"/>
        <w:gridCol w:w="709"/>
        <w:gridCol w:w="1301"/>
        <w:gridCol w:w="965"/>
        <w:gridCol w:w="1075"/>
        <w:gridCol w:w="1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jc w:val="center"/>
        </w:trPr>
        <w:tc>
          <w:tcPr>
            <w:tcW w:w="499" w:type="pct"/>
            <w:shd w:val="clear" w:color="auto" w:fill="FFFFFF"/>
            <w:tcMar>
              <w:top w:w="15" w:type="dxa"/>
              <w:left w:w="46" w:type="dxa"/>
              <w:bottom w:w="0" w:type="dxa"/>
              <w:right w:w="46" w:type="dxa"/>
            </w:tcMar>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项目</w:t>
            </w:r>
          </w:p>
        </w:tc>
        <w:tc>
          <w:tcPr>
            <w:tcW w:w="420" w:type="pct"/>
            <w:shd w:val="clear" w:color="auto" w:fill="FFFFFF"/>
            <w:tcMar>
              <w:top w:w="15" w:type="dxa"/>
              <w:left w:w="46" w:type="dxa"/>
              <w:bottom w:w="0" w:type="dxa"/>
              <w:right w:w="46" w:type="dxa"/>
            </w:tcMar>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pH值</w:t>
            </w:r>
          </w:p>
        </w:tc>
        <w:tc>
          <w:tcPr>
            <w:tcW w:w="495" w:type="pct"/>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溶解氧</w:t>
            </w:r>
          </w:p>
        </w:tc>
        <w:tc>
          <w:tcPr>
            <w:tcW w:w="424" w:type="pct"/>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硫化物</w:t>
            </w:r>
          </w:p>
        </w:tc>
        <w:tc>
          <w:tcPr>
            <w:tcW w:w="424" w:type="pct"/>
            <w:shd w:val="clear" w:color="auto" w:fill="FFFFFF"/>
            <w:tcMar>
              <w:top w:w="15" w:type="dxa"/>
              <w:left w:w="46" w:type="dxa"/>
              <w:bottom w:w="0" w:type="dxa"/>
              <w:right w:w="46" w:type="dxa"/>
            </w:tcMar>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含油量</w:t>
            </w:r>
          </w:p>
        </w:tc>
        <w:tc>
          <w:tcPr>
            <w:tcW w:w="778" w:type="pct"/>
            <w:shd w:val="clear" w:color="auto" w:fill="FFFFFF"/>
            <w:tcMar>
              <w:top w:w="15" w:type="dxa"/>
              <w:left w:w="46" w:type="dxa"/>
              <w:bottom w:w="0" w:type="dxa"/>
              <w:right w:w="46" w:type="dxa"/>
            </w:tcMar>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悬浮固体含量</w:t>
            </w:r>
          </w:p>
        </w:tc>
        <w:tc>
          <w:tcPr>
            <w:tcW w:w="577" w:type="pct"/>
            <w:shd w:val="clear" w:color="auto" w:fill="FFFFFF"/>
            <w:tcMar>
              <w:top w:w="15" w:type="dxa"/>
              <w:left w:w="46" w:type="dxa"/>
              <w:bottom w:w="0" w:type="dxa"/>
              <w:right w:w="46" w:type="dxa"/>
            </w:tcMar>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二价铁含量</w:t>
            </w:r>
          </w:p>
        </w:tc>
        <w:tc>
          <w:tcPr>
            <w:tcW w:w="643" w:type="pct"/>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总铁含量</w:t>
            </w:r>
          </w:p>
        </w:tc>
        <w:tc>
          <w:tcPr>
            <w:tcW w:w="739" w:type="pct"/>
            <w:shd w:val="clear" w:color="auto" w:fill="FFFFFF"/>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悬浮物颗粒直径中值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499" w:type="pct"/>
            <w:shd w:val="clear" w:color="auto" w:fill="FFFFFF"/>
            <w:tcMar>
              <w:top w:w="15" w:type="dxa"/>
              <w:left w:w="46" w:type="dxa"/>
              <w:bottom w:w="0" w:type="dxa"/>
              <w:right w:w="46"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浓度</w:t>
            </w:r>
          </w:p>
        </w:tc>
        <w:tc>
          <w:tcPr>
            <w:tcW w:w="420" w:type="pct"/>
            <w:shd w:val="clear" w:color="auto" w:fill="FFFFFF"/>
            <w:tcMar>
              <w:top w:w="15" w:type="dxa"/>
              <w:left w:w="15" w:type="dxa"/>
              <w:bottom w:w="0" w:type="dxa"/>
              <w:right w:w="15"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w:t>
            </w:r>
          </w:p>
        </w:tc>
        <w:tc>
          <w:tcPr>
            <w:tcW w:w="495"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0.20</w:t>
            </w:r>
          </w:p>
        </w:tc>
        <w:tc>
          <w:tcPr>
            <w:tcW w:w="424"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w:t>
            </w:r>
          </w:p>
        </w:tc>
        <w:tc>
          <w:tcPr>
            <w:tcW w:w="424" w:type="pct"/>
            <w:shd w:val="clear" w:color="auto" w:fill="FFFFFF"/>
            <w:tcMar>
              <w:top w:w="15" w:type="dxa"/>
              <w:left w:w="46" w:type="dxa"/>
              <w:bottom w:w="0" w:type="dxa"/>
              <w:right w:w="46"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2.3</w:t>
            </w:r>
          </w:p>
        </w:tc>
        <w:tc>
          <w:tcPr>
            <w:tcW w:w="778" w:type="pct"/>
            <w:shd w:val="clear" w:color="auto" w:fill="FFFFFF"/>
            <w:tcMar>
              <w:top w:w="15" w:type="dxa"/>
              <w:left w:w="46" w:type="dxa"/>
              <w:bottom w:w="0" w:type="dxa"/>
              <w:right w:w="46"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577" w:type="pct"/>
            <w:shd w:val="clear" w:color="auto" w:fill="FFFFFF"/>
            <w:tcMar>
              <w:top w:w="15" w:type="dxa"/>
              <w:left w:w="46" w:type="dxa"/>
              <w:bottom w:w="0" w:type="dxa"/>
              <w:right w:w="46"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643"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739"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w:t>
            </w:r>
          </w:p>
        </w:tc>
      </w:tr>
    </w:tbl>
    <w:p>
      <w:pPr>
        <w:pageBreakBefore w:val="0"/>
        <w:widowControl w:val="0"/>
        <w:kinsoku/>
        <w:wordWrap/>
        <w:overflowPunct/>
        <w:topLinePunct w:val="0"/>
        <w:autoSpaceDE w:val="0"/>
        <w:autoSpaceDN w:val="0"/>
        <w:bidi w:val="0"/>
        <w:adjustRightInd w:val="0"/>
        <w:snapToGrid w:val="0"/>
        <w:ind w:firstLine="482"/>
        <w:textAlignment w:val="baseline"/>
        <w:rPr>
          <w:rFonts w:hint="default" w:ascii="Times New Roman" w:hAnsi="Times New Roman" w:cs="Times New Roman"/>
          <w:b/>
          <w:color w:val="000000" w:themeColor="text1"/>
          <w:highlight w:val="none"/>
          <w14:textFill>
            <w14:solidFill>
              <w14:schemeClr w14:val="tx1"/>
            </w14:solidFill>
          </w14:textFill>
        </w:rPr>
      </w:pPr>
    </w:p>
    <w:p>
      <w:pPr>
        <w:pageBreakBefore w:val="0"/>
        <w:widowControl w:val="0"/>
        <w:kinsoku/>
        <w:wordWrap/>
        <w:overflowPunct/>
        <w:topLinePunct w:val="0"/>
        <w:autoSpaceDE w:val="0"/>
        <w:autoSpaceDN w:val="0"/>
        <w:bidi w:val="0"/>
        <w:adjustRightInd w:val="0"/>
        <w:snapToGrid w:val="0"/>
        <w:ind w:firstLine="482"/>
        <w:textAlignment w:val="baseline"/>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2）非正常工况井下作业废水</w:t>
      </w:r>
    </w:p>
    <w:p>
      <w:pPr>
        <w:pageBreakBefore w:val="0"/>
        <w:widowControl w:val="0"/>
        <w:kinsoku/>
        <w:wordWrap/>
        <w:overflowPunct/>
        <w:topLinePunct w:val="0"/>
        <w:autoSpaceDE w:val="0"/>
        <w:autoSpaceDN w:val="0"/>
        <w:bidi w:val="0"/>
        <w:adjustRightInd w:val="0"/>
        <w:snapToGrid w:val="0"/>
        <w:ind w:firstLine="480"/>
        <w:textAlignment w:val="baseline"/>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正常试采期，当地层堵塞时，为提高地层渗透率，需进行压裂酸化等作业，属于试采期非正常工况。根据类比调查，作业频次为1次/a，单井排放量为50m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/a，将废水用密闭罐车拉运至赵家坝污水处理站处理达标后经普光11井回注站回注。</w:t>
      </w:r>
    </w:p>
    <w:p>
      <w:pPr>
        <w:pStyle w:val="5"/>
        <w:pageBreakBefore w:val="0"/>
        <w:widowControl w:val="0"/>
        <w:kinsoku/>
        <w:wordWrap/>
        <w:overflowPunct/>
        <w:topLinePunct w:val="0"/>
        <w:bidi w:val="0"/>
        <w:adjustRightInd w:val="0"/>
        <w:snapToGrid w:val="0"/>
        <w:spacing w:before="0" w:beforeLines="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噪声</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bookmarkStart w:id="178" w:name="OLE_LINK281"/>
      <w:bookmarkStart w:id="179" w:name="OLE_LINK280"/>
      <w:r>
        <w:rPr>
          <w:rFonts w:hint="default" w:ascii="Times New Roman" w:hAnsi="Times New Roman" w:cs="Times New Roman"/>
          <w:bCs/>
          <w:color w:val="000000" w:themeColor="text1"/>
          <w:highlight w:val="none"/>
          <w14:textFill>
            <w14:solidFill>
              <w14:schemeClr w14:val="tx1"/>
            </w14:solidFill>
          </w14:textFill>
        </w:rPr>
        <w:t>本项目依托P106集气站已建工艺流程进行生产，</w:t>
      </w:r>
      <w:r>
        <w:rPr>
          <w:rFonts w:hint="default" w:ascii="Times New Roman" w:hAnsi="Times New Roman" w:cs="Times New Roman"/>
          <w:color w:val="000000" w:themeColor="text1"/>
          <w:highlight w:val="none"/>
          <w14:textFill>
            <w14:solidFill>
              <w14:schemeClr w14:val="tx1"/>
            </w14:solidFill>
          </w14:textFill>
        </w:rPr>
        <w:t>超声波流量计运行时基本无噪声产生。</w:t>
      </w:r>
      <w:r>
        <w:rPr>
          <w:rFonts w:hint="default" w:ascii="Times New Roman" w:hAnsi="Times New Roman" w:cs="Times New Roman"/>
          <w:bCs/>
          <w:color w:val="000000" w:themeColor="text1"/>
          <w:highlight w:val="none"/>
          <w14:textFill>
            <w14:solidFill>
              <w14:schemeClr w14:val="tx1"/>
            </w14:solidFill>
          </w14:textFill>
        </w:rPr>
        <w:t>试采站内噪声主要来井口采气装置和乙二醇加注橇等设备的气流摩擦噪声，气流摩擦噪声大小与天然气产量及气质组分有关。通过大量钻井项目的试采期气流噪声源类比调查结果，预计本项目试采期单井噪声级约60dB（A）。为有效控制噪声，首先在平面布置时进行合理布局，控制气流速度，减少站场工艺管线的弯头、三通等管件，降低试采站内噪声；其次，选用高效低噪声的水套加热炉、分离器和调压设备。通过采取这些噪声控制措施后，单井噪声源的声级值约55dB（A）以下。</w:t>
      </w:r>
    </w:p>
    <w:bookmarkEnd w:id="178"/>
    <w:bookmarkEnd w:id="179"/>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固废</w:t>
      </w:r>
    </w:p>
    <w:p>
      <w:pPr>
        <w:pStyle w:val="25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bookmarkStart w:id="180" w:name="_Hlk139554817"/>
      <w:r>
        <w:rPr>
          <w:rFonts w:hint="default" w:ascii="Times New Roman" w:hAnsi="Times New Roman" w:cs="Times New Roman"/>
          <w:bCs/>
          <w:color w:val="000000" w:themeColor="text1"/>
          <w:szCs w:val="21"/>
          <w:highlight w:val="none"/>
          <w14:textFill>
            <w14:solidFill>
              <w14:schemeClr w14:val="tx1"/>
            </w14:solidFill>
          </w14:textFill>
        </w:rPr>
        <w:t>本项目拟建工程内容</w:t>
      </w:r>
      <w:r>
        <w:rPr>
          <w:rFonts w:hint="default" w:ascii="Times New Roman" w:hAnsi="Times New Roman" w:cs="Times New Roman"/>
          <w:color w:val="000000" w:themeColor="text1"/>
          <w:highlight w:val="none"/>
          <w14:textFill>
            <w14:solidFill>
              <w14:schemeClr w14:val="tx1"/>
            </w14:solidFill>
          </w14:textFill>
        </w:rPr>
        <w:t>只新增井口采气装置及站内连接管线，在正常运行过程中不会产生固体废物。本项目拟建工程内容不新增清管收发球装置，试采期无清管废渣产生。日常管理依托P106集气站进行，无新增定员，无生活垃圾产生。</w:t>
      </w:r>
    </w:p>
    <w:bookmarkEnd w:id="180"/>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生态环境</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本项目试采期不涉及新增占地（运营期仅增加该部分用地占地时长）。</w:t>
      </w:r>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土壤及地下水环境</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试采期若</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污水泄漏、渗漏，以及</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废水未妥善处置转运</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（发生泄漏）</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，可能会对区域土壤</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及地下水</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环境造成污染影响</w:t>
      </w:r>
      <w:r>
        <w:rPr>
          <w:rFonts w:hint="default" w:ascii="Times New Roman" w:hAnsi="Times New Roman" w:cs="Times New Roman"/>
          <w:bCs/>
          <w:color w:val="000000" w:themeColor="text1"/>
          <w:highlight w:val="none"/>
          <w14:textFill>
            <w14:solidFill>
              <w14:schemeClr w14:val="tx1"/>
            </w14:solidFill>
          </w14:textFill>
        </w:rPr>
        <w:t>。</w:t>
      </w:r>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环境风险</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本项目试采期环境风险主要表现为站内采气管线或设备发生破裂造成天然气泄漏事故以及</w:t>
      </w:r>
      <w:r>
        <w:rPr>
          <w:rFonts w:hint="default" w:ascii="Times New Roman" w:hAnsi="Times New Roman" w:cs="Times New Roman"/>
          <w:bCs/>
          <w:color w:val="000000" w:themeColor="text1"/>
          <w:szCs w:val="24"/>
          <w:highlight w:val="none"/>
          <w:lang w:eastAsia="zh-CN"/>
          <w14:textFill>
            <w14:solidFill>
              <w14:schemeClr w14:val="tx1"/>
            </w14:solidFill>
          </w14:textFill>
        </w:rPr>
        <w:t>泄漏</w:t>
      </w:r>
      <w:r>
        <w:rPr>
          <w:rFonts w:hint="default" w:ascii="Times New Roman" w:hAnsi="Times New Roman" w:cs="Times New Roman"/>
          <w:bCs/>
          <w:color w:val="000000" w:themeColor="text1"/>
          <w:szCs w:val="24"/>
          <w:highlight w:val="none"/>
          <w14:textFill>
            <w14:solidFill>
              <w14:schemeClr w14:val="tx1"/>
            </w14:solidFill>
          </w14:textFill>
        </w:rPr>
        <w:t>气体遇明火引起火灾或爆炸对附近人群生命财产造成伤害与损失，事故时的天然气放空，对附近人群生命财产造成伤害与损失。</w:t>
      </w:r>
      <w:r>
        <w:rPr>
          <w:rFonts w:hint="default" w:ascii="Times New Roman" w:hAnsi="Times New Roman" w:cs="Times New Roman"/>
          <w:bCs/>
          <w:color w:val="000000" w:themeColor="text1"/>
          <w:highlight w:val="none"/>
          <w14:textFill>
            <w14:solidFill>
              <w14:schemeClr w14:val="tx1"/>
            </w14:solidFill>
          </w14:textFill>
        </w:rPr>
        <w:t>火炬分液罐</w:t>
      </w:r>
      <w:r>
        <w:rPr>
          <w:rFonts w:hint="default" w:ascii="Times New Roman" w:hAnsi="Times New Roman" w:cs="Times New Roman"/>
          <w:bCs/>
          <w:color w:val="000000" w:themeColor="text1"/>
          <w:szCs w:val="24"/>
          <w:highlight w:val="none"/>
          <w14:textFill>
            <w14:solidFill>
              <w14:schemeClr w14:val="tx1"/>
            </w14:solidFill>
          </w14:textFill>
        </w:rPr>
        <w:t>存储的</w:t>
      </w:r>
      <w:r>
        <w:rPr>
          <w:rFonts w:hint="default" w:ascii="Times New Roman" w:hAnsi="Times New Roman" w:cs="Times New Roman"/>
          <w:bCs/>
          <w:color w:val="000000" w:themeColor="text1"/>
          <w:szCs w:val="24"/>
          <w:highlight w:val="none"/>
          <w:lang w:eastAsia="zh-CN"/>
          <w14:textFill>
            <w14:solidFill>
              <w14:schemeClr w14:val="tx1"/>
            </w14:solidFill>
          </w14:textFill>
        </w:rPr>
        <w:t>气田水（含初期压裂返排液）</w:t>
      </w:r>
      <w:r>
        <w:rPr>
          <w:rFonts w:hint="default" w:ascii="Times New Roman" w:hAnsi="Times New Roman" w:cs="Times New Roman"/>
          <w:bCs/>
          <w:color w:val="000000" w:themeColor="text1"/>
          <w:szCs w:val="24"/>
          <w:highlight w:val="none"/>
          <w14:textFill>
            <w14:solidFill>
              <w14:schemeClr w14:val="tx1"/>
            </w14:solidFill>
          </w14:textFill>
        </w:rPr>
        <w:t>泄漏环境风险；污染物外运处理中的运输风险等。</w:t>
      </w:r>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w:t>
      </w:r>
      <w:r>
        <w:rPr>
          <w:rFonts w:hint="default" w:ascii="Times New Roman" w:hAnsi="Times New Roman" w:eastAsia="宋体"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三废</w:t>
      </w:r>
      <w:r>
        <w:rPr>
          <w:rFonts w:hint="default" w:ascii="Times New Roman" w:hAnsi="Times New Roman" w:eastAsia="宋体" w:cs="Times New Roman"/>
          <w:color w:val="000000" w:themeColor="text1"/>
          <w:highlight w:val="none"/>
          <w14:textFill>
            <w14:solidFill>
              <w14:schemeClr w14:val="tx1"/>
            </w14:solidFill>
          </w14:textFill>
        </w:rPr>
        <w:t>”</w:t>
      </w:r>
      <w:r>
        <w:rPr>
          <w:rFonts w:hint="default" w:ascii="Times New Roman" w:hAnsi="Times New Roman" w:cs="Times New Roman"/>
          <w:b/>
          <w:bCs w:val="0"/>
          <w:color w:val="000000" w:themeColor="text1"/>
          <w:highlight w:val="none"/>
          <w14:textFill>
            <w14:solidFill>
              <w14:schemeClr w14:val="tx1"/>
            </w14:solidFill>
          </w14:textFill>
        </w:rPr>
        <w:t>汇总</w:t>
      </w:r>
      <w:r>
        <w:rPr>
          <w:rFonts w:hint="default" w:ascii="Times New Roman" w:hAnsi="Times New Roman" w:cs="Times New Roman"/>
          <w:color w:val="000000" w:themeColor="text1"/>
          <w:highlight w:val="none"/>
          <w14:textFill>
            <w14:solidFill>
              <w14:schemeClr w14:val="tx1"/>
            </w14:solidFill>
          </w14:textFill>
        </w:rPr>
        <w:t>表</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综上所述，本项目试采期污染物产生量及排放状况与生态影响见下表。</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本项目试采期正常工况下“三废”及生态影响汇总表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3"/>
        <w:gridCol w:w="1348"/>
        <w:gridCol w:w="1106"/>
        <w:gridCol w:w="1423"/>
        <w:gridCol w:w="1447"/>
        <w:gridCol w:w="2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blHeader/>
          <w:jc w:val="center"/>
        </w:trPr>
        <w:tc>
          <w:tcPr>
            <w:tcW w:w="2051" w:type="dxa"/>
            <w:gridSpan w:val="2"/>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污染源</w:t>
            </w:r>
          </w:p>
        </w:tc>
        <w:tc>
          <w:tcPr>
            <w:tcW w:w="1106"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主要污染物</w:t>
            </w:r>
          </w:p>
        </w:tc>
        <w:tc>
          <w:tcPr>
            <w:tcW w:w="1423"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产生量</w:t>
            </w:r>
          </w:p>
        </w:tc>
        <w:tc>
          <w:tcPr>
            <w:tcW w:w="144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排放量</w:t>
            </w:r>
          </w:p>
        </w:tc>
        <w:tc>
          <w:tcPr>
            <w:tcW w:w="2195"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restart"/>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废气</w:t>
            </w:r>
          </w:p>
        </w:tc>
        <w:tc>
          <w:tcPr>
            <w:tcW w:w="1348" w:type="dxa"/>
            <w:vAlign w:val="center"/>
          </w:tcPr>
          <w:p>
            <w:pPr>
              <w:pStyle w:val="295"/>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水套加热炉烧废气</w:t>
            </w:r>
          </w:p>
        </w:tc>
        <w:tc>
          <w:tcPr>
            <w:tcW w:w="110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SO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、NOx</w:t>
            </w:r>
          </w:p>
        </w:tc>
        <w:tc>
          <w:tcPr>
            <w:tcW w:w="1423" w:type="dxa"/>
            <w:vAlign w:val="center"/>
          </w:tcPr>
          <w:p>
            <w:pPr>
              <w:pStyle w:val="594"/>
              <w:rPr>
                <w:color w:val="000000" w:themeColor="text1"/>
                <w:kern w:val="2"/>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废气量：</w:t>
            </w:r>
            <w:r>
              <w:rPr>
                <w:rFonts w:hint="eastAsia"/>
                <w:color w:val="000000" w:themeColor="text1"/>
                <w:kern w:val="2"/>
                <w:highlight w:val="none"/>
                <w14:textFill>
                  <w14:solidFill>
                    <w14:schemeClr w14:val="tx1"/>
                  </w14:solidFill>
                </w14:textFill>
              </w:rPr>
              <w:t>1247.13</w:t>
            </w:r>
            <w:r>
              <w:rPr>
                <w:color w:val="000000" w:themeColor="text1"/>
                <w:kern w:val="2"/>
                <w:highlight w:val="none"/>
                <w14:textFill>
                  <w14:solidFill>
                    <w14:schemeClr w14:val="tx1"/>
                  </w14:solidFill>
                </w14:textFill>
              </w:rPr>
              <w:t>Nm</w:t>
            </w:r>
            <w:r>
              <w:rPr>
                <w:color w:val="000000" w:themeColor="text1"/>
                <w:kern w:val="2"/>
                <w:highlight w:val="none"/>
                <w:vertAlign w:val="superscript"/>
                <w14:textFill>
                  <w14:solidFill>
                    <w14:schemeClr w14:val="tx1"/>
                  </w14:solidFill>
                </w14:textFill>
              </w:rPr>
              <w:t>3</w:t>
            </w:r>
            <w:r>
              <w:rPr>
                <w:color w:val="000000" w:themeColor="text1"/>
                <w:kern w:val="2"/>
                <w:highlight w:val="none"/>
                <w14:textFill>
                  <w14:solidFill>
                    <w14:schemeClr w14:val="tx1"/>
                  </w14:solidFill>
                </w14:textFill>
              </w:rPr>
              <w:t>/</w:t>
            </w:r>
            <w:r>
              <w:rPr>
                <w:rFonts w:hint="eastAsia"/>
                <w:color w:val="000000" w:themeColor="text1"/>
                <w:kern w:val="2"/>
                <w:highlight w:val="none"/>
                <w14:textFill>
                  <w14:solidFill>
                    <w14:schemeClr w14:val="tx1"/>
                  </w14:solidFill>
                </w14:textFill>
              </w:rPr>
              <w:t>h</w:t>
            </w:r>
          </w:p>
          <w:p>
            <w:pPr>
              <w:pStyle w:val="295"/>
              <w:rPr>
                <w:rFonts w:hint="eastAsia" w:eastAsia="宋体" w:cs="Times New Roman"/>
                <w:bCs/>
                <w:color w:val="000000" w:themeColor="text1"/>
                <w:highlight w:val="none"/>
                <w:lang w:val="en-US" w:eastAsia="zh-CN"/>
                <w14:textFill>
                  <w14:solidFill>
                    <w14:schemeClr w14:val="tx1"/>
                  </w14:solidFill>
                </w14:textFill>
              </w:rPr>
            </w:pPr>
            <w:r>
              <w:rPr>
                <w:rFonts w:hint="eastAsia"/>
                <w:color w:val="000000" w:themeColor="text1"/>
                <w:kern w:val="2"/>
                <w:highlight w:val="none"/>
                <w14:textFill>
                  <w14:solidFill>
                    <w14:schemeClr w14:val="tx1"/>
                  </w14:solidFill>
                </w14:textFill>
              </w:rPr>
              <w:t>996.7</w:t>
            </w:r>
            <w:r>
              <w:rPr>
                <w:rFonts w:cs="Times New Roman"/>
                <w:color w:val="000000" w:themeColor="text1"/>
                <w:kern w:val="2"/>
                <w:highlight w:val="none"/>
                <w14:textFill>
                  <w14:solidFill>
                    <w14:schemeClr w14:val="tx1"/>
                  </w14:solidFill>
                </w14:textFill>
              </w:rPr>
              <w:t>万m</w:t>
            </w:r>
            <w:r>
              <w:rPr>
                <w:rFonts w:hint="eastAsia" w:cs="Times New Roman"/>
                <w:color w:val="000000" w:themeColor="text1"/>
                <w:kern w:val="2"/>
                <w:highlight w:val="none"/>
                <w:vertAlign w:val="superscript"/>
                <w14:textFill>
                  <w14:solidFill>
                    <w14:schemeClr w14:val="tx1"/>
                  </w14:solidFill>
                </w14:textFill>
              </w:rPr>
              <w:t>3</w:t>
            </w:r>
            <w:r>
              <w:rPr>
                <w:rFonts w:cs="Times New Roman"/>
                <w:color w:val="000000" w:themeColor="text1"/>
                <w:kern w:val="2"/>
                <w:highlight w:val="none"/>
                <w14:textFill>
                  <w14:solidFill>
                    <w14:schemeClr w14:val="tx1"/>
                  </w14:solidFill>
                </w14:textFill>
              </w:rPr>
              <w:t>/a</w:t>
            </w:r>
            <w:r>
              <w:rPr>
                <w:rFonts w:hint="eastAsia" w:cs="Times New Roman"/>
                <w:color w:val="000000" w:themeColor="text1"/>
                <w:kern w:val="2"/>
                <w:highlight w:val="none"/>
                <w:lang w:eastAsia="zh-CN"/>
                <w14:textFill>
                  <w14:solidFill>
                    <w14:schemeClr w14:val="tx1"/>
                  </w14:solidFill>
                </w14:textFill>
              </w:rPr>
              <w:t>；</w:t>
            </w:r>
          </w:p>
          <w:p>
            <w:pPr>
              <w:pStyle w:val="295"/>
              <w:rPr>
                <w:rFonts w:hint="eastAsia"/>
                <w:color w:val="000000" w:themeColor="text1"/>
                <w:kern w:val="2"/>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SO</w:t>
            </w:r>
            <w:r>
              <w:rPr>
                <w:rFonts w:hint="eastAsia" w:cs="Times New Roman"/>
                <w:bCs/>
                <w:color w:val="000000" w:themeColor="text1"/>
                <w:highlight w:val="none"/>
                <w:vertAlign w:val="subscript"/>
                <w:lang w:val="en-US" w:eastAsia="zh-CN"/>
                <w14:textFill>
                  <w14:solidFill>
                    <w14:schemeClr w14:val="tx1"/>
                  </w14:solidFill>
                </w14:textFill>
              </w:rPr>
              <w:t>2</w:t>
            </w:r>
            <w:r>
              <w:rPr>
                <w:rFonts w:hint="eastAsia" w:cs="Times New Roman"/>
                <w:bCs/>
                <w:color w:val="000000" w:themeColor="text1"/>
                <w:highlight w:val="none"/>
                <w:vertAlign w:val="baseline"/>
                <w:lang w:val="en-US" w:eastAsia="zh-CN"/>
                <w14:textFill>
                  <w14:solidFill>
                    <w14:schemeClr w14:val="tx1"/>
                  </w14:solidFill>
                </w14:textFill>
              </w:rPr>
              <w:t>:</w:t>
            </w:r>
            <w:r>
              <w:rPr>
                <w:color w:val="000000" w:themeColor="text1"/>
                <w:kern w:val="2"/>
                <w:highlight w:val="none"/>
                <w14:textFill>
                  <w14:solidFill>
                    <w14:schemeClr w14:val="tx1"/>
                  </w14:solidFill>
                </w14:textFill>
              </w:rPr>
              <w:t>0.0</w:t>
            </w:r>
            <w:r>
              <w:rPr>
                <w:rFonts w:hint="eastAsia"/>
                <w:color w:val="000000" w:themeColor="text1"/>
                <w:kern w:val="2"/>
                <w:highlight w:val="none"/>
                <w14:textFill>
                  <w14:solidFill>
                    <w14:schemeClr w14:val="tx1"/>
                  </w14:solidFill>
                </w14:textFill>
              </w:rPr>
              <w:t>11</w:t>
            </w:r>
            <w:r>
              <w:rPr>
                <w:color w:val="000000" w:themeColor="text1"/>
                <w:kern w:val="2"/>
                <w:highlight w:val="none"/>
                <w14:textFill>
                  <w14:solidFill>
                    <w14:schemeClr w14:val="tx1"/>
                  </w14:solidFill>
                </w14:textFill>
              </w:rPr>
              <w:t>t/a；0.00</w:t>
            </w:r>
            <w:r>
              <w:rPr>
                <w:rFonts w:hint="eastAsia"/>
                <w:color w:val="000000" w:themeColor="text1"/>
                <w:kern w:val="2"/>
                <w:highlight w:val="none"/>
                <w14:textFill>
                  <w14:solidFill>
                    <w14:schemeClr w14:val="tx1"/>
                  </w14:solidFill>
                </w14:textFill>
              </w:rPr>
              <w:t>14</w:t>
            </w:r>
            <w:r>
              <w:rPr>
                <w:color w:val="000000" w:themeColor="text1"/>
                <w:kern w:val="2"/>
                <w:highlight w:val="none"/>
                <w14:textFill>
                  <w14:solidFill>
                    <w14:schemeClr w14:val="tx1"/>
                  </w14:solidFill>
                </w14:textFill>
              </w:rPr>
              <w:t>kg/h</w:t>
            </w:r>
            <w:r>
              <w:rPr>
                <w:rFonts w:hint="eastAsia"/>
                <w:color w:val="000000" w:themeColor="text1"/>
                <w:kern w:val="2"/>
                <w:highlight w:val="none"/>
                <w:lang w:val="en-US" w:eastAsia="zh-CN"/>
                <w14:textFill>
                  <w14:solidFill>
                    <w14:schemeClr w14:val="tx1"/>
                  </w14:solidFill>
                </w14:textFill>
              </w:rPr>
              <w:t>;</w:t>
            </w:r>
          </w:p>
          <w:p>
            <w:pPr>
              <w:pStyle w:val="295"/>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NOx</w:t>
            </w:r>
            <w:r>
              <w:rPr>
                <w:rFonts w:hint="eastAsia" w:cs="Times New Roman"/>
                <w:bCs/>
                <w:color w:val="000000" w:themeColor="text1"/>
                <w:highlight w:val="none"/>
                <w:vertAlign w:val="baseline"/>
                <w:lang w:val="en-US" w:eastAsia="zh-CN"/>
                <w14:textFill>
                  <w14:solidFill>
                    <w14:schemeClr w14:val="tx1"/>
                  </w14:solidFill>
                </w14:textFill>
              </w:rPr>
              <w:t>:</w:t>
            </w:r>
            <w:r>
              <w:rPr>
                <w:color w:val="000000" w:themeColor="text1"/>
                <w:kern w:val="2"/>
                <w:highlight w:val="none"/>
                <w14:textFill>
                  <w14:solidFill>
                    <w14:schemeClr w14:val="tx1"/>
                  </w14:solidFill>
                </w14:textFill>
              </w:rPr>
              <w:t>0.</w:t>
            </w:r>
            <w:r>
              <w:rPr>
                <w:rFonts w:hint="eastAsia"/>
                <w:color w:val="000000" w:themeColor="text1"/>
                <w:kern w:val="2"/>
                <w:highlight w:val="none"/>
                <w14:textFill>
                  <w14:solidFill>
                    <w14:schemeClr w14:val="tx1"/>
                  </w14:solidFill>
                </w14:textFill>
              </w:rPr>
              <w:t>64</w:t>
            </w:r>
            <w:r>
              <w:rPr>
                <w:color w:val="000000" w:themeColor="text1"/>
                <w:kern w:val="2"/>
                <w:highlight w:val="none"/>
                <w14:textFill>
                  <w14:solidFill>
                    <w14:schemeClr w14:val="tx1"/>
                  </w14:solidFill>
                </w14:textFill>
              </w:rPr>
              <w:t>t/a；0.0</w:t>
            </w:r>
            <w:r>
              <w:rPr>
                <w:rFonts w:hint="eastAsia"/>
                <w:color w:val="000000" w:themeColor="text1"/>
                <w:kern w:val="2"/>
                <w:highlight w:val="none"/>
                <w14:textFill>
                  <w14:solidFill>
                    <w14:schemeClr w14:val="tx1"/>
                  </w14:solidFill>
                </w14:textFill>
              </w:rPr>
              <w:t>81</w:t>
            </w:r>
            <w:r>
              <w:rPr>
                <w:color w:val="000000" w:themeColor="text1"/>
                <w:kern w:val="2"/>
                <w:highlight w:val="none"/>
                <w14:textFill>
                  <w14:solidFill>
                    <w14:schemeClr w14:val="tx1"/>
                  </w14:solidFill>
                </w14:textFill>
              </w:rPr>
              <w:t>kg/h</w:t>
            </w:r>
          </w:p>
        </w:tc>
        <w:tc>
          <w:tcPr>
            <w:tcW w:w="1447" w:type="dxa"/>
            <w:vAlign w:val="center"/>
          </w:tcPr>
          <w:p>
            <w:pPr>
              <w:pStyle w:val="594"/>
              <w:rPr>
                <w:color w:val="000000" w:themeColor="text1"/>
                <w:kern w:val="2"/>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废气量：</w:t>
            </w:r>
            <w:r>
              <w:rPr>
                <w:rFonts w:hint="eastAsia"/>
                <w:color w:val="000000" w:themeColor="text1"/>
                <w:kern w:val="2"/>
                <w:highlight w:val="none"/>
                <w14:textFill>
                  <w14:solidFill>
                    <w14:schemeClr w14:val="tx1"/>
                  </w14:solidFill>
                </w14:textFill>
              </w:rPr>
              <w:t>1247.13</w:t>
            </w:r>
            <w:r>
              <w:rPr>
                <w:color w:val="000000" w:themeColor="text1"/>
                <w:kern w:val="2"/>
                <w:highlight w:val="none"/>
                <w14:textFill>
                  <w14:solidFill>
                    <w14:schemeClr w14:val="tx1"/>
                  </w14:solidFill>
                </w14:textFill>
              </w:rPr>
              <w:t>Nm</w:t>
            </w:r>
            <w:r>
              <w:rPr>
                <w:color w:val="000000" w:themeColor="text1"/>
                <w:kern w:val="2"/>
                <w:highlight w:val="none"/>
                <w:vertAlign w:val="superscript"/>
                <w14:textFill>
                  <w14:solidFill>
                    <w14:schemeClr w14:val="tx1"/>
                  </w14:solidFill>
                </w14:textFill>
              </w:rPr>
              <w:t>3</w:t>
            </w:r>
            <w:r>
              <w:rPr>
                <w:color w:val="000000" w:themeColor="text1"/>
                <w:kern w:val="2"/>
                <w:highlight w:val="none"/>
                <w14:textFill>
                  <w14:solidFill>
                    <w14:schemeClr w14:val="tx1"/>
                  </w14:solidFill>
                </w14:textFill>
              </w:rPr>
              <w:t>/</w:t>
            </w:r>
            <w:r>
              <w:rPr>
                <w:rFonts w:hint="eastAsia"/>
                <w:color w:val="000000" w:themeColor="text1"/>
                <w:kern w:val="2"/>
                <w:highlight w:val="none"/>
                <w14:textFill>
                  <w14:solidFill>
                    <w14:schemeClr w14:val="tx1"/>
                  </w14:solidFill>
                </w14:textFill>
              </w:rPr>
              <w:t>h</w:t>
            </w:r>
          </w:p>
          <w:p>
            <w:pPr>
              <w:pStyle w:val="295"/>
              <w:rPr>
                <w:rFonts w:hint="eastAsia" w:eastAsia="宋体" w:cs="Times New Roman"/>
                <w:bCs/>
                <w:color w:val="000000" w:themeColor="text1"/>
                <w:highlight w:val="none"/>
                <w:lang w:val="en-US" w:eastAsia="zh-CN"/>
                <w14:textFill>
                  <w14:solidFill>
                    <w14:schemeClr w14:val="tx1"/>
                  </w14:solidFill>
                </w14:textFill>
              </w:rPr>
            </w:pPr>
            <w:r>
              <w:rPr>
                <w:rFonts w:hint="eastAsia"/>
                <w:color w:val="000000" w:themeColor="text1"/>
                <w:kern w:val="2"/>
                <w:highlight w:val="none"/>
                <w14:textFill>
                  <w14:solidFill>
                    <w14:schemeClr w14:val="tx1"/>
                  </w14:solidFill>
                </w14:textFill>
              </w:rPr>
              <w:t>996.7</w:t>
            </w:r>
            <w:r>
              <w:rPr>
                <w:rFonts w:cs="Times New Roman"/>
                <w:color w:val="000000" w:themeColor="text1"/>
                <w:kern w:val="2"/>
                <w:highlight w:val="none"/>
                <w14:textFill>
                  <w14:solidFill>
                    <w14:schemeClr w14:val="tx1"/>
                  </w14:solidFill>
                </w14:textFill>
              </w:rPr>
              <w:t>万m</w:t>
            </w:r>
            <w:r>
              <w:rPr>
                <w:rFonts w:hint="eastAsia" w:cs="Times New Roman"/>
                <w:color w:val="000000" w:themeColor="text1"/>
                <w:kern w:val="2"/>
                <w:highlight w:val="none"/>
                <w:vertAlign w:val="superscript"/>
                <w14:textFill>
                  <w14:solidFill>
                    <w14:schemeClr w14:val="tx1"/>
                  </w14:solidFill>
                </w14:textFill>
              </w:rPr>
              <w:t>3</w:t>
            </w:r>
            <w:r>
              <w:rPr>
                <w:rFonts w:cs="Times New Roman"/>
                <w:color w:val="000000" w:themeColor="text1"/>
                <w:kern w:val="2"/>
                <w:highlight w:val="none"/>
                <w14:textFill>
                  <w14:solidFill>
                    <w14:schemeClr w14:val="tx1"/>
                  </w14:solidFill>
                </w14:textFill>
              </w:rPr>
              <w:t>/a</w:t>
            </w:r>
            <w:r>
              <w:rPr>
                <w:rFonts w:hint="eastAsia" w:cs="Times New Roman"/>
                <w:color w:val="000000" w:themeColor="text1"/>
                <w:kern w:val="2"/>
                <w:highlight w:val="none"/>
                <w:lang w:eastAsia="zh-CN"/>
                <w14:textFill>
                  <w14:solidFill>
                    <w14:schemeClr w14:val="tx1"/>
                  </w14:solidFill>
                </w14:textFill>
              </w:rPr>
              <w:t>；</w:t>
            </w:r>
          </w:p>
          <w:p>
            <w:pPr>
              <w:pStyle w:val="295"/>
              <w:rPr>
                <w:rFonts w:hint="eastAsia"/>
                <w:color w:val="000000" w:themeColor="text1"/>
                <w:kern w:val="2"/>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SO</w:t>
            </w:r>
            <w:r>
              <w:rPr>
                <w:rFonts w:hint="eastAsia" w:cs="Times New Roman"/>
                <w:bCs/>
                <w:color w:val="000000" w:themeColor="text1"/>
                <w:highlight w:val="none"/>
                <w:vertAlign w:val="subscript"/>
                <w:lang w:val="en-US" w:eastAsia="zh-CN"/>
                <w14:textFill>
                  <w14:solidFill>
                    <w14:schemeClr w14:val="tx1"/>
                  </w14:solidFill>
                </w14:textFill>
              </w:rPr>
              <w:t>2</w:t>
            </w:r>
            <w:r>
              <w:rPr>
                <w:rFonts w:hint="eastAsia" w:cs="Times New Roman"/>
                <w:bCs/>
                <w:color w:val="000000" w:themeColor="text1"/>
                <w:highlight w:val="none"/>
                <w:vertAlign w:val="baseline"/>
                <w:lang w:val="en-US" w:eastAsia="zh-CN"/>
                <w14:textFill>
                  <w14:solidFill>
                    <w14:schemeClr w14:val="tx1"/>
                  </w14:solidFill>
                </w14:textFill>
              </w:rPr>
              <w:t>:</w:t>
            </w:r>
            <w:r>
              <w:rPr>
                <w:color w:val="000000" w:themeColor="text1"/>
                <w:kern w:val="2"/>
                <w:highlight w:val="none"/>
                <w14:textFill>
                  <w14:solidFill>
                    <w14:schemeClr w14:val="tx1"/>
                  </w14:solidFill>
                </w14:textFill>
              </w:rPr>
              <w:t>0.0</w:t>
            </w:r>
            <w:r>
              <w:rPr>
                <w:rFonts w:hint="eastAsia"/>
                <w:color w:val="000000" w:themeColor="text1"/>
                <w:kern w:val="2"/>
                <w:highlight w:val="none"/>
                <w14:textFill>
                  <w14:solidFill>
                    <w14:schemeClr w14:val="tx1"/>
                  </w14:solidFill>
                </w14:textFill>
              </w:rPr>
              <w:t>11</w:t>
            </w:r>
            <w:r>
              <w:rPr>
                <w:color w:val="000000" w:themeColor="text1"/>
                <w:kern w:val="2"/>
                <w:highlight w:val="none"/>
                <w14:textFill>
                  <w14:solidFill>
                    <w14:schemeClr w14:val="tx1"/>
                  </w14:solidFill>
                </w14:textFill>
              </w:rPr>
              <w:t>t/a；0.00</w:t>
            </w:r>
            <w:r>
              <w:rPr>
                <w:rFonts w:hint="eastAsia"/>
                <w:color w:val="000000" w:themeColor="text1"/>
                <w:kern w:val="2"/>
                <w:highlight w:val="none"/>
                <w14:textFill>
                  <w14:solidFill>
                    <w14:schemeClr w14:val="tx1"/>
                  </w14:solidFill>
                </w14:textFill>
              </w:rPr>
              <w:t>14</w:t>
            </w:r>
            <w:r>
              <w:rPr>
                <w:color w:val="000000" w:themeColor="text1"/>
                <w:kern w:val="2"/>
                <w:highlight w:val="none"/>
                <w14:textFill>
                  <w14:solidFill>
                    <w14:schemeClr w14:val="tx1"/>
                  </w14:solidFill>
                </w14:textFill>
              </w:rPr>
              <w:t>kg/h</w:t>
            </w:r>
            <w:r>
              <w:rPr>
                <w:rFonts w:hint="eastAsia"/>
                <w:color w:val="000000" w:themeColor="text1"/>
                <w:kern w:val="2"/>
                <w:highlight w:val="none"/>
                <w:lang w:val="en-US" w:eastAsia="zh-CN"/>
                <w14:textFill>
                  <w14:solidFill>
                    <w14:schemeClr w14:val="tx1"/>
                  </w14:solidFill>
                </w14:textFill>
              </w:rPr>
              <w:t>;</w:t>
            </w:r>
          </w:p>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NOx</w:t>
            </w:r>
            <w:r>
              <w:rPr>
                <w:rFonts w:hint="eastAsia" w:cs="Times New Roman"/>
                <w:bCs/>
                <w:color w:val="000000" w:themeColor="text1"/>
                <w:highlight w:val="none"/>
                <w:vertAlign w:val="baseline"/>
                <w:lang w:val="en-US" w:eastAsia="zh-CN"/>
                <w14:textFill>
                  <w14:solidFill>
                    <w14:schemeClr w14:val="tx1"/>
                  </w14:solidFill>
                </w14:textFill>
              </w:rPr>
              <w:t>:</w:t>
            </w:r>
            <w:r>
              <w:rPr>
                <w:color w:val="000000" w:themeColor="text1"/>
                <w:kern w:val="2"/>
                <w:highlight w:val="none"/>
                <w14:textFill>
                  <w14:solidFill>
                    <w14:schemeClr w14:val="tx1"/>
                  </w14:solidFill>
                </w14:textFill>
              </w:rPr>
              <w:t>0.</w:t>
            </w:r>
            <w:r>
              <w:rPr>
                <w:rFonts w:hint="eastAsia"/>
                <w:color w:val="000000" w:themeColor="text1"/>
                <w:kern w:val="2"/>
                <w:highlight w:val="none"/>
                <w14:textFill>
                  <w14:solidFill>
                    <w14:schemeClr w14:val="tx1"/>
                  </w14:solidFill>
                </w14:textFill>
              </w:rPr>
              <w:t>64</w:t>
            </w:r>
            <w:r>
              <w:rPr>
                <w:color w:val="000000" w:themeColor="text1"/>
                <w:kern w:val="2"/>
                <w:highlight w:val="none"/>
                <w14:textFill>
                  <w14:solidFill>
                    <w14:schemeClr w14:val="tx1"/>
                  </w14:solidFill>
                </w14:textFill>
              </w:rPr>
              <w:t>t/a；0.0</w:t>
            </w:r>
            <w:r>
              <w:rPr>
                <w:rFonts w:hint="eastAsia"/>
                <w:color w:val="000000" w:themeColor="text1"/>
                <w:kern w:val="2"/>
                <w:highlight w:val="none"/>
                <w14:textFill>
                  <w14:solidFill>
                    <w14:schemeClr w14:val="tx1"/>
                  </w14:solidFill>
                </w14:textFill>
              </w:rPr>
              <w:t>81</w:t>
            </w:r>
            <w:r>
              <w:rPr>
                <w:color w:val="000000" w:themeColor="text1"/>
                <w:kern w:val="2"/>
                <w:highlight w:val="none"/>
                <w14:textFill>
                  <w14:solidFill>
                    <w14:schemeClr w14:val="tx1"/>
                  </w14:solidFill>
                </w14:textFill>
              </w:rPr>
              <w:t>kg/h</w:t>
            </w:r>
          </w:p>
        </w:tc>
        <w:tc>
          <w:tcPr>
            <w:tcW w:w="219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通过水套炉自带8m高排气筒排放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48" w:type="dxa"/>
            <w:vAlign w:val="center"/>
          </w:tcPr>
          <w:p>
            <w:pPr>
              <w:pStyle w:val="295"/>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设备检修或系统超压时排放少量天然气</w:t>
            </w:r>
          </w:p>
        </w:tc>
        <w:tc>
          <w:tcPr>
            <w:tcW w:w="1106" w:type="dxa"/>
            <w:vAlign w:val="center"/>
          </w:tcPr>
          <w:p>
            <w:pPr>
              <w:pStyle w:val="295"/>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SO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、NOx、颗粒物</w:t>
            </w:r>
          </w:p>
        </w:tc>
        <w:tc>
          <w:tcPr>
            <w:tcW w:w="1423" w:type="dxa"/>
            <w:vAlign w:val="center"/>
          </w:tcPr>
          <w:p>
            <w:pPr>
              <w:pStyle w:val="295"/>
              <w:rPr>
                <w:rFonts w:hint="default" w:ascii="Times New Roman" w:hAnsi="Times New Roman" w:eastAsia="宋体" w:cs="Times New Roman"/>
                <w:bCs/>
                <w:color w:val="000000" w:themeColor="text1"/>
                <w:kern w:val="2"/>
                <w:sz w:val="21"/>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447" w:type="dxa"/>
            <w:vAlign w:val="center"/>
          </w:tcPr>
          <w:p>
            <w:pPr>
              <w:pStyle w:val="295"/>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2195" w:type="dxa"/>
            <w:vAlign w:val="center"/>
          </w:tcPr>
          <w:p>
            <w:pPr>
              <w:pStyle w:val="295"/>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依托P106集气站内放空火炬系统和点火排放，火炬系统排气筒高度60m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restart"/>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废水</w:t>
            </w:r>
          </w:p>
        </w:tc>
        <w:tc>
          <w:tcPr>
            <w:tcW w:w="1348" w:type="dxa"/>
            <w:vAlign w:val="center"/>
          </w:tcPr>
          <w:p>
            <w:pPr>
              <w:pStyle w:val="295"/>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气田水（含初期压裂返排液）</w:t>
            </w:r>
          </w:p>
        </w:tc>
        <w:tc>
          <w:tcPr>
            <w:tcW w:w="1106"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石油类、悬浮物、COD及氯化物等</w:t>
            </w:r>
          </w:p>
        </w:tc>
        <w:tc>
          <w:tcPr>
            <w:tcW w:w="1423" w:type="dxa"/>
            <w:vAlign w:val="center"/>
          </w:tcPr>
          <w:p>
            <w:pPr>
              <w:pStyle w:val="295"/>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初期</w:t>
            </w:r>
            <w:r>
              <w:rPr>
                <w:rFonts w:hint="default" w:ascii="Times New Roman" w:hAnsi="Times New Roman" w:cs="Times New Roman"/>
                <w:bCs/>
                <w:color w:val="000000" w:themeColor="text1"/>
                <w:highlight w:val="none"/>
                <w14:textFill>
                  <w14:solidFill>
                    <w14:schemeClr w14:val="tx1"/>
                  </w14:solidFill>
                </w14:textFill>
              </w:rPr>
              <w:t>含压裂返排液</w:t>
            </w:r>
            <w:r>
              <w:rPr>
                <w:rFonts w:hint="default" w:ascii="Times New Roman" w:hAnsi="Times New Roman" w:cs="Times New Roman"/>
                <w:bCs/>
                <w:color w:val="000000" w:themeColor="text1"/>
                <w:highlight w:val="none"/>
                <w:lang w:val="en-US" w:eastAsia="zh-CN"/>
                <w14:textFill>
                  <w14:solidFill>
                    <w14:schemeClr w14:val="tx1"/>
                  </w14:solidFill>
                </w14:textFill>
              </w:rPr>
              <w:t>时</w:t>
            </w:r>
            <w:r>
              <w:rPr>
                <w:rFonts w:hint="default" w:ascii="Times New Roman" w:hAnsi="Times New Roman" w:cs="Times New Roman"/>
                <w:bCs/>
                <w:color w:val="000000" w:themeColor="text1"/>
                <w:highlight w:val="none"/>
                <w14:textFill>
                  <w14:solidFill>
                    <w14:schemeClr w14:val="tx1"/>
                  </w14:solidFill>
                </w14:textFill>
              </w:rPr>
              <w:t>的气田水可能达200m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/d</w:t>
            </w:r>
            <w:r>
              <w:rPr>
                <w:rFonts w:hint="default" w:ascii="Times New Roman" w:hAnsi="Times New Roman" w:cs="Times New Roman"/>
                <w:bCs/>
                <w:color w:val="000000" w:themeColor="text1"/>
                <w:highlight w:val="none"/>
                <w:lang w:val="en-US" w:eastAsia="zh-CN"/>
                <w14:textFill>
                  <w14:solidFill>
                    <w14:schemeClr w14:val="tx1"/>
                  </w14:solidFill>
                </w14:textFill>
              </w:rPr>
              <w:t>以上</w:t>
            </w:r>
            <w:r>
              <w:rPr>
                <w:rFonts w:hint="default" w:ascii="Times New Roman" w:hAnsi="Times New Roman" w:cs="Times New Roman"/>
                <w:bCs/>
                <w:color w:val="000000" w:themeColor="text1"/>
                <w:highlight w:val="none"/>
                <w:lang w:eastAsia="zh-CN"/>
                <w14:textFill>
                  <w14:solidFill>
                    <w14:schemeClr w14:val="tx1"/>
                  </w14:solidFill>
                </w14:textFill>
              </w:rPr>
              <w:t>）</w:t>
            </w:r>
          </w:p>
        </w:tc>
        <w:tc>
          <w:tcPr>
            <w:tcW w:w="144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2195"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依托P106集气站内进行收集，并将废水用密闭罐车拉运至</w:t>
            </w:r>
            <w:r>
              <w:rPr>
                <w:rFonts w:hint="default" w:ascii="Times New Roman" w:hAnsi="Times New Roman" w:cs="Times New Roman"/>
                <w:bCs/>
                <w:color w:val="000000" w:themeColor="text1"/>
                <w:szCs w:val="24"/>
                <w:highlight w:val="none"/>
                <w14:textFill>
                  <w14:solidFill>
                    <w14:schemeClr w14:val="tx1"/>
                  </w14:solidFill>
                </w14:textFill>
              </w:rPr>
              <w:t>赵家坝污水处理站</w:t>
            </w:r>
            <w:r>
              <w:rPr>
                <w:rFonts w:hint="default" w:ascii="Times New Roman" w:hAnsi="Times New Roman" w:cs="Times New Roman"/>
                <w:color w:val="000000" w:themeColor="text1"/>
                <w:highlight w:val="none"/>
                <w14:textFill>
                  <w14:solidFill>
                    <w14:schemeClr w14:val="tx1"/>
                  </w14:solidFill>
                </w14:textFill>
              </w:rPr>
              <w:t>处理达标后经普光11井回注站回注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vMerge w:val="continue"/>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非正常工况井下作业废水</w:t>
            </w:r>
          </w:p>
        </w:tc>
        <w:tc>
          <w:tcPr>
            <w:tcW w:w="1106"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50m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/a</w:t>
            </w:r>
          </w:p>
        </w:tc>
        <w:tc>
          <w:tcPr>
            <w:tcW w:w="144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219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噪声</w:t>
            </w:r>
          </w:p>
        </w:tc>
        <w:tc>
          <w:tcPr>
            <w:tcW w:w="13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设备噪声</w:t>
            </w:r>
          </w:p>
        </w:tc>
        <w:tc>
          <w:tcPr>
            <w:tcW w:w="6171"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设备选型时选择低噪声设备，设置减震基础；工艺管道的设计考虑合理的流速，减少气流噪声；站内设备合理布局。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93" w:hRule="atLeast"/>
          <w:jc w:val="center"/>
        </w:trPr>
        <w:tc>
          <w:tcPr>
            <w:tcW w:w="703" w:type="dxa"/>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固废</w:t>
            </w:r>
          </w:p>
        </w:tc>
        <w:tc>
          <w:tcPr>
            <w:tcW w:w="7519" w:type="dxa"/>
            <w:gridSpan w:val="5"/>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本项目拟建工程内容</w:t>
            </w:r>
            <w:r>
              <w:rPr>
                <w:rFonts w:hint="default" w:ascii="Times New Roman" w:hAnsi="Times New Roman" w:cs="Times New Roman"/>
                <w:color w:val="000000" w:themeColor="text1"/>
                <w:highlight w:val="none"/>
                <w14:textFill>
                  <w14:solidFill>
                    <w14:schemeClr w14:val="tx1"/>
                  </w14:solidFill>
                </w14:textFill>
              </w:rPr>
              <w:t>只新增井口采气装置及站内连接管线，在正常运行过程中不会产生固体废物。本项目拟建工程内容不新增清管收发球装置，试采期无清管废渣产生。日常管理依托P106集气站进行，无新增定员，无生活垃圾产生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生态</w:t>
            </w:r>
          </w:p>
        </w:tc>
        <w:tc>
          <w:tcPr>
            <w:tcW w:w="5324" w:type="dxa"/>
            <w:gridSpan w:val="4"/>
            <w:vAlign w:val="center"/>
          </w:tcPr>
          <w:p>
            <w:pPr>
              <w:pStyle w:val="295"/>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利用钻井工程已建井场建设</w:t>
            </w:r>
          </w:p>
        </w:tc>
        <w:tc>
          <w:tcPr>
            <w:tcW w:w="219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加强站场绿化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3" w:type="dxa"/>
            <w:tcMar>
              <w:left w:w="0" w:type="dxa"/>
              <w:right w:w="0" w:type="dxa"/>
            </w:tcMar>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环境风险</w:t>
            </w:r>
          </w:p>
        </w:tc>
        <w:tc>
          <w:tcPr>
            <w:tcW w:w="7519" w:type="dxa"/>
            <w:gridSpan w:val="5"/>
            <w:vAlign w:val="center"/>
          </w:tcPr>
          <w:p>
            <w:pPr>
              <w:pStyle w:val="295"/>
              <w:jc w:val="left"/>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1、试采期环境风险主要是采气管线发生破裂造成天然气泄漏事故以及</w:t>
            </w:r>
            <w:r>
              <w:rPr>
                <w:rFonts w:hint="default" w:ascii="Times New Roman" w:hAnsi="Times New Roman" w:cs="Times New Roman"/>
                <w:bCs/>
                <w:color w:val="000000" w:themeColor="text1"/>
                <w:highlight w:val="none"/>
                <w:lang w:eastAsia="zh-CN"/>
                <w14:textFill>
                  <w14:solidFill>
                    <w14:schemeClr w14:val="tx1"/>
                  </w14:solidFill>
                </w14:textFill>
              </w:rPr>
              <w:t>泄漏</w:t>
            </w:r>
            <w:r>
              <w:rPr>
                <w:rFonts w:hint="default" w:ascii="Times New Roman" w:hAnsi="Times New Roman" w:cs="Times New Roman"/>
                <w:bCs/>
                <w:color w:val="000000" w:themeColor="text1"/>
                <w:highlight w:val="none"/>
                <w14:textFill>
                  <w14:solidFill>
                    <w14:schemeClr w14:val="tx1"/>
                  </w14:solidFill>
                </w14:textFill>
              </w:rPr>
              <w:t>气体遇明火引起火灾或爆炸对附近人群生命财产造成伤害与损失。</w:t>
            </w:r>
          </w:p>
          <w:p>
            <w:pPr>
              <w:pStyle w:val="295"/>
              <w:jc w:val="both"/>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2、试采站事故时的天然气放空，对附近人群生命财产造成伤害与损失。</w:t>
            </w:r>
          </w:p>
          <w:p>
            <w:pPr>
              <w:pStyle w:val="295"/>
              <w:jc w:val="both"/>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3、火炬分液罐存储的</w:t>
            </w:r>
            <w:r>
              <w:rPr>
                <w:rFonts w:hint="default" w:ascii="Times New Roman" w:hAnsi="Times New Roman" w:cs="Times New Roman"/>
                <w:bCs/>
                <w:color w:val="000000" w:themeColor="text1"/>
                <w:highlight w:val="none"/>
                <w:lang w:eastAsia="zh-CN"/>
                <w14:textFill>
                  <w14:solidFill>
                    <w14:schemeClr w14:val="tx1"/>
                  </w14:solidFill>
                </w14:textFill>
              </w:rPr>
              <w:t>气田水（含初期压裂返排液）</w:t>
            </w:r>
            <w:r>
              <w:rPr>
                <w:rFonts w:hint="default" w:ascii="Times New Roman" w:hAnsi="Times New Roman" w:cs="Times New Roman"/>
                <w:bCs/>
                <w:color w:val="000000" w:themeColor="text1"/>
                <w:highlight w:val="none"/>
                <w14:textFill>
                  <w14:solidFill>
                    <w14:schemeClr w14:val="tx1"/>
                  </w14:solidFill>
                </w14:textFill>
              </w:rPr>
              <w:t>泄漏环境风险；污染物外运处理中的运输风险等</w:t>
            </w:r>
          </w:p>
        </w:tc>
      </w:tr>
    </w:tbl>
    <w:p>
      <w:pPr>
        <w:pStyle w:val="201"/>
        <w:spacing w:before="120"/>
        <w:rPr>
          <w:rFonts w:hint="default" w:ascii="Times New Roman" w:hAnsi="Times New Roman" w:cs="Times New Roman"/>
          <w:color w:val="000000" w:themeColor="text1"/>
          <w:highlight w:val="none"/>
          <w14:textFill>
            <w14:solidFill>
              <w14:schemeClr w14:val="tx1"/>
            </w14:solidFill>
          </w14:textFill>
        </w:rPr>
      </w:pPr>
    </w:p>
    <w:p>
      <w:pPr>
        <w:pStyle w:val="4"/>
        <w:spacing w:before="0" w:beforeLines="0"/>
        <w:ind w:left="480" w:leftChars="0" w:firstLineChars="0"/>
        <w:rPr>
          <w:rFonts w:hint="default" w:ascii="Times New Roman" w:hAnsi="Times New Roman" w:eastAsia="宋体" w:cs="Times New Roman"/>
          <w:color w:val="000000" w:themeColor="text1"/>
          <w:highlight w:val="none"/>
          <w:lang w:eastAsia="zh-CN"/>
          <w14:textFill>
            <w14:solidFill>
              <w14:schemeClr w14:val="tx1"/>
            </w14:solidFill>
          </w14:textFill>
        </w:rPr>
      </w:pPr>
      <w:bookmarkStart w:id="181" w:name="3.4.4污染物排放情况汇总"/>
      <w:bookmarkEnd w:id="181"/>
      <w:bookmarkStart w:id="182" w:name="_bookmark22"/>
      <w:bookmarkEnd w:id="182"/>
      <w:bookmarkStart w:id="183" w:name="第四章__环境现状调查与评价"/>
      <w:bookmarkEnd w:id="183"/>
      <w:r>
        <w:rPr>
          <w:rFonts w:hint="default" w:ascii="Times New Roman" w:hAnsi="Times New Roman" w:cs="Times New Roman"/>
          <w:color w:val="000000" w:themeColor="text1"/>
          <w:highlight w:val="none"/>
          <w:lang w:val="en-US" w:eastAsia="zh-CN"/>
          <w14:textFill>
            <w14:solidFill>
              <w14:schemeClr w14:val="tx1"/>
            </w14:solidFill>
          </w14:textFill>
        </w:rPr>
        <w:t>环境保护“以新带老”措施及“三本账统计</w:t>
      </w:r>
      <w:r>
        <w:rPr>
          <w:rFonts w:hint="default" w:ascii="Times New Roman" w:hAnsi="Times New Roman" w:cs="Times New Roman"/>
          <w:color w:val="000000" w:themeColor="text1"/>
          <w:highlight w:val="none"/>
          <w:lang w:eastAsia="zh-CN"/>
          <w14:textFill>
            <w14:solidFill>
              <w14:schemeClr w14:val="tx1"/>
            </w14:solidFill>
          </w14:textFill>
        </w:rPr>
        <w:t>”</w:t>
      </w:r>
    </w:p>
    <w:p>
      <w:pPr>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现有P106-2井钻井施工已结束，钻井设备均已搬迁完毕，目前正处于生产状态，本项目将在既有老井P106-2井深4887m处开窗侧钻，本项目实施后，老井的将被替代。但建成后的新井</w:t>
      </w:r>
      <w:r>
        <w:rPr>
          <w:rFonts w:hint="eastAsia" w:cs="Times New Roman"/>
          <w:bCs/>
          <w:color w:val="000000" w:themeColor="text1"/>
          <w:kern w:val="2"/>
          <w:sz w:val="24"/>
          <w:szCs w:val="24"/>
          <w:highlight w:val="none"/>
          <w:lang w:val="en-US" w:eastAsia="zh-CN"/>
          <w14:textFill>
            <w14:solidFill>
              <w14:schemeClr w14:val="tx1"/>
            </w14:solidFill>
          </w14:textFill>
        </w:rPr>
        <w:t>仍然</w:t>
      </w: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依托P106集气站进行采气生产，且P106集气站所采取的工艺流程及环保措施等均不变，因此，项目不存在环境保护“以新带老”措施。项目建成前后污染物排放</w:t>
      </w:r>
      <w:r>
        <w:rPr>
          <w:rFonts w:hint="default" w:ascii="Times New Roman" w:hAnsi="Times New Roman" w:cs="Times New Roman"/>
          <w:color w:val="000000" w:themeColor="text1"/>
          <w:highlight w:val="none"/>
          <w14:textFill>
            <w14:solidFill>
              <w14:schemeClr w14:val="tx1"/>
            </w14:solidFill>
          </w14:textFill>
        </w:rPr>
        <w:t>“三本</w:t>
      </w:r>
      <w:r>
        <w:rPr>
          <w:rFonts w:hint="default" w:ascii="Times New Roman" w:hAnsi="Times New Roman" w:cs="Times New Roman"/>
          <w:color w:val="000000" w:themeColor="text1"/>
          <w:highlight w:val="none"/>
          <w:lang w:eastAsia="zh-CN"/>
          <w14:textFill>
            <w14:solidFill>
              <w14:schemeClr w14:val="tx1"/>
            </w14:solidFill>
          </w14:textFill>
        </w:rPr>
        <w:t>账</w:t>
      </w:r>
      <w:r>
        <w:rPr>
          <w:rFonts w:hint="default" w:ascii="Times New Roman" w:hAnsi="Times New Roman" w:cs="Times New Roman"/>
          <w:color w:val="000000" w:themeColor="text1"/>
          <w:highlight w:val="none"/>
          <w14:textFill>
            <w14:solidFill>
              <w14:schemeClr w14:val="tx1"/>
            </w14:solidFill>
          </w14:textFill>
        </w:rPr>
        <w:t>”统计分析见表</w:t>
      </w:r>
      <w:r>
        <w:rPr>
          <w:rFonts w:hint="default" w:ascii="Times New Roman" w:hAnsi="Times New Roman" w:cs="Times New Roman"/>
          <w:color w:val="000000" w:themeColor="text1"/>
          <w:highlight w:val="none"/>
          <w:lang w:val="en-US" w:eastAsia="zh-CN"/>
          <w14:textFill>
            <w14:solidFill>
              <w14:schemeClr w14:val="tx1"/>
            </w14:solidFill>
          </w14:textFill>
        </w:rPr>
        <w:t>3.4-16。</w:t>
      </w:r>
    </w:p>
    <w:p>
      <w:pPr>
        <w:adjustRightInd w:val="0"/>
        <w:snapToGrid w:val="0"/>
        <w:jc w:val="cente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表3.4-16  本污染物排放“三本账”统计一览表</w:t>
      </w:r>
    </w:p>
    <w:tbl>
      <w:tblPr>
        <w:tblStyle w:val="52"/>
        <w:tblW w:w="5056"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345"/>
        <w:gridCol w:w="822"/>
        <w:gridCol w:w="533"/>
        <w:gridCol w:w="667"/>
        <w:gridCol w:w="567"/>
        <w:gridCol w:w="650"/>
        <w:gridCol w:w="683"/>
        <w:gridCol w:w="833"/>
        <w:gridCol w:w="534"/>
        <w:gridCol w:w="678"/>
        <w:gridCol w:w="855"/>
        <w:gridCol w:w="632"/>
        <w:gridCol w:w="82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67" w:type="dxa"/>
            <w:gridSpan w:val="2"/>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污染源</w:t>
            </w:r>
          </w:p>
        </w:tc>
        <w:tc>
          <w:tcPr>
            <w:tcW w:w="533" w:type="dxa"/>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污染物名称</w:t>
            </w:r>
          </w:p>
        </w:tc>
        <w:tc>
          <w:tcPr>
            <w:tcW w:w="1234" w:type="dxa"/>
            <w:gridSpan w:val="2"/>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原有项目污染物排放情况</w:t>
            </w:r>
          </w:p>
        </w:tc>
        <w:tc>
          <w:tcPr>
            <w:tcW w:w="3378" w:type="dxa"/>
            <w:gridSpan w:val="5"/>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拟建项目污染物产生及排放情况</w:t>
            </w:r>
          </w:p>
        </w:tc>
        <w:tc>
          <w:tcPr>
            <w:tcW w:w="2310" w:type="dxa"/>
            <w:gridSpan w:val="3"/>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建设完成后污染物最终排放情况</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67" w:type="dxa"/>
            <w:gridSpan w:val="2"/>
            <w:vMerge w:val="continue"/>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33" w:type="dxa"/>
            <w:vMerge w:val="continue"/>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6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排放量</w:t>
            </w:r>
          </w:p>
        </w:tc>
        <w:tc>
          <w:tcPr>
            <w:tcW w:w="56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排放浓度</w:t>
            </w:r>
          </w:p>
        </w:tc>
        <w:tc>
          <w:tcPr>
            <w:tcW w:w="650"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产生浓度</w:t>
            </w:r>
          </w:p>
        </w:tc>
        <w:tc>
          <w:tcPr>
            <w:tcW w:w="68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产生量</w:t>
            </w:r>
          </w:p>
        </w:tc>
        <w:tc>
          <w:tcPr>
            <w:tcW w:w="83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消减量</w:t>
            </w:r>
          </w:p>
        </w:tc>
        <w:tc>
          <w:tcPr>
            <w:tcW w:w="534"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排放浓度</w:t>
            </w:r>
          </w:p>
        </w:tc>
        <w:tc>
          <w:tcPr>
            <w:tcW w:w="678"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排放量</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排放增减量</w:t>
            </w:r>
          </w:p>
        </w:tc>
        <w:tc>
          <w:tcPr>
            <w:tcW w:w="632"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排放量</w:t>
            </w:r>
          </w:p>
        </w:tc>
        <w:tc>
          <w:tcPr>
            <w:tcW w:w="82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“以新带老”削减量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5" w:type="dxa"/>
            <w:vMerge w:val="restart"/>
            <w:tcBorders>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废水</w:t>
            </w:r>
          </w:p>
        </w:tc>
        <w:tc>
          <w:tcPr>
            <w:tcW w:w="822" w:type="dxa"/>
            <w:tcBorders>
              <w:lef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气田水</w:t>
            </w:r>
          </w:p>
        </w:tc>
        <w:tc>
          <w:tcPr>
            <w:tcW w:w="53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水量</w:t>
            </w:r>
          </w:p>
        </w:tc>
        <w:tc>
          <w:tcPr>
            <w:tcW w:w="66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8.6</w:t>
            </w:r>
            <w:r>
              <w:rPr>
                <w:rFonts w:hint="default" w:ascii="Times New Roman" w:hAnsi="Times New Roman" w:cs="Times New Roman"/>
                <w:color w:val="000000" w:themeColor="text1"/>
                <w:sz w:val="21"/>
                <w:szCs w:val="21"/>
                <w:highlight w:val="none"/>
                <w14:textFill>
                  <w14:solidFill>
                    <w14:schemeClr w14:val="tx1"/>
                  </w14:solidFill>
                </w14:textFill>
              </w:rPr>
              <w:t>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/d</w:t>
            </w:r>
          </w:p>
        </w:tc>
        <w:tc>
          <w:tcPr>
            <w:tcW w:w="56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650"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68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/d</w:t>
            </w:r>
          </w:p>
        </w:tc>
        <w:tc>
          <w:tcPr>
            <w:tcW w:w="83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pacing w:val="-1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highlight w:val="none"/>
                <w:lang w:val="en-US" w:eastAsia="zh-CN"/>
                <w14:textFill>
                  <w14:solidFill>
                    <w14:schemeClr w14:val="tx1"/>
                  </w14:solidFill>
                </w14:textFill>
              </w:rPr>
              <w:t>+1.4</w:t>
            </w:r>
            <w:r>
              <w:rPr>
                <w:rFonts w:hint="default" w:ascii="Times New Roman" w:hAnsi="Times New Roman" w:cs="Times New Roman"/>
                <w:color w:val="000000" w:themeColor="text1"/>
                <w:sz w:val="21"/>
                <w:szCs w:val="21"/>
                <w:highlight w:val="none"/>
                <w14:textFill>
                  <w14:solidFill>
                    <w14:schemeClr w14:val="tx1"/>
                  </w14:solidFill>
                </w14:textFill>
              </w:rPr>
              <w:t>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/d</w:t>
            </w:r>
          </w:p>
        </w:tc>
        <w:tc>
          <w:tcPr>
            <w:tcW w:w="534"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678"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632"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/d</w:t>
            </w:r>
          </w:p>
        </w:tc>
        <w:tc>
          <w:tcPr>
            <w:tcW w:w="82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5" w:type="dxa"/>
            <w:vMerge w:val="continue"/>
            <w:tcBorders>
              <w:righ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22" w:type="dxa"/>
            <w:tcBorders>
              <w:left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正常工况井下作业废水</w:t>
            </w:r>
          </w:p>
        </w:tc>
        <w:tc>
          <w:tcPr>
            <w:tcW w:w="53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水量</w:t>
            </w:r>
          </w:p>
        </w:tc>
        <w:tc>
          <w:tcPr>
            <w:tcW w:w="667" w:type="dxa"/>
            <w:noWrap w:val="0"/>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50</w:t>
            </w: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m</w:t>
            </w:r>
            <w:r>
              <w:rPr>
                <w:rFonts w:hint="default" w:ascii="Times New Roman" w:hAnsi="Times New Roman" w:eastAsia="宋体" w:cs="Times New Roman"/>
                <w:color w:val="000000" w:themeColor="text1"/>
                <w:spacing w:val="-12"/>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/a</w:t>
            </w:r>
          </w:p>
        </w:tc>
        <w:tc>
          <w:tcPr>
            <w:tcW w:w="56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650"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68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2"/>
                <w:sz w:val="21"/>
                <w:szCs w:val="21"/>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m</w:t>
            </w:r>
            <w:r>
              <w:rPr>
                <w:rFonts w:hint="default" w:ascii="Times New Roman" w:hAnsi="Times New Roman" w:eastAsia="宋体" w:cs="Times New Roman"/>
                <w:color w:val="000000" w:themeColor="text1"/>
                <w:spacing w:val="-12"/>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/a</w:t>
            </w:r>
          </w:p>
        </w:tc>
        <w:tc>
          <w:tcPr>
            <w:tcW w:w="83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534"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678"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c>
          <w:tcPr>
            <w:tcW w:w="632"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2"/>
                <w:sz w:val="21"/>
                <w:szCs w:val="21"/>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m</w:t>
            </w:r>
            <w:r>
              <w:rPr>
                <w:rFonts w:hint="default" w:ascii="Times New Roman" w:hAnsi="Times New Roman" w:eastAsia="宋体" w:cs="Times New Roman"/>
                <w:color w:val="000000" w:themeColor="text1"/>
                <w:spacing w:val="-12"/>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/a</w:t>
            </w:r>
          </w:p>
        </w:tc>
        <w:tc>
          <w:tcPr>
            <w:tcW w:w="823"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303" w:hRule="atLeast"/>
          <w:jc w:val="center"/>
        </w:trPr>
        <w:tc>
          <w:tcPr>
            <w:tcW w:w="1167" w:type="dxa"/>
            <w:gridSpan w:val="2"/>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废气</w:t>
            </w:r>
          </w:p>
        </w:tc>
        <w:tc>
          <w:tcPr>
            <w:tcW w:w="1767" w:type="dxa"/>
            <w:gridSpan w:val="3"/>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设备检修或系统超压时排放少量天然气</w:t>
            </w:r>
          </w:p>
        </w:tc>
        <w:tc>
          <w:tcPr>
            <w:tcW w:w="3378" w:type="dxa"/>
            <w:gridSpan w:val="5"/>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设备检修或系统超压时排放少量天然气</w:t>
            </w:r>
          </w:p>
        </w:tc>
        <w:tc>
          <w:tcPr>
            <w:tcW w:w="2310" w:type="dxa"/>
            <w:gridSpan w:val="3"/>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设备检修或系统超压时排放少量天然气</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依托P106集气站内放空火炬系统和点火排放，火炬系统排气筒高度60m</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67" w:type="dxa"/>
            <w:gridSpan w:val="2"/>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w:t>
            </w:r>
          </w:p>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w:t>
            </w:r>
          </w:p>
        </w:tc>
        <w:tc>
          <w:tcPr>
            <w:tcW w:w="1767" w:type="dxa"/>
            <w:gridSpan w:val="3"/>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依托P106集气站进行采气生产，正常生产时无固废排放</w:t>
            </w:r>
          </w:p>
        </w:tc>
        <w:tc>
          <w:tcPr>
            <w:tcW w:w="3378" w:type="dxa"/>
            <w:gridSpan w:val="5"/>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本项目拟建工程内容</w:t>
            </w:r>
            <w:r>
              <w:rPr>
                <w:rFonts w:hint="default" w:ascii="Times New Roman" w:hAnsi="Times New Roman" w:cs="Times New Roman"/>
                <w:color w:val="000000" w:themeColor="text1"/>
                <w:sz w:val="21"/>
                <w:szCs w:val="21"/>
                <w:highlight w:val="none"/>
                <w14:textFill>
                  <w14:solidFill>
                    <w14:schemeClr w14:val="tx1"/>
                  </w14:solidFill>
                </w14:textFill>
              </w:rPr>
              <w:t>只新增井口采气装置及站内连接管线，在正常运行过程中不会产生固体废物。</w:t>
            </w:r>
          </w:p>
        </w:tc>
        <w:tc>
          <w:tcPr>
            <w:tcW w:w="2310" w:type="dxa"/>
            <w:gridSpan w:val="3"/>
            <w:noWrap w:val="0"/>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无</w:t>
            </w:r>
          </w:p>
        </w:tc>
      </w:tr>
    </w:tbl>
    <w:p>
      <w:pPr>
        <w:pStyle w:val="51"/>
        <w:rPr>
          <w:rFonts w:hint="default" w:ascii="Times New Roman" w:hAnsi="Times New Roman" w:cs="Times New Roman"/>
          <w:color w:val="000000" w:themeColor="text1"/>
          <w:highlight w:val="none"/>
          <w:lang w:val="en-US" w:eastAsia="zh-CN"/>
          <w14:textFill>
            <w14:solidFill>
              <w14:schemeClr w14:val="tx1"/>
            </w14:solidFill>
          </w14:textFill>
        </w:rPr>
      </w:pPr>
    </w:p>
    <w:p>
      <w:pPr>
        <w:pStyle w:val="51"/>
        <w:rPr>
          <w:rFonts w:hint="default" w:ascii="Times New Roman" w:hAnsi="Times New Roman" w:cs="Times New Roman"/>
          <w:color w:val="000000" w:themeColor="text1"/>
          <w:highlight w:val="none"/>
          <w:lang w:val="en-US" w:eastAsia="zh-CN"/>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p>
    <w:p>
      <w:pPr>
        <w:pStyle w:val="2"/>
        <w:rPr>
          <w:rFonts w:hint="default" w:ascii="Times New Roman" w:hAnsi="Times New Roman" w:cs="Times New Roman"/>
          <w:b/>
          <w:color w:val="000000" w:themeColor="text1"/>
          <w:highlight w:val="none"/>
          <w:lang w:eastAsia="zh-CN"/>
          <w14:textFill>
            <w14:solidFill>
              <w14:schemeClr w14:val="tx1"/>
            </w14:solidFill>
          </w14:textFill>
        </w:rPr>
      </w:pPr>
      <w:bookmarkStart w:id="184" w:name="_Toc1964"/>
      <w:r>
        <w:rPr>
          <w:rFonts w:hint="default" w:ascii="Times New Roman" w:hAnsi="Times New Roman" w:cs="Times New Roman"/>
          <w:color w:val="000000" w:themeColor="text1"/>
          <w:highlight w:val="none"/>
          <w:lang w:eastAsia="zh-CN"/>
          <w14:textFill>
            <w14:solidFill>
              <w14:schemeClr w14:val="tx1"/>
            </w14:solidFill>
          </w14:textFill>
        </w:rPr>
        <w:t>环境现状调查与评价</w:t>
      </w:r>
      <w:bookmarkEnd w:id="184"/>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185" w:name="_bookmark23"/>
      <w:bookmarkEnd w:id="185"/>
      <w:bookmarkStart w:id="186" w:name="4.1自然环境现状"/>
      <w:bookmarkEnd w:id="186"/>
      <w:bookmarkStart w:id="187" w:name="_Toc7563"/>
      <w:r>
        <w:rPr>
          <w:rFonts w:hint="default" w:ascii="Times New Roman" w:hAnsi="Times New Roman" w:cs="Times New Roman"/>
          <w:color w:val="000000" w:themeColor="text1"/>
          <w:highlight w:val="none"/>
          <w:lang w:eastAsia="zh-CN"/>
          <w14:textFill>
            <w14:solidFill>
              <w14:schemeClr w14:val="tx1"/>
            </w14:solidFill>
          </w14:textFill>
        </w:rPr>
        <w:t>自然环境现状</w:t>
      </w:r>
      <w:bookmarkEnd w:id="187"/>
    </w:p>
    <w:p>
      <w:pPr>
        <w:ind w:firstLine="480"/>
        <w:rPr>
          <w:rFonts w:hint="default" w:ascii="Times New Roman" w:hAnsi="Times New Roman" w:cs="Times New Roman"/>
          <w:color w:val="000000" w:themeColor="text1"/>
          <w:highlight w:val="none"/>
          <w14:textFill>
            <w14:solidFill>
              <w14:schemeClr w14:val="tx1"/>
            </w14:solidFill>
          </w14:textFill>
        </w:rPr>
      </w:pPr>
      <w:bookmarkStart w:id="188" w:name="4.1.1地理位置"/>
      <w:bookmarkEnd w:id="188"/>
      <w:bookmarkStart w:id="189" w:name="_Toc120173119"/>
      <w:r>
        <w:rPr>
          <w:rFonts w:hint="default" w:ascii="Times New Roman" w:hAnsi="Times New Roman" w:cs="Times New Roman"/>
          <w:color w:val="000000" w:themeColor="text1"/>
          <w:highlight w:val="none"/>
          <w14:textFill>
            <w14:solidFill>
              <w14:schemeClr w14:val="tx1"/>
            </w14:solidFill>
          </w14:textFill>
        </w:rPr>
        <w:t>地理位置</w:t>
      </w:r>
      <w:bookmarkEnd w:id="189"/>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宣汉县介于东经107°22′至108°32′和北纬31°06′～31°49′之间。东北与城口接壤，东与开县相邻，南连开江，西接达川、通川和平昌，北与万源交界，是北通陕西、东达湖北的要口。境内地形地貌复杂、山势逶迤，由东北向西南倾斜绵延，呈“七山一水两分田”总体地貌。县境东西最长110.6km，南北最78.8km，边界线总长590.6km。</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本项目位于达州市宣汉县普光镇北斗村。项目地理位置见附图1。</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190" w:name="4.1.2地形、地貌"/>
      <w:bookmarkEnd w:id="190"/>
      <w:bookmarkStart w:id="191" w:name="_Toc120173120"/>
      <w:r>
        <w:rPr>
          <w:rFonts w:hint="default" w:ascii="Times New Roman" w:hAnsi="Times New Roman" w:cs="Times New Roman"/>
          <w:color w:val="000000" w:themeColor="text1"/>
          <w:highlight w:val="none"/>
          <w:lang w:eastAsia="zh-CN"/>
          <w14:textFill>
            <w14:solidFill>
              <w14:schemeClr w14:val="tx1"/>
            </w14:solidFill>
          </w14:textFill>
        </w:rPr>
        <w:t>地形、地貌</w:t>
      </w:r>
      <w:bookmarkEnd w:id="191"/>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宣汉县按地形、地貌形态可分为3区：一、丘陵河谷区，约占县境内四川地貌区划中属米仓山大巴山中山区和盆北低山区、盆东平行岭谷区的一部分，以低山和低中山为主。低山、中山面积占全县总幅员的90.2%；二、低山区，约占25%；三、低中山区，约占65.2%，可分为平坝、台地或高阶台地、浅丘陵、深丘陵、低山。</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192" w:name="4.1.3水文水系"/>
      <w:bookmarkEnd w:id="192"/>
      <w:bookmarkStart w:id="193" w:name="_Toc120173121"/>
      <w:r>
        <w:rPr>
          <w:rFonts w:hint="default" w:ascii="Times New Roman" w:hAnsi="Times New Roman" w:cs="Times New Roman"/>
          <w:color w:val="000000" w:themeColor="text1"/>
          <w:highlight w:val="none"/>
          <w:lang w:eastAsia="zh-CN"/>
          <w14:textFill>
            <w14:solidFill>
              <w14:schemeClr w14:val="tx1"/>
            </w14:solidFill>
          </w14:textFill>
        </w:rPr>
        <w:t>水文水系</w:t>
      </w:r>
      <w:bookmarkEnd w:id="193"/>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1、地表水</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本工程建设区域属渠江流域。渠江流域位于四川盆地东北部，是四川省五大水系（嘉、涪、渠、岷、乌）之一，是嘉陵江右岸的最大支流。渠江源出流域北、东北部的大巴山南麓，流域面积为39220km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highlight w:val="none"/>
          <w:lang w:eastAsia="zh-CN"/>
          <w14:textFill>
            <w14:solidFill>
              <w14:schemeClr w14:val="tx1"/>
            </w14:solidFill>
          </w14:textFill>
        </w:rPr>
        <w:t>。渠江为多源头河流，其主要支流有前河、中河、后河；南江河、恩阳河、通江河。前三支流在宣汉汇而为州河；正流由南江、巴河、渠江三段自然河段组成。本工程建设区域内主要河流为后河。</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后河河宽约100m，流向自东北向西南。后河发源于万源市城北大横山，在毛坝镇入宣汉县境，纵贯西北部，于普光镇汇入中河，至县城东江口与前河汇流归州河，并在渠县三汇镇汇入渠江，南流至合川后注入嘉陵江。流域面积3670.7k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highlight w:val="none"/>
          <w:lang w:eastAsia="zh-CN"/>
          <w14:textFill>
            <w14:solidFill>
              <w14:schemeClr w14:val="tx1"/>
            </w14:solidFill>
          </w14:textFill>
        </w:rPr>
        <w:t>，其中宣汉县内面积1462.3km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highlight w:val="none"/>
          <w:lang w:eastAsia="zh-CN"/>
          <w14:textFill>
            <w14:solidFill>
              <w14:schemeClr w14:val="tx1"/>
            </w14:solidFill>
          </w14:textFill>
        </w:rPr>
        <w:t>包括中河面积），干流长56km，平均坡降1.1‰，河网密度0.25km/km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highlight w:val="none"/>
          <w:lang w:eastAsia="zh-CN"/>
          <w14:textFill>
            <w14:solidFill>
              <w14:schemeClr w14:val="tx1"/>
            </w14:solidFill>
          </w14:textFill>
        </w:rPr>
        <w:t>。后河径流主要为降水补给，其次为地下水和融雪化冰，径流年内分配与降水年内分配基本一致。据毛坝水文站资料统计分析，每年4月起径流随降雨的增多而增大，7月～9月水量最丰，10月份次之，11月后由于降雨减少，地下水补给比重渐渐增大，径流逐渐以地下水和融雪水补给为主，稳定退水至翌年3月。径流年内分配不均匀，丰水期（5月～10月）径流占年径流的81.3%，其中7月～9月占年径流的39.5%。枯水期（11月～4月）径流占年径流的18.7%，最枯段（1月～3月）只占年径流的7.5%。径流年际变化不大，最丰水年为1983年5月～1984年4月（年平均流量85.4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highlight w:val="none"/>
          <w:lang w:eastAsia="zh-CN"/>
          <w14:textFill>
            <w14:solidFill>
              <w14:schemeClr w14:val="tx1"/>
            </w14:solidFill>
          </w14:textFill>
        </w:rPr>
        <w:t>/s），最枯水年为1962年5月～1963年4月（年平均流量为17.1m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highlight w:val="none"/>
          <w:lang w:eastAsia="zh-CN"/>
          <w14:textFill>
            <w14:solidFill>
              <w14:schemeClr w14:val="tx1"/>
            </w14:solidFill>
          </w14:textFill>
        </w:rPr>
        <w:t>/s），分别为多年平均流量的2.2倍和0.44倍。最小流量多发生在2月和3月，历年实测最小流量4.32m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highlight w:val="none"/>
          <w:lang w:eastAsia="zh-CN"/>
          <w14:textFill>
            <w14:solidFill>
              <w14:schemeClr w14:val="tx1"/>
            </w14:solidFill>
          </w14:textFill>
        </w:rPr>
        <w:t>/s（1963年2月28日）。</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中河源出于重庆城口县白芷乡的白芷山西南，海拔高程1050米。流经双河等乡，在城口县境内河长50公里，至十字溪进入宣汉县境，后斜贯县境北部，流经石铁、新华、厂溪、黄金4个乡，于普光汇入后河。中源名为中河。中河古称益丘水，又名中江、千江。中河流域面积1402平方公里，多年平均流量16.67立方米/秒，从源头至汇合口，河长101.5公里。其中宣汉县境内流域面积596.4平方公里，干流长51.8公里，天然落差106米，平均坡降2‰</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bookmarkStart w:id="194" w:name="_Toc19816012"/>
      <w:r>
        <w:rPr>
          <w:rFonts w:hint="default" w:ascii="Times New Roman" w:hAnsi="Times New Roman" w:cs="Times New Roman"/>
          <w:color w:val="000000" w:themeColor="text1"/>
          <w:highlight w:val="none"/>
          <w:lang w:eastAsia="zh-CN"/>
          <w14:textFill>
            <w14:solidFill>
              <w14:schemeClr w14:val="tx1"/>
            </w14:solidFill>
          </w14:textFill>
        </w:rPr>
        <w:t>2、</w:t>
      </w:r>
      <w:bookmarkEnd w:id="194"/>
      <w:r>
        <w:rPr>
          <w:rFonts w:hint="default" w:ascii="Times New Roman" w:hAnsi="Times New Roman" w:cs="Times New Roman"/>
          <w:color w:val="000000" w:themeColor="text1"/>
          <w:highlight w:val="none"/>
          <w:lang w:eastAsia="zh-CN"/>
          <w14:textFill>
            <w14:solidFill>
              <w14:schemeClr w14:val="tx1"/>
            </w14:solidFill>
          </w14:textFill>
        </w:rPr>
        <w:t>地下水</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普光气田开发区内地下水类型包括松散堆积层孔隙水、碎屑岩裂隙孔隙水和基岩裂隙水，其中本项目所在区域以基岩裂隙水与碎屑岩类裂隙水为主。沟谷地段为地下水的排泄区。岩性变化地段和结构松散的卸荷岩体具有较强的透水性能，岩体的透水性具有随着深度的增加、卸荷的减弱而递减的一般规律。地层富水性差、水量较小，水位埋深一般小于20m，含水层顶板埋深一般小于50m。</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195" w:name="4.1.4气候气象"/>
      <w:bookmarkEnd w:id="195"/>
      <w:bookmarkStart w:id="196" w:name="_Toc120173122"/>
      <w:r>
        <w:rPr>
          <w:rFonts w:hint="default" w:ascii="Times New Roman" w:hAnsi="Times New Roman" w:cs="Times New Roman"/>
          <w:color w:val="000000" w:themeColor="text1"/>
          <w:highlight w:val="none"/>
          <w:lang w:eastAsia="zh-CN"/>
          <w14:textFill>
            <w14:solidFill>
              <w14:schemeClr w14:val="tx1"/>
            </w14:solidFill>
          </w14:textFill>
        </w:rPr>
        <w:t>气候气象</w:t>
      </w:r>
      <w:bookmarkEnd w:id="196"/>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境内气候属中亚热带湿润季风气候区，由于地处四川盆地东北缘，北有秦岭、大巴山的天然屏障，因此气候温和，热量丰富，四季分明，雨量充沛，季风气候明显，立体气候突出。冬季属大陆性气候，常受西北冷空气影响，气候干冷；夏季属海洋性季风气候，常受东南及西南暖湿空气影响，湿热多雷雨。受海拔高度影响区内立体气候明显，海拔500m以下地区春早夏热，雨水集中，旱涝交错，多风雹，秋雨，冬暖霜雪少，属四川盆地亚热带气候；海拔800m以上地区春迟秋早，夏短冬长，具有盆缘同地温带气候特征。低山、高丘云雾较多，日照较浅丘平坝少。</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灾害性天气主要有干旱，暴雨山洪，雷电，低温冷害，冰雹及大风等，其中暴雨山洪、大风等对管道及试采站建设构成一定危害。</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宣汉县多年平均降水量1132.69mm，多年平均气温16.8℃，相对湿度75%，每年5~10月份为多雨季，降水量占全年总降水量约80%，3月份为旱季，降水量约占全年降水量8%～12%，无霜期长达10个月，冬季多雾，雨季多暴雨，雨后往往形成洪流。</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宣汉县主要气象要素见</w:t>
      </w:r>
      <w:r>
        <w:rPr>
          <w:rFonts w:hint="default" w:ascii="Times New Roman" w:hAnsi="Times New Roman" w:cs="Times New Roman"/>
          <w:color w:val="000000" w:themeColor="text1"/>
          <w:highlight w:val="none"/>
          <w:lang w:eastAsia="zh-CN"/>
          <w14:textFill>
            <w14:solidFill>
              <w14:schemeClr w14:val="tx1"/>
            </w14:solidFill>
          </w14:textFill>
        </w:rPr>
        <w:fldChar w:fldCharType="begin"/>
      </w:r>
      <w:r>
        <w:rPr>
          <w:rFonts w:hint="default" w:ascii="Times New Roman" w:hAnsi="Times New Roman" w:cs="Times New Roman"/>
          <w:color w:val="000000" w:themeColor="text1"/>
          <w:highlight w:val="none"/>
          <w:lang w:eastAsia="zh-CN"/>
          <w14:textFill>
            <w14:solidFill>
              <w14:schemeClr w14:val="tx1"/>
            </w14:solidFill>
          </w14:textFill>
        </w:rPr>
        <w:instrText xml:space="preserve"> REF _Ref142907039 \h  \* MERGEFORMAT </w:instrText>
      </w:r>
      <w:r>
        <w:rPr>
          <w:rFonts w:hint="default" w:ascii="Times New Roman" w:hAnsi="Times New Roman" w:cs="Times New Roman"/>
          <w:color w:val="000000" w:themeColor="text1"/>
          <w:highlight w:val="none"/>
          <w:lang w:eastAsia="zh-CN"/>
          <w14:textFill>
            <w14:solidFill>
              <w14:schemeClr w14:val="tx1"/>
            </w14:solidFill>
          </w14:textFill>
        </w:rPr>
        <w:fldChar w:fldCharType="separate"/>
      </w:r>
      <w:r>
        <w:rPr>
          <w:rFonts w:hint="default" w:ascii="Times New Roman" w:hAnsi="Times New Roman" w:cs="Times New Roman"/>
          <w:color w:val="000000" w:themeColor="text1"/>
          <w:highlight w:val="none"/>
          <w:lang w:eastAsia="zh-CN"/>
          <w14:textFill>
            <w14:solidFill>
              <w14:schemeClr w14:val="tx1"/>
            </w14:solidFill>
          </w14:textFill>
        </w:rPr>
        <w:t>表4.1</w:t>
      </w:r>
      <w:r>
        <w:rPr>
          <w:rFonts w:hint="default" w:ascii="Times New Roman" w:hAnsi="Times New Roman" w:cs="Times New Roman"/>
          <w:color w:val="000000" w:themeColor="text1"/>
          <w:highlight w:val="none"/>
          <w:lang w:eastAsia="zh-CN"/>
          <w14:textFill>
            <w14:solidFill>
              <w14:schemeClr w14:val="tx1"/>
            </w14:solidFill>
          </w14:textFill>
        </w:rPr>
        <w:noBreakHyphen/>
      </w:r>
      <w:r>
        <w:rPr>
          <w:rFonts w:hint="default" w:ascii="Times New Roman" w:hAnsi="Times New Roman" w:cs="Times New Roman"/>
          <w:color w:val="000000" w:themeColor="text1"/>
          <w:highlight w:val="none"/>
          <w:lang w:eastAsia="zh-CN"/>
          <w14:textFill>
            <w14:solidFill>
              <w14:schemeClr w14:val="tx1"/>
            </w14:solidFill>
          </w14:textFill>
        </w:rPr>
        <w:t>1</w:t>
      </w:r>
      <w:r>
        <w:rPr>
          <w:rFonts w:hint="default" w:ascii="Times New Roman" w:hAnsi="Times New Roman" w:cs="Times New Roman"/>
          <w:color w:val="000000" w:themeColor="text1"/>
          <w:highlight w:val="none"/>
          <w:lang w:eastAsia="zh-CN"/>
          <w14:textFill>
            <w14:solidFill>
              <w14:schemeClr w14:val="tx1"/>
            </w14:solidFill>
          </w14:textFill>
        </w:rPr>
        <w:fldChar w:fldCharType="end"/>
      </w:r>
      <w:r>
        <w:rPr>
          <w:rFonts w:hint="default" w:ascii="Times New Roman" w:hAnsi="Times New Roman" w:cs="Times New Roman"/>
          <w:color w:val="000000" w:themeColor="text1"/>
          <w:highlight w:val="none"/>
          <w:lang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197" w:name="_Ref142907039"/>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197"/>
      <w:r>
        <w:rPr>
          <w:rFonts w:hint="default" w:ascii="Times New Roman" w:hAnsi="Times New Roman" w:cs="Times New Roman"/>
          <w:color w:val="000000" w:themeColor="text1"/>
          <w:highlight w:val="none"/>
          <w14:textFill>
            <w14:solidFill>
              <w14:schemeClr w14:val="tx1"/>
            </w14:solidFill>
          </w14:textFill>
        </w:rPr>
        <w:t xml:space="preserve"> 宣汉县主要气象资料一览表</w:t>
      </w:r>
    </w:p>
    <w:tbl>
      <w:tblPr>
        <w:tblStyle w:val="52"/>
        <w:tblW w:w="51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0"/>
        <w:gridCol w:w="1903"/>
        <w:gridCol w:w="2670"/>
        <w:gridCol w:w="2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气象要素</w:t>
            </w:r>
          </w:p>
        </w:tc>
        <w:tc>
          <w:tcPr>
            <w:tcW w:w="1518" w:type="pct"/>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单位</w:t>
            </w:r>
          </w:p>
        </w:tc>
        <w:tc>
          <w:tcPr>
            <w:tcW w:w="167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气温</w:t>
            </w: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年平均气温</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极端最高气温</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极端最低气温</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年降水量</w:t>
            </w: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平均</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mm</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1132.69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最大</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mm</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最小</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mm</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风速</w:t>
            </w: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平均</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m/s</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最大</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m/s</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主导风向</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m/s</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728" w:type="pct"/>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多年平均地温</w:t>
            </w: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地面</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-0.2m</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年平均日照时数</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年平均蒸发量</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mm</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年均无霜期</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d</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1810"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相对湿度</w:t>
            </w:r>
          </w:p>
        </w:tc>
        <w:tc>
          <w:tcPr>
            <w:tcW w:w="1518" w:type="pct"/>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67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77</w:t>
            </w:r>
          </w:p>
        </w:tc>
      </w:tr>
    </w:tbl>
    <w:p>
      <w:pPr>
        <w:pStyle w:val="202"/>
        <w:rPr>
          <w:rFonts w:hint="default"/>
          <w:color w:val="000000" w:themeColor="text1"/>
          <w:highlight w:val="none"/>
          <w14:textFill>
            <w14:solidFill>
              <w14:schemeClr w14:val="tx1"/>
            </w14:solidFill>
          </w14:textFill>
        </w:rPr>
      </w:pP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198" w:name="4.1.5动植物及生物多样性"/>
      <w:bookmarkEnd w:id="198"/>
      <w:bookmarkStart w:id="199" w:name="_Toc120173123"/>
      <w:r>
        <w:rPr>
          <w:rFonts w:hint="default" w:ascii="Times New Roman" w:hAnsi="Times New Roman" w:cs="Times New Roman"/>
          <w:color w:val="000000" w:themeColor="text1"/>
          <w:highlight w:val="none"/>
          <w:lang w:eastAsia="zh-CN"/>
          <w14:textFill>
            <w14:solidFill>
              <w14:schemeClr w14:val="tx1"/>
            </w14:solidFill>
          </w14:textFill>
        </w:rPr>
        <w:t>地质构造与地震</w:t>
      </w:r>
      <w:bookmarkEnd w:id="199"/>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1、地质构造</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本项目区位于宣汉县普光镇北斗村，构造上介于大巴山推覆带前缘褶断带与川中平缓褶皱带之间，属于川东断褶带东北段双石庙—普光北东向构造带上的一个鼻状构造。地层南西高北东低、主要呈单斜特征。断裂系统以北东向断层为主，主要包括东岳寨—普光断层、普光7断层、老君庙南断层及普光3等4条断层。其中，普光3断层将主体构造分为普光2块、普光3块。</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2、地震</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根据《建筑抗震设计规范》（GB50011-2010），宣汉抗震设防烈度为6度，设计基本地震加速度值为0.05g，属第一组，可不考虑地震液化问题。另查阅县志，整个宣汉县境尚无地震活动的记载。因此总体上区域稳定性良好，适宜工程修建。</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200" w:name="_Toc120173124"/>
      <w:r>
        <w:rPr>
          <w:rFonts w:hint="default" w:ascii="Times New Roman" w:hAnsi="Times New Roman" w:cs="Times New Roman"/>
          <w:color w:val="000000" w:themeColor="text1"/>
          <w:highlight w:val="none"/>
          <w:lang w:eastAsia="zh-CN"/>
          <w14:textFill>
            <w14:solidFill>
              <w14:schemeClr w14:val="tx1"/>
            </w14:solidFill>
          </w14:textFill>
        </w:rPr>
        <w:t>土壤</w:t>
      </w:r>
      <w:bookmarkEnd w:id="200"/>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项目所在地面（区域硬化前）以残坡积和崩坡积之砂质粘土夹碎块石为主，局部有小卵石混杂其中。区内土壤多由灰岩和砂页岩发育而成的砾石土、砾质土为主。土壤质地与母岩和地形关系密切，一般由砂岩发育的多为沙质土；由砂页岩互层发育的多为壤质土；泥岩和灰岩发育的多为粘质土，陡坡地和二迭系以前母岩发育的多为砾石土和砾质土。土壤剖面各发生层的质地上下变化较小，仅少数土壤剖面物粘含量有随深度增加而增加的趋势。</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土壤以中性和微碱性为主，其次是微酸性，少数酸性。pH值在4.5～5.4之间的占6.4%；5.5～6.4之间的占34%；6.5～7.5之间的占34.2%；7.6～8.5之间的占25.3%。</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工程区域地层岩性较为单一，上部主要为第四系松散覆盖层，包括残坡积层、崩坡积层，下伏基岩为侏罗系中统沙溪庙组（J</w:t>
      </w:r>
      <w:r>
        <w:rPr>
          <w:rFonts w:hint="default" w:ascii="Times New Roman" w:hAnsi="Times New Roman" w:cs="Times New Roman"/>
          <w:color w:val="000000" w:themeColor="text1"/>
          <w:highlight w:val="none"/>
          <w:vertAlign w:val="subscript"/>
          <w:lang w:eastAsia="zh-CN"/>
          <w14:textFill>
            <w14:solidFill>
              <w14:schemeClr w14:val="tx1"/>
            </w14:solidFill>
          </w14:textFill>
        </w:rPr>
        <w:t>2</w:t>
      </w:r>
      <w:r>
        <w:rPr>
          <w:rFonts w:hint="default" w:ascii="Times New Roman" w:hAnsi="Times New Roman" w:cs="Times New Roman"/>
          <w:color w:val="000000" w:themeColor="text1"/>
          <w:highlight w:val="none"/>
          <w:lang w:eastAsia="zh-CN"/>
          <w14:textFill>
            <w14:solidFill>
              <w14:schemeClr w14:val="tx1"/>
            </w14:solidFill>
          </w14:textFill>
        </w:rPr>
        <w:t>S）。出露地层由上至下分别为：</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1）第四系残坡积层：</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主要为砂土、砂质粘土、粘土，干燥，松散，分布很广。坡体及坡体上覆盖层厚度很薄，一般0.2～0.5m。沟谷中为砂质粘土、粘土。厚度较大，一般为1.0～2.5m左右，为可塑状。</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2）第四系崩坡积层：</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主要分布于陡坡下部，为含碎块石土，厚度一般为1.0～3.0m。碎块石成分主要为砂岩碎块石，另外可见巨大孤石。</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3）基岩</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侏罗系中统沙溪庙组为含钙质结核的紫红色砂质泥岩、粉砂岩、泥质粉砂岩与黄灰色块状长石岩屑石英砂岩不等厚互层。砂岩坚硬性脆，常形成陡坎陡崖，泥岩易风化剥落，多形成缓坡。</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201" w:name="_Toc120173125"/>
      <w:r>
        <w:rPr>
          <w:rFonts w:hint="default" w:ascii="Times New Roman" w:hAnsi="Times New Roman" w:cs="Times New Roman"/>
          <w:color w:val="000000" w:themeColor="text1"/>
          <w:highlight w:val="none"/>
          <w:lang w:eastAsia="zh-CN"/>
          <w14:textFill>
            <w14:solidFill>
              <w14:schemeClr w14:val="tx1"/>
            </w14:solidFill>
          </w14:textFill>
        </w:rPr>
        <w:t>矿产资源</w:t>
      </w:r>
      <w:bookmarkEnd w:id="201"/>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截至2018年，宣汉县共探测到的资源达28种，主要矿产资源概括为：一煤（煤炭），二气（石油、天然气），三土（粘土、高岭土、膨润土），五石（滑石、长石、大理石、石英石、石灰石），八矿（铁、砷、硅、硫磺、石膏、铝、卤钾、岩盐）。天然气预测储量高达1.5万亿立方米，居中国第2位，已探明开发储量达3000亿-6000亿立方米，系西南地区天然气气田中心、国家“西气东输工程”重要基地。原煤储量达1.6亿吨，发热量6000大卡以上。富钾卤水储量达1.3亿立方米，是国家盐化工业基地自贡黑卤的10倍。此外，还有大理石30亿立方米，石灰石30亿立方米，石英石3000万立方米，硫磺矿867万吨，铁矿1800万吨等。</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202" w:name="_Toc120173126"/>
      <w:r>
        <w:rPr>
          <w:rFonts w:hint="default" w:ascii="Times New Roman" w:hAnsi="Times New Roman" w:cs="Times New Roman"/>
          <w:color w:val="000000" w:themeColor="text1"/>
          <w:highlight w:val="none"/>
          <w:lang w:eastAsia="zh-CN"/>
          <w14:textFill>
            <w14:solidFill>
              <w14:schemeClr w14:val="tx1"/>
            </w14:solidFill>
          </w14:textFill>
        </w:rPr>
        <w:t>周边自然遗迹、自然保护区的分布情况</w:t>
      </w:r>
      <w:bookmarkEnd w:id="202"/>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评价区域无自然保护区、风景名胜区、自然遗迹、文物古迹等，在项目建设过程中如果发现有保护价值的文物遗迹，建设单位应保护好现场，并报告文物主管部门。</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203" w:name="4.2项目周边环境概况"/>
      <w:bookmarkEnd w:id="203"/>
      <w:bookmarkStart w:id="204" w:name="4.3环境质量现状评价"/>
      <w:bookmarkEnd w:id="204"/>
      <w:bookmarkStart w:id="205" w:name="_bookmark25"/>
      <w:bookmarkEnd w:id="205"/>
      <w:bookmarkStart w:id="206" w:name="_bookmark24"/>
      <w:bookmarkEnd w:id="206"/>
      <w:bookmarkStart w:id="207" w:name="_Toc10621"/>
      <w:r>
        <w:rPr>
          <w:rFonts w:hint="default" w:ascii="Times New Roman" w:hAnsi="Times New Roman" w:cs="Times New Roman"/>
          <w:color w:val="000000" w:themeColor="text1"/>
          <w:highlight w:val="none"/>
          <w:lang w:eastAsia="zh-CN"/>
          <w14:textFill>
            <w14:solidFill>
              <w14:schemeClr w14:val="tx1"/>
            </w14:solidFill>
          </w14:textFill>
        </w:rPr>
        <w:t>环境质量现状评价</w:t>
      </w:r>
      <w:bookmarkEnd w:id="207"/>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208" w:name="_Toc120173128"/>
      <w:r>
        <w:rPr>
          <w:rFonts w:hint="default" w:ascii="Times New Roman" w:hAnsi="Times New Roman" w:cs="Times New Roman"/>
          <w:color w:val="000000" w:themeColor="text1"/>
          <w:highlight w:val="none"/>
          <w:lang w:eastAsia="zh-CN"/>
          <w14:textFill>
            <w14:solidFill>
              <w14:schemeClr w14:val="tx1"/>
            </w14:solidFill>
          </w14:textFill>
        </w:rPr>
        <w:t>环境空气质量现状</w:t>
      </w:r>
      <w:bookmarkEnd w:id="208"/>
    </w:p>
    <w:p>
      <w:pPr>
        <w:pStyle w:val="25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bookmarkStart w:id="209" w:name="_Hlk84604118"/>
      <w:r>
        <w:rPr>
          <w:rFonts w:hint="default" w:ascii="Times New Roman" w:hAnsi="Times New Roman" w:cs="Times New Roman"/>
          <w:color w:val="000000" w:themeColor="text1"/>
          <w:szCs w:val="24"/>
          <w:highlight w:val="none"/>
          <w14:textFill>
            <w14:solidFill>
              <w14:schemeClr w14:val="tx1"/>
            </w14:solidFill>
          </w14:textFill>
        </w:rPr>
        <w:t>本次评价采用了现场实测和资料复用相结合的方法。</w:t>
      </w:r>
    </w:p>
    <w:p>
      <w:pPr>
        <w:pStyle w:val="25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根据项目工程特点和各工艺站场的具体情况，以项目涉及区域作为本项目大气环境质量现状调查、评价的对象。</w:t>
      </w:r>
      <w:r>
        <w:rPr>
          <w:rFonts w:hint="default" w:ascii="Times New Roman" w:hAnsi="Times New Roman" w:cs="Times New Roman"/>
          <w:color w:val="000000" w:themeColor="text1"/>
          <w:szCs w:val="21"/>
          <w:highlight w:val="none"/>
          <w14:textFill>
            <w14:solidFill>
              <w14:schemeClr w14:val="tx1"/>
            </w14:solidFill>
          </w14:textFill>
        </w:rPr>
        <w:t>本次采用达州市生态环境局发布（https://sthjj.dazhou.gov.cn/news-show-18384.html）的《达州市2023年环境空气质量状况》中的数据进行评价。</w:t>
      </w:r>
    </w:p>
    <w:p>
      <w:pPr>
        <w:pStyle w:val="21"/>
        <w:pageBreakBefore w:val="0"/>
        <w:kinsoku/>
        <w:wordWrap/>
        <w:overflowPunct/>
        <w:topLinePunct w:val="0"/>
        <w:autoSpaceDE/>
        <w:autoSpaceDN/>
        <w:bidi w:val="0"/>
        <w:adjustRightInd w:val="0"/>
        <w:snapToGrid w:val="0"/>
        <w:spacing w:before="0"/>
        <w:ind w:left="0" w:firstLine="482"/>
        <w:textAlignment w:val="auto"/>
        <w:rPr>
          <w:rFonts w:hint="default" w:ascii="Times New Roman" w:hAnsi="Times New Roman" w:cs="Times New Roman"/>
          <w:b/>
          <w:bCs/>
          <w:color w:val="000000" w:themeColor="text1"/>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1、达标判断</w:t>
      </w:r>
    </w:p>
    <w:p>
      <w:pPr>
        <w:pStyle w:val="25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本项目位于达州市宣汉县，项目所在区环境空气功能分区为二类区。根据《环境影响评价技术导则 总纲》（HJ2.1-2016）与《环境影响评价技术导则 大气环境》（HJ2.2-2018）的要求，评</w:t>
      </w:r>
      <w:r>
        <w:rPr>
          <w:rFonts w:hint="default" w:ascii="Times New Roman" w:hAnsi="Times New Roman" w:cs="Times New Roman"/>
          <w:color w:val="000000" w:themeColor="text1"/>
          <w:szCs w:val="24"/>
          <w:highlight w:val="none"/>
          <w:lang w:val="en-US" w:eastAsia="zh-CN"/>
          <w14:textFill>
            <w14:solidFill>
              <w14:schemeClr w14:val="tx1"/>
            </w14:solidFill>
          </w14:textFill>
        </w:rPr>
        <w:t>根据</w:t>
      </w:r>
      <w:r>
        <w:rPr>
          <w:rFonts w:hint="default" w:ascii="Times New Roman" w:hAnsi="Times New Roman" w:cs="Times New Roman"/>
          <w:color w:val="000000" w:themeColor="text1"/>
          <w:szCs w:val="21"/>
          <w:highlight w:val="none"/>
          <w14:textFill>
            <w14:solidFill>
              <w14:schemeClr w14:val="tx1"/>
            </w14:solidFill>
          </w14:textFill>
        </w:rPr>
        <w:t>《达州市202</w:t>
      </w:r>
      <w:r>
        <w:rPr>
          <w:rFonts w:hint="default" w:ascii="Times New Roman" w:hAnsi="Times New Roman" w:cs="Times New Roman"/>
          <w:color w:val="000000" w:themeColor="text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年环境空气质量状况》中</w:t>
      </w:r>
      <w:r>
        <w:rPr>
          <w:rFonts w:hint="default" w:ascii="Times New Roman" w:hAnsi="Times New Roman" w:cs="Times New Roman"/>
          <w:color w:val="000000" w:themeColor="text1"/>
          <w:szCs w:val="24"/>
          <w:highlight w:val="none"/>
          <w14:textFill>
            <w14:solidFill>
              <w14:schemeClr w14:val="tx1"/>
            </w14:solidFill>
          </w14:textFill>
        </w:rPr>
        <w:t>环境空气质量数据进行评价</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具体见</w:t>
      </w:r>
      <w:r>
        <w:rPr>
          <w:rFonts w:hint="default" w:ascii="Times New Roman" w:hAnsi="Times New Roman" w:cs="Times New Roman"/>
          <w:color w:val="000000" w:themeColor="text1"/>
          <w:kern w:val="0"/>
          <w:szCs w:val="21"/>
          <w:highlight w:val="none"/>
          <w14:textFill>
            <w14:solidFill>
              <w14:schemeClr w14:val="tx1"/>
            </w14:solidFill>
          </w14:textFill>
        </w:rPr>
        <w:fldChar w:fldCharType="begin"/>
      </w:r>
      <w:r>
        <w:rPr>
          <w:rFonts w:hint="default" w:ascii="Times New Roman" w:hAnsi="Times New Roman" w:cs="Times New Roman"/>
          <w:color w:val="000000" w:themeColor="text1"/>
          <w:kern w:val="0"/>
          <w:szCs w:val="21"/>
          <w:highlight w:val="none"/>
          <w14:textFill>
            <w14:solidFill>
              <w14:schemeClr w14:val="tx1"/>
            </w14:solidFill>
          </w14:textFill>
        </w:rPr>
        <w:instrText xml:space="preserve"> REF _Ref142907064 \h  \* MERGEFORMAT </w:instrText>
      </w:r>
      <w:r>
        <w:rPr>
          <w:rFonts w:hint="default" w:ascii="Times New Roman" w:hAnsi="Times New Roman" w:cs="Times New Roman"/>
          <w:color w:val="000000" w:themeColor="text1"/>
          <w:kern w:val="0"/>
          <w:szCs w:val="2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kern w:val="0"/>
          <w:szCs w:val="21"/>
          <w:highlight w:val="none"/>
          <w14:textFill>
            <w14:solidFill>
              <w14:schemeClr w14:val="tx1"/>
            </w14:solidFill>
          </w14:textFill>
        </w:rPr>
        <w:fldChar w:fldCharType="end"/>
      </w:r>
      <w:r>
        <w:rPr>
          <w:rFonts w:hint="default" w:ascii="Times New Roman" w:hAnsi="Times New Roman" w:cs="Times New Roman"/>
          <w:color w:val="000000" w:themeColor="text1"/>
          <w:kern w:val="0"/>
          <w:szCs w:val="2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10" w:name="_Ref142907064"/>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210"/>
      <w:r>
        <w:rPr>
          <w:rFonts w:hint="default" w:ascii="Times New Roman" w:hAnsi="Times New Roman" w:cs="Times New Roman"/>
          <w:color w:val="000000" w:themeColor="text1"/>
          <w:highlight w:val="none"/>
          <w14:textFill>
            <w14:solidFill>
              <w14:schemeClr w14:val="tx1"/>
            </w14:solidFill>
          </w14:textFill>
        </w:rPr>
        <w:t xml:space="preserve"> 202</w:t>
      </w:r>
      <w:r>
        <w:rPr>
          <w:rFonts w:hint="default" w:ascii="Times New Roman" w:hAnsi="Times New Roman"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年宣汉县环境空气质量状况统计表</w:t>
      </w:r>
    </w:p>
    <w:tbl>
      <w:tblPr>
        <w:tblStyle w:val="52"/>
        <w:tblW w:w="8097" w:type="dxa"/>
        <w:tblInd w:w="0" w:type="dxa"/>
        <w:tblBorders>
          <w:top w:val="single" w:color="156082" w:sz="4" w:space="0"/>
          <w:left w:val="single" w:color="156082" w:sz="4" w:space="0"/>
          <w:bottom w:val="single" w:color="156082" w:sz="4" w:space="0"/>
          <w:right w:val="single" w:color="156082" w:sz="4" w:space="0"/>
          <w:insideH w:val="single" w:color="auto" w:sz="8" w:space="0"/>
          <w:insideV w:val="single" w:color="auto" w:sz="8" w:space="0"/>
        </w:tblBorders>
        <w:tblLayout w:type="fixed"/>
        <w:tblCellMar>
          <w:top w:w="0" w:type="dxa"/>
          <w:left w:w="108" w:type="dxa"/>
          <w:bottom w:w="0" w:type="dxa"/>
          <w:right w:w="108" w:type="dxa"/>
        </w:tblCellMar>
      </w:tblPr>
      <w:tblGrid>
        <w:gridCol w:w="1050"/>
        <w:gridCol w:w="2098"/>
        <w:gridCol w:w="1310"/>
        <w:gridCol w:w="1503"/>
        <w:gridCol w:w="1265"/>
        <w:gridCol w:w="871"/>
      </w:tblGrid>
      <w:tr>
        <w:tblPrEx>
          <w:tblBorders>
            <w:top w:val="single" w:color="156082" w:sz="4" w:space="0"/>
            <w:left w:val="single" w:color="156082" w:sz="4" w:space="0"/>
            <w:bottom w:val="single" w:color="156082" w:sz="4" w:space="0"/>
            <w:right w:val="single" w:color="156082" w:sz="4" w:space="0"/>
            <w:insideH w:val="single" w:color="auto" w:sz="8" w:space="0"/>
            <w:insideV w:val="single" w:color="auto" w:sz="8" w:space="0"/>
          </w:tblBorders>
          <w:tblCellMar>
            <w:top w:w="0" w:type="dxa"/>
            <w:left w:w="108" w:type="dxa"/>
            <w:bottom w:w="0" w:type="dxa"/>
            <w:right w:w="108" w:type="dxa"/>
          </w:tblCellMar>
        </w:tblPrEx>
        <w:trPr>
          <w:trHeight w:val="467" w:hRule="atLeast"/>
        </w:trPr>
        <w:tc>
          <w:tcPr>
            <w:tcW w:w="648"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bookmarkStart w:id="211" w:name="_Hlk144654236"/>
            <w:r>
              <w:rPr>
                <w:rFonts w:hint="default" w:ascii="Times New Roman" w:hAnsi="Times New Roman" w:cs="Times New Roman"/>
                <w:color w:val="000000" w:themeColor="text1"/>
                <w:kern w:val="0"/>
                <w:sz w:val="21"/>
                <w:szCs w:val="21"/>
                <w:highlight w:val="none"/>
                <w14:textFill>
                  <w14:solidFill>
                    <w14:schemeClr w14:val="tx1"/>
                  </w14:solidFill>
                </w14:textFill>
              </w:rPr>
              <w:t>污染物</w:t>
            </w:r>
          </w:p>
        </w:tc>
        <w:tc>
          <w:tcPr>
            <w:tcW w:w="1295"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年评价指标</w:t>
            </w:r>
          </w:p>
        </w:tc>
        <w:tc>
          <w:tcPr>
            <w:tcW w:w="808"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评价标准</w:t>
            </w:r>
          </w:p>
        </w:tc>
        <w:tc>
          <w:tcPr>
            <w:tcW w:w="928"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现状浓度</w:t>
            </w:r>
          </w:p>
        </w:tc>
        <w:tc>
          <w:tcPr>
            <w:tcW w:w="781"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占标率</w:t>
            </w:r>
          </w:p>
        </w:tc>
        <w:tc>
          <w:tcPr>
            <w:tcW w:w="537"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达标情况</w:t>
            </w:r>
          </w:p>
        </w:tc>
      </w:tr>
      <w:tr>
        <w:tblPrEx>
          <w:tblBorders>
            <w:top w:val="single" w:color="156082" w:sz="4" w:space="0"/>
            <w:left w:val="single" w:color="156082" w:sz="4" w:space="0"/>
            <w:bottom w:val="single" w:color="156082" w:sz="4" w:space="0"/>
            <w:right w:val="single" w:color="156082" w:sz="4" w:space="0"/>
            <w:insideH w:val="single" w:color="auto" w:sz="8" w:space="0"/>
            <w:insideV w:val="single" w:color="auto" w:sz="8" w:space="0"/>
          </w:tblBorders>
          <w:tblCellMar>
            <w:top w:w="0" w:type="dxa"/>
            <w:left w:w="108" w:type="dxa"/>
            <w:bottom w:w="0" w:type="dxa"/>
            <w:right w:w="108" w:type="dxa"/>
          </w:tblCellMar>
        </w:tblPrEx>
        <w:trPr>
          <w:trHeight w:val="325" w:hRule="atLeast"/>
        </w:trPr>
        <w:tc>
          <w:tcPr>
            <w:tcW w:w="64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PM</w:t>
            </w:r>
            <w:r>
              <w:rPr>
                <w:rFonts w:hint="default" w:ascii="Times New Roman" w:hAnsi="Times New Roman" w:eastAsia="等线" w:cs="Times New Roman"/>
                <w:color w:val="000000" w:themeColor="text1"/>
                <w:kern w:val="0"/>
                <w:sz w:val="21"/>
                <w:szCs w:val="21"/>
                <w:highlight w:val="none"/>
                <w:vertAlign w:val="subscript"/>
                <w14:textFill>
                  <w14:solidFill>
                    <w14:schemeClr w14:val="tx1"/>
                  </w14:solidFill>
                </w14:textFill>
              </w:rPr>
              <w:t>10</w:t>
            </w:r>
          </w:p>
        </w:tc>
        <w:tc>
          <w:tcPr>
            <w:tcW w:w="1295"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年平均质量浓度</w:t>
            </w:r>
          </w:p>
        </w:tc>
        <w:tc>
          <w:tcPr>
            <w:tcW w:w="80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70μg/m</w:t>
            </w:r>
            <w:r>
              <w:rPr>
                <w:rFonts w:hint="default" w:ascii="Times New Roman" w:hAnsi="Times New Roman" w:eastAsia="等线" w:cs="Times New Roman"/>
                <w:color w:val="000000" w:themeColor="text1"/>
                <w:kern w:val="0"/>
                <w:sz w:val="21"/>
                <w:szCs w:val="21"/>
                <w:highlight w:val="none"/>
                <w:vertAlign w:val="superscript"/>
                <w14:textFill>
                  <w14:solidFill>
                    <w14:schemeClr w14:val="tx1"/>
                  </w14:solidFill>
                </w14:textFill>
              </w:rPr>
              <w:t>3</w:t>
            </w:r>
          </w:p>
        </w:tc>
        <w:tc>
          <w:tcPr>
            <w:tcW w:w="92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55μg/m</w:t>
            </w:r>
            <w:r>
              <w:rPr>
                <w:rFonts w:hint="default" w:ascii="Times New Roman" w:hAnsi="Times New Roman" w:eastAsia="等线" w:cs="Times New Roman"/>
                <w:color w:val="000000" w:themeColor="text1"/>
                <w:kern w:val="0"/>
                <w:sz w:val="21"/>
                <w:szCs w:val="21"/>
                <w:highlight w:val="none"/>
                <w:vertAlign w:val="superscript"/>
                <w14:textFill>
                  <w14:solidFill>
                    <w14:schemeClr w14:val="tx1"/>
                  </w14:solidFill>
                </w14:textFill>
              </w:rPr>
              <w:t>3</w:t>
            </w:r>
          </w:p>
        </w:tc>
        <w:tc>
          <w:tcPr>
            <w:tcW w:w="781"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78.57%</w:t>
            </w:r>
          </w:p>
        </w:tc>
        <w:tc>
          <w:tcPr>
            <w:tcW w:w="537"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达标</w:t>
            </w:r>
          </w:p>
        </w:tc>
      </w:tr>
      <w:tr>
        <w:tblPrEx>
          <w:tblBorders>
            <w:top w:val="single" w:color="156082" w:sz="4" w:space="0"/>
            <w:left w:val="single" w:color="156082" w:sz="4" w:space="0"/>
            <w:bottom w:val="single" w:color="156082" w:sz="4" w:space="0"/>
            <w:right w:val="single" w:color="156082" w:sz="4" w:space="0"/>
            <w:insideH w:val="single" w:color="auto" w:sz="8" w:space="0"/>
            <w:insideV w:val="single" w:color="auto" w:sz="8" w:space="0"/>
          </w:tblBorders>
          <w:tblCellMar>
            <w:top w:w="0" w:type="dxa"/>
            <w:left w:w="108" w:type="dxa"/>
            <w:bottom w:w="0" w:type="dxa"/>
            <w:right w:w="108" w:type="dxa"/>
          </w:tblCellMar>
        </w:tblPrEx>
        <w:trPr>
          <w:trHeight w:val="325" w:hRule="atLeast"/>
        </w:trPr>
        <w:tc>
          <w:tcPr>
            <w:tcW w:w="64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PM</w:t>
            </w:r>
            <w:r>
              <w:rPr>
                <w:rFonts w:hint="default" w:ascii="Times New Roman" w:hAnsi="Times New Roman" w:eastAsia="等线" w:cs="Times New Roman"/>
                <w:color w:val="000000" w:themeColor="text1"/>
                <w:kern w:val="0"/>
                <w:sz w:val="21"/>
                <w:szCs w:val="21"/>
                <w:highlight w:val="none"/>
                <w:vertAlign w:val="subscript"/>
                <w14:textFill>
                  <w14:solidFill>
                    <w14:schemeClr w14:val="tx1"/>
                  </w14:solidFill>
                </w14:textFill>
              </w:rPr>
              <w:t>2.5</w:t>
            </w:r>
          </w:p>
        </w:tc>
        <w:tc>
          <w:tcPr>
            <w:tcW w:w="1295"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年平均质量浓度</w:t>
            </w:r>
          </w:p>
        </w:tc>
        <w:tc>
          <w:tcPr>
            <w:tcW w:w="80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35μg/m</w:t>
            </w:r>
            <w:r>
              <w:rPr>
                <w:rFonts w:hint="default" w:ascii="Times New Roman" w:hAnsi="Times New Roman" w:eastAsia="等线" w:cs="Times New Roman"/>
                <w:color w:val="000000" w:themeColor="text1"/>
                <w:kern w:val="0"/>
                <w:sz w:val="21"/>
                <w:szCs w:val="21"/>
                <w:highlight w:val="none"/>
                <w:vertAlign w:val="superscript"/>
                <w14:textFill>
                  <w14:solidFill>
                    <w14:schemeClr w14:val="tx1"/>
                  </w14:solidFill>
                </w14:textFill>
              </w:rPr>
              <w:t>3</w:t>
            </w:r>
          </w:p>
        </w:tc>
        <w:tc>
          <w:tcPr>
            <w:tcW w:w="92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29μg/m</w:t>
            </w:r>
            <w:r>
              <w:rPr>
                <w:rFonts w:hint="default" w:ascii="Times New Roman" w:hAnsi="Times New Roman" w:eastAsia="等线" w:cs="Times New Roman"/>
                <w:color w:val="000000" w:themeColor="text1"/>
                <w:kern w:val="0"/>
                <w:sz w:val="21"/>
                <w:szCs w:val="21"/>
                <w:highlight w:val="none"/>
                <w:vertAlign w:val="superscript"/>
                <w14:textFill>
                  <w14:solidFill>
                    <w14:schemeClr w14:val="tx1"/>
                  </w14:solidFill>
                </w14:textFill>
              </w:rPr>
              <w:t>3</w:t>
            </w:r>
          </w:p>
        </w:tc>
        <w:tc>
          <w:tcPr>
            <w:tcW w:w="781"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82.85%</w:t>
            </w:r>
          </w:p>
        </w:tc>
        <w:tc>
          <w:tcPr>
            <w:tcW w:w="537"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达标</w:t>
            </w:r>
          </w:p>
        </w:tc>
      </w:tr>
      <w:tr>
        <w:tblPrEx>
          <w:tblBorders>
            <w:top w:val="single" w:color="156082" w:sz="4" w:space="0"/>
            <w:left w:val="single" w:color="156082" w:sz="4" w:space="0"/>
            <w:bottom w:val="single" w:color="156082" w:sz="4" w:space="0"/>
            <w:right w:val="single" w:color="156082" w:sz="4" w:space="0"/>
            <w:insideH w:val="single" w:color="auto" w:sz="8" w:space="0"/>
            <w:insideV w:val="single" w:color="auto" w:sz="8" w:space="0"/>
          </w:tblBorders>
          <w:tblCellMar>
            <w:top w:w="0" w:type="dxa"/>
            <w:left w:w="108" w:type="dxa"/>
            <w:bottom w:w="0" w:type="dxa"/>
            <w:right w:w="108" w:type="dxa"/>
          </w:tblCellMar>
        </w:tblPrEx>
        <w:trPr>
          <w:trHeight w:val="325" w:hRule="atLeast"/>
        </w:trPr>
        <w:tc>
          <w:tcPr>
            <w:tcW w:w="64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SO</w:t>
            </w:r>
            <w:r>
              <w:rPr>
                <w:rFonts w:hint="default" w:ascii="Times New Roman" w:hAnsi="Times New Roman" w:eastAsia="等线" w:cs="Times New Roman"/>
                <w:color w:val="000000" w:themeColor="text1"/>
                <w:kern w:val="0"/>
                <w:sz w:val="21"/>
                <w:szCs w:val="21"/>
                <w:highlight w:val="none"/>
                <w:vertAlign w:val="subscript"/>
                <w14:textFill>
                  <w14:solidFill>
                    <w14:schemeClr w14:val="tx1"/>
                  </w14:solidFill>
                </w14:textFill>
              </w:rPr>
              <w:t>2</w:t>
            </w:r>
          </w:p>
        </w:tc>
        <w:tc>
          <w:tcPr>
            <w:tcW w:w="1295"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年平均质量浓度</w:t>
            </w:r>
          </w:p>
        </w:tc>
        <w:tc>
          <w:tcPr>
            <w:tcW w:w="80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60μg/m</w:t>
            </w:r>
            <w:r>
              <w:rPr>
                <w:rFonts w:hint="default" w:ascii="Times New Roman" w:hAnsi="Times New Roman" w:eastAsia="等线" w:cs="Times New Roman"/>
                <w:color w:val="000000" w:themeColor="text1"/>
                <w:kern w:val="0"/>
                <w:sz w:val="21"/>
                <w:szCs w:val="21"/>
                <w:highlight w:val="none"/>
                <w:vertAlign w:val="superscript"/>
                <w14:textFill>
                  <w14:solidFill>
                    <w14:schemeClr w14:val="tx1"/>
                  </w14:solidFill>
                </w14:textFill>
              </w:rPr>
              <w:t>3</w:t>
            </w:r>
          </w:p>
        </w:tc>
        <w:tc>
          <w:tcPr>
            <w:tcW w:w="92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6μg/m</w:t>
            </w:r>
            <w:r>
              <w:rPr>
                <w:rFonts w:hint="default" w:ascii="Times New Roman" w:hAnsi="Times New Roman" w:eastAsia="等线" w:cs="Times New Roman"/>
                <w:color w:val="000000" w:themeColor="text1"/>
                <w:kern w:val="0"/>
                <w:sz w:val="21"/>
                <w:szCs w:val="21"/>
                <w:highlight w:val="none"/>
                <w:vertAlign w:val="superscript"/>
                <w14:textFill>
                  <w14:solidFill>
                    <w14:schemeClr w14:val="tx1"/>
                  </w14:solidFill>
                </w14:textFill>
              </w:rPr>
              <w:t>3</w:t>
            </w:r>
          </w:p>
        </w:tc>
        <w:tc>
          <w:tcPr>
            <w:tcW w:w="781"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10.0%</w:t>
            </w:r>
          </w:p>
        </w:tc>
        <w:tc>
          <w:tcPr>
            <w:tcW w:w="537"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达标</w:t>
            </w:r>
          </w:p>
        </w:tc>
      </w:tr>
      <w:tr>
        <w:tblPrEx>
          <w:tblBorders>
            <w:top w:val="single" w:color="156082" w:sz="4" w:space="0"/>
            <w:left w:val="single" w:color="156082" w:sz="4" w:space="0"/>
            <w:bottom w:val="single" w:color="156082" w:sz="4" w:space="0"/>
            <w:right w:val="single" w:color="156082" w:sz="4" w:space="0"/>
            <w:insideH w:val="single" w:color="auto" w:sz="8" w:space="0"/>
            <w:insideV w:val="single" w:color="auto" w:sz="8" w:space="0"/>
          </w:tblBorders>
          <w:tblCellMar>
            <w:top w:w="0" w:type="dxa"/>
            <w:left w:w="108" w:type="dxa"/>
            <w:bottom w:w="0" w:type="dxa"/>
            <w:right w:w="108" w:type="dxa"/>
          </w:tblCellMar>
        </w:tblPrEx>
        <w:trPr>
          <w:trHeight w:val="325" w:hRule="atLeast"/>
        </w:trPr>
        <w:tc>
          <w:tcPr>
            <w:tcW w:w="64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NO</w:t>
            </w:r>
            <w:r>
              <w:rPr>
                <w:rFonts w:hint="default" w:ascii="Times New Roman" w:hAnsi="Times New Roman" w:eastAsia="等线" w:cs="Times New Roman"/>
                <w:color w:val="000000" w:themeColor="text1"/>
                <w:kern w:val="0"/>
                <w:sz w:val="21"/>
                <w:szCs w:val="21"/>
                <w:highlight w:val="none"/>
                <w:vertAlign w:val="subscript"/>
                <w14:textFill>
                  <w14:solidFill>
                    <w14:schemeClr w14:val="tx1"/>
                  </w14:solidFill>
                </w14:textFill>
              </w:rPr>
              <w:t>2</w:t>
            </w:r>
          </w:p>
        </w:tc>
        <w:tc>
          <w:tcPr>
            <w:tcW w:w="1295"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年平均质量浓度</w:t>
            </w:r>
          </w:p>
        </w:tc>
        <w:tc>
          <w:tcPr>
            <w:tcW w:w="80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40μg/m</w:t>
            </w:r>
            <w:r>
              <w:rPr>
                <w:rFonts w:hint="default" w:ascii="Times New Roman" w:hAnsi="Times New Roman" w:eastAsia="等线" w:cs="Times New Roman"/>
                <w:color w:val="000000" w:themeColor="text1"/>
                <w:kern w:val="0"/>
                <w:sz w:val="21"/>
                <w:szCs w:val="21"/>
                <w:highlight w:val="none"/>
                <w:vertAlign w:val="superscript"/>
                <w14:textFill>
                  <w14:solidFill>
                    <w14:schemeClr w14:val="tx1"/>
                  </w14:solidFill>
                </w14:textFill>
              </w:rPr>
              <w:t>3</w:t>
            </w:r>
          </w:p>
        </w:tc>
        <w:tc>
          <w:tcPr>
            <w:tcW w:w="92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20μg/m</w:t>
            </w:r>
            <w:r>
              <w:rPr>
                <w:rFonts w:hint="default" w:ascii="Times New Roman" w:hAnsi="Times New Roman" w:eastAsia="等线" w:cs="Times New Roman"/>
                <w:color w:val="000000" w:themeColor="text1"/>
                <w:kern w:val="0"/>
                <w:sz w:val="21"/>
                <w:szCs w:val="21"/>
                <w:highlight w:val="none"/>
                <w:vertAlign w:val="superscript"/>
                <w14:textFill>
                  <w14:solidFill>
                    <w14:schemeClr w14:val="tx1"/>
                  </w14:solidFill>
                </w14:textFill>
              </w:rPr>
              <w:t>3</w:t>
            </w:r>
          </w:p>
        </w:tc>
        <w:tc>
          <w:tcPr>
            <w:tcW w:w="781"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50.0%</w:t>
            </w:r>
          </w:p>
        </w:tc>
        <w:tc>
          <w:tcPr>
            <w:tcW w:w="537"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达标</w:t>
            </w:r>
          </w:p>
        </w:tc>
      </w:tr>
      <w:tr>
        <w:tblPrEx>
          <w:tblBorders>
            <w:top w:val="single" w:color="156082" w:sz="4" w:space="0"/>
            <w:left w:val="single" w:color="156082" w:sz="4" w:space="0"/>
            <w:bottom w:val="single" w:color="156082" w:sz="4" w:space="0"/>
            <w:right w:val="single" w:color="156082" w:sz="4" w:space="0"/>
            <w:insideH w:val="single" w:color="auto" w:sz="8" w:space="0"/>
            <w:insideV w:val="single" w:color="auto" w:sz="8" w:space="0"/>
          </w:tblBorders>
          <w:tblCellMar>
            <w:top w:w="0" w:type="dxa"/>
            <w:left w:w="108" w:type="dxa"/>
            <w:bottom w:w="0" w:type="dxa"/>
            <w:right w:w="108" w:type="dxa"/>
          </w:tblCellMar>
        </w:tblPrEx>
        <w:trPr>
          <w:trHeight w:val="487" w:hRule="atLeast"/>
        </w:trPr>
        <w:tc>
          <w:tcPr>
            <w:tcW w:w="64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CO</w:t>
            </w:r>
          </w:p>
        </w:tc>
        <w:tc>
          <w:tcPr>
            <w:tcW w:w="1295"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95%</w:t>
            </w:r>
            <w:r>
              <w:rPr>
                <w:rFonts w:hint="default" w:ascii="Times New Roman" w:hAnsi="Times New Roman" w:cs="Times New Roman"/>
                <w:color w:val="000000" w:themeColor="text1"/>
                <w:kern w:val="0"/>
                <w:sz w:val="21"/>
                <w:szCs w:val="21"/>
                <w:highlight w:val="none"/>
                <w14:textFill>
                  <w14:solidFill>
                    <w14:schemeClr w14:val="tx1"/>
                  </w14:solidFill>
                </w14:textFill>
              </w:rPr>
              <w:t>百分位数</w:t>
            </w: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24</w:t>
            </w:r>
            <w:r>
              <w:rPr>
                <w:rFonts w:hint="default" w:ascii="Times New Roman" w:hAnsi="Times New Roman" w:cs="Times New Roman"/>
                <w:color w:val="000000" w:themeColor="text1"/>
                <w:kern w:val="0"/>
                <w:sz w:val="21"/>
                <w:szCs w:val="21"/>
                <w:highlight w:val="none"/>
                <w14:textFill>
                  <w14:solidFill>
                    <w14:schemeClr w14:val="tx1"/>
                  </w14:solidFill>
                </w14:textFill>
              </w:rPr>
              <w:t>小时平均</w:t>
            </w:r>
          </w:p>
        </w:tc>
        <w:tc>
          <w:tcPr>
            <w:tcW w:w="80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4mg/m³</w:t>
            </w:r>
          </w:p>
        </w:tc>
        <w:tc>
          <w:tcPr>
            <w:tcW w:w="92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1.2mg/m³</w:t>
            </w:r>
          </w:p>
        </w:tc>
        <w:tc>
          <w:tcPr>
            <w:tcW w:w="781"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30.0%</w:t>
            </w:r>
          </w:p>
        </w:tc>
        <w:tc>
          <w:tcPr>
            <w:tcW w:w="537"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达标</w:t>
            </w:r>
          </w:p>
        </w:tc>
      </w:tr>
      <w:tr>
        <w:tblPrEx>
          <w:tblBorders>
            <w:top w:val="single" w:color="156082" w:sz="4" w:space="0"/>
            <w:left w:val="single" w:color="156082" w:sz="4" w:space="0"/>
            <w:bottom w:val="single" w:color="156082" w:sz="4" w:space="0"/>
            <w:right w:val="single" w:color="156082" w:sz="4" w:space="0"/>
            <w:insideH w:val="single" w:color="auto" w:sz="8" w:space="0"/>
            <w:insideV w:val="single" w:color="auto" w:sz="8" w:space="0"/>
          </w:tblBorders>
          <w:tblCellMar>
            <w:top w:w="0" w:type="dxa"/>
            <w:left w:w="108" w:type="dxa"/>
            <w:bottom w:w="0" w:type="dxa"/>
            <w:right w:w="108" w:type="dxa"/>
          </w:tblCellMar>
        </w:tblPrEx>
        <w:trPr>
          <w:trHeight w:val="648" w:hRule="atLeast"/>
        </w:trPr>
        <w:tc>
          <w:tcPr>
            <w:tcW w:w="64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O</w:t>
            </w:r>
            <w:r>
              <w:rPr>
                <w:rFonts w:hint="default" w:ascii="Times New Roman" w:hAnsi="Times New Roman" w:eastAsia="等线" w:cs="Times New Roman"/>
                <w:color w:val="000000" w:themeColor="text1"/>
                <w:kern w:val="0"/>
                <w:sz w:val="21"/>
                <w:szCs w:val="21"/>
                <w:highlight w:val="none"/>
                <w:vertAlign w:val="subscript"/>
                <w14:textFill>
                  <w14:solidFill>
                    <w14:schemeClr w14:val="tx1"/>
                  </w14:solidFill>
                </w14:textFill>
              </w:rPr>
              <w:t>3</w:t>
            </w:r>
          </w:p>
        </w:tc>
        <w:tc>
          <w:tcPr>
            <w:tcW w:w="1295"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90%</w:t>
            </w:r>
            <w:r>
              <w:rPr>
                <w:rFonts w:hint="default" w:ascii="Times New Roman" w:hAnsi="Times New Roman" w:cs="Times New Roman"/>
                <w:color w:val="000000" w:themeColor="text1"/>
                <w:kern w:val="0"/>
                <w:sz w:val="21"/>
                <w:szCs w:val="21"/>
                <w:highlight w:val="none"/>
                <w14:textFill>
                  <w14:solidFill>
                    <w14:schemeClr w14:val="tx1"/>
                  </w14:solidFill>
                </w14:textFill>
              </w:rPr>
              <w:t>百分位数日最大</w:t>
            </w: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8</w:t>
            </w:r>
            <w:r>
              <w:rPr>
                <w:rFonts w:hint="default" w:ascii="Times New Roman" w:hAnsi="Times New Roman" w:cs="Times New Roman"/>
                <w:color w:val="000000" w:themeColor="text1"/>
                <w:kern w:val="0"/>
                <w:sz w:val="21"/>
                <w:szCs w:val="21"/>
                <w:highlight w:val="none"/>
                <w14:textFill>
                  <w14:solidFill>
                    <w14:schemeClr w14:val="tx1"/>
                  </w14:solidFill>
                </w14:textFill>
              </w:rPr>
              <w:t>小时滑动平均</w:t>
            </w:r>
          </w:p>
        </w:tc>
        <w:tc>
          <w:tcPr>
            <w:tcW w:w="80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160μg/m</w:t>
            </w:r>
            <w:r>
              <w:rPr>
                <w:rFonts w:hint="default" w:ascii="Times New Roman" w:hAnsi="Times New Roman" w:eastAsia="等线" w:cs="Times New Roman"/>
                <w:color w:val="000000" w:themeColor="text1"/>
                <w:kern w:val="0"/>
                <w:sz w:val="21"/>
                <w:szCs w:val="21"/>
                <w:highlight w:val="none"/>
                <w:vertAlign w:val="superscript"/>
                <w14:textFill>
                  <w14:solidFill>
                    <w14:schemeClr w14:val="tx1"/>
                  </w14:solidFill>
                </w14:textFill>
              </w:rPr>
              <w:t>3</w:t>
            </w:r>
          </w:p>
        </w:tc>
        <w:tc>
          <w:tcPr>
            <w:tcW w:w="928"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90μg/m</w:t>
            </w:r>
            <w:r>
              <w:rPr>
                <w:rFonts w:hint="default" w:ascii="Times New Roman" w:hAnsi="Times New Roman" w:eastAsia="等线" w:cs="Times New Roman"/>
                <w:color w:val="000000" w:themeColor="text1"/>
                <w:kern w:val="0"/>
                <w:sz w:val="21"/>
                <w:szCs w:val="21"/>
                <w:highlight w:val="none"/>
                <w:vertAlign w:val="superscript"/>
                <w14:textFill>
                  <w14:solidFill>
                    <w14:schemeClr w14:val="tx1"/>
                  </w14:solidFill>
                </w14:textFill>
              </w:rPr>
              <w:t>3</w:t>
            </w:r>
          </w:p>
        </w:tc>
        <w:tc>
          <w:tcPr>
            <w:tcW w:w="781" w:type="pct"/>
            <w:noWrap w:val="0"/>
            <w:vAlign w:val="center"/>
          </w:tcPr>
          <w:p>
            <w:pPr>
              <w:widowControl/>
              <w:adjustRightInd/>
              <w:snapToGrid/>
              <w:spacing w:line="240" w:lineRule="auto"/>
              <w:ind w:firstLine="0" w:firstLineChars="0"/>
              <w:jc w:val="center"/>
              <w:rPr>
                <w:rFonts w:hint="default" w:ascii="Times New Roman" w:hAnsi="Times New Roman" w:eastAsia="等线" w:cs="Times New Roman"/>
                <w:color w:val="000000" w:themeColor="text1"/>
                <w:kern w:val="0"/>
                <w:sz w:val="2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1"/>
                <w:szCs w:val="21"/>
                <w:highlight w:val="none"/>
                <w14:textFill>
                  <w14:solidFill>
                    <w14:schemeClr w14:val="tx1"/>
                  </w14:solidFill>
                </w14:textFill>
              </w:rPr>
              <w:t>56.25%</w:t>
            </w:r>
          </w:p>
        </w:tc>
        <w:tc>
          <w:tcPr>
            <w:tcW w:w="537" w:type="pct"/>
            <w:noWrap w:val="0"/>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达标</w:t>
            </w:r>
          </w:p>
        </w:tc>
      </w:tr>
    </w:tbl>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1"/>
          <w:highlight w:val="none"/>
          <w14:textFill>
            <w14:solidFill>
              <w14:schemeClr w14:val="tx1"/>
            </w14:solidFill>
          </w14:textFill>
        </w:rPr>
      </w:pP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根据《达州市202</w:t>
      </w:r>
      <w:r>
        <w:rPr>
          <w:rFonts w:hint="default" w:ascii="Times New Roman" w:hAnsi="Times New Roman" w:cs="Times New Roman"/>
          <w:color w:val="000000" w:themeColor="text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年环境空气质量状况》内容，宣汉县202</w:t>
      </w:r>
      <w:r>
        <w:rPr>
          <w:rFonts w:hint="default" w:ascii="Times New Roman" w:hAnsi="Times New Roman" w:cs="Times New Roman"/>
          <w:color w:val="000000" w:themeColor="text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年度主要污染物SO</w:t>
      </w:r>
      <w:r>
        <w:rPr>
          <w:rFonts w:hint="default" w:ascii="Times New Roman" w:hAnsi="Times New Roman" w:cs="Times New Roman"/>
          <w:color w:val="000000" w:themeColor="text1"/>
          <w:szCs w:val="21"/>
          <w:highlight w:val="none"/>
          <w:vertAlign w:val="sub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、NO</w:t>
      </w:r>
      <w:r>
        <w:rPr>
          <w:rFonts w:hint="default" w:ascii="Times New Roman" w:hAnsi="Times New Roman" w:cs="Times New Roman"/>
          <w:color w:val="000000" w:themeColor="text1"/>
          <w:szCs w:val="21"/>
          <w:highlight w:val="none"/>
          <w:vertAlign w:val="sub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、PM</w:t>
      </w:r>
      <w:r>
        <w:rPr>
          <w:rFonts w:hint="default" w:ascii="Times New Roman" w:hAnsi="Times New Roman" w:cs="Times New Roman"/>
          <w:color w:val="000000" w:themeColor="text1"/>
          <w:szCs w:val="21"/>
          <w:highlight w:val="none"/>
          <w:vertAlign w:val="subscript"/>
          <w14:textFill>
            <w14:solidFill>
              <w14:schemeClr w14:val="tx1"/>
            </w14:solidFill>
          </w14:textFill>
        </w:rPr>
        <w:t>10</w:t>
      </w:r>
      <w:r>
        <w:rPr>
          <w:rFonts w:hint="default" w:ascii="Times New Roman" w:hAnsi="Times New Roman" w:cs="Times New Roman"/>
          <w:color w:val="000000" w:themeColor="text1"/>
          <w:szCs w:val="21"/>
          <w:highlight w:val="none"/>
          <w14:textFill>
            <w14:solidFill>
              <w14:schemeClr w14:val="tx1"/>
            </w14:solidFill>
          </w14:textFill>
        </w:rPr>
        <w:t>、PM</w:t>
      </w:r>
      <w:r>
        <w:rPr>
          <w:rFonts w:hint="default" w:ascii="Times New Roman" w:hAnsi="Times New Roman" w:cs="Times New Roman"/>
          <w:color w:val="000000" w:themeColor="text1"/>
          <w:szCs w:val="21"/>
          <w:highlight w:val="none"/>
          <w:vertAlign w:val="subscript"/>
          <w14:textFill>
            <w14:solidFill>
              <w14:schemeClr w14:val="tx1"/>
            </w14:solidFill>
          </w14:textFill>
        </w:rPr>
        <w:t>2.5</w:t>
      </w:r>
      <w:r>
        <w:rPr>
          <w:rFonts w:hint="default" w:ascii="Times New Roman" w:hAnsi="Times New Roman" w:cs="Times New Roman"/>
          <w:color w:val="000000" w:themeColor="text1"/>
          <w:szCs w:val="21"/>
          <w:highlight w:val="none"/>
          <w14:textFill>
            <w14:solidFill>
              <w14:schemeClr w14:val="tx1"/>
            </w14:solidFill>
          </w14:textFill>
        </w:rPr>
        <w:t>、CO、O</w:t>
      </w:r>
      <w:r>
        <w:rPr>
          <w:rFonts w:hint="default" w:ascii="Times New Roman" w:hAnsi="Times New Roman" w:cs="Times New Roman"/>
          <w:color w:val="000000" w:themeColor="text1"/>
          <w:szCs w:val="21"/>
          <w:highlight w:val="none"/>
          <w:vertAlign w:val="subscript"/>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均满足《环境空气质量标准》（GB3095-2012）二级标准要求，按《环境影响评价技术导则 大气环境》（HJ2.2-2018）区域达标判断标准，宣汉县202</w:t>
      </w:r>
      <w:r>
        <w:rPr>
          <w:rFonts w:hint="default" w:ascii="Times New Roman" w:hAnsi="Times New Roman" w:cs="Times New Roman"/>
          <w:color w:val="000000" w:themeColor="text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年度区域环境空气质量为达标区</w:t>
      </w:r>
      <w:bookmarkEnd w:id="211"/>
      <w:r>
        <w:rPr>
          <w:rFonts w:hint="default" w:ascii="Times New Roman" w:hAnsi="Times New Roman" w:cs="Times New Roman"/>
          <w:color w:val="000000" w:themeColor="text1"/>
          <w:szCs w:val="21"/>
          <w:highlight w:val="none"/>
          <w14:textFill>
            <w14:solidFill>
              <w14:schemeClr w14:val="tx1"/>
            </w14:solidFill>
          </w14:textFill>
        </w:rPr>
        <w:t>。</w:t>
      </w:r>
    </w:p>
    <w:p>
      <w:pPr>
        <w:pStyle w:val="250"/>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2、特征污染物</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（1）监测点布设</w:t>
      </w:r>
    </w:p>
    <w:p>
      <w:pPr>
        <w:pStyle w:val="250"/>
        <w:keepNext w:val="0"/>
        <w:keepLines w:val="0"/>
        <w:pageBreakBefore w:val="0"/>
        <w:widowControl w:val="0"/>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根据项目工程特点的具体情况，共布设1个大气环境监测点，位于普光P106-2H侧井井场外西南侧居民点处。</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（2）监测项目：硫化氢、非甲烷总烃、总悬浮颗粒物。</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（3）监测频次：连续采样7天。</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（4）采样及分析方法</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采样及分析方法按国家有关规定进行。</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（5）评价标准</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本次非甲烷总烃环境质量现状评价，执行标准采用《大气污染物综合排放标准详解》浓度限值2.0mg/m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；硫化氢环境质量现状评价，执行标准采用《环境影响评价技术导则大气环境》（HJ2.2-2018）中附录D浓度限值10μg/m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；TSP执行《环境空气质量标准》（GB3095-2012）二级标准要求24小时平均值为300μg/m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（6）评价方法</w:t>
      </w:r>
    </w:p>
    <w:p>
      <w:pPr>
        <w:pStyle w:val="250"/>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根据《环境影响评价技术导则大气环境》（HJ2.2-2018），采用最大监测浓度占标率对评价区域大气环境质量现状进行评价，评价模式如下：</w:t>
      </w:r>
    </w:p>
    <w:p>
      <w:pPr>
        <w:pStyle w:val="250"/>
        <w:ind w:firstLine="480"/>
        <w:rPr>
          <w:rFonts w:hint="default" w:ascii="Times New Roman" w:hAnsi="Times New Roman" w:cs="Times New Roman"/>
          <w:color w:val="000000" w:themeColor="text1"/>
          <w:szCs w:val="24"/>
          <w:highlight w:val="none"/>
          <w14:textFill>
            <w14:solidFill>
              <w14:schemeClr w14:val="tx1"/>
            </w14:solidFill>
          </w14:textFill>
        </w:rPr>
      </w:pPr>
      <m:oMathPara>
        <m:oMath>
          <m:sSub>
            <m:sSubPr>
              <m:ctrlPr>
                <w:rPr>
                  <w:rFonts w:hint="default" w:ascii="Cambria Math" w:hAnsi="Cambria Math" w:cs="Times New Roman"/>
                  <w:color w:val="000000" w:themeColor="text1"/>
                  <w:kern w:val="2"/>
                  <w:szCs w:val="24"/>
                  <w:highlight w:val="none"/>
                  <w14:textFill>
                    <w14:solidFill>
                      <w14:schemeClr w14:val="tx1"/>
                    </w14:solidFill>
                  </w14:textFill>
                </w:rPr>
              </m:ctrlPr>
            </m:sSubPr>
            <m:e>
              <m:r>
                <m:rPr>
                  <m:sty m:val="p"/>
                </m:rPr>
                <w:rPr>
                  <w:rFonts w:hint="default" w:ascii="Cambria Math" w:hAnsi="Cambria Math" w:cs="Times New Roman"/>
                  <w:color w:val="000000" w:themeColor="text1"/>
                  <w:szCs w:val="24"/>
                  <w:highlight w:val="none"/>
                  <w14:textFill>
                    <w14:solidFill>
                      <w14:schemeClr w14:val="tx1"/>
                    </w14:solidFill>
                  </w14:textFill>
                </w:rPr>
                <m:t>P</m:t>
              </m:r>
              <m:ctrlPr>
                <w:rPr>
                  <w:rFonts w:hint="default" w:ascii="Cambria Math" w:hAnsi="Cambria Math" w:cs="Times New Roman"/>
                  <w:color w:val="000000" w:themeColor="text1"/>
                  <w:kern w:val="2"/>
                  <w:szCs w:val="24"/>
                  <w:highlight w:val="none"/>
                  <w14:textFill>
                    <w14:solidFill>
                      <w14:schemeClr w14:val="tx1"/>
                    </w14:solidFill>
                  </w14:textFill>
                </w:rPr>
              </m:ctrlPr>
            </m:e>
            <m:sub>
              <m:r>
                <m:rPr>
                  <m:sty m:val="p"/>
                </m:rPr>
                <w:rPr>
                  <w:rFonts w:hint="default" w:ascii="Cambria Math" w:hAnsi="Cambria Math" w:cs="Times New Roman"/>
                  <w:color w:val="000000" w:themeColor="text1"/>
                  <w:szCs w:val="24"/>
                  <w:highlight w:val="none"/>
                  <w14:textFill>
                    <w14:solidFill>
                      <w14:schemeClr w14:val="tx1"/>
                    </w14:solidFill>
                  </w14:textFill>
                </w:rPr>
                <m:t>i</m:t>
              </m:r>
              <m:ctrlPr>
                <w:rPr>
                  <w:rFonts w:hint="default" w:ascii="Cambria Math" w:hAnsi="Cambria Math" w:cs="Times New Roman"/>
                  <w:color w:val="000000" w:themeColor="text1"/>
                  <w:kern w:val="2"/>
                  <w:szCs w:val="24"/>
                  <w:highlight w:val="none"/>
                  <w14:textFill>
                    <w14:solidFill>
                      <w14:schemeClr w14:val="tx1"/>
                    </w14:solidFill>
                  </w14:textFill>
                </w:rPr>
              </m:ctrlPr>
            </m:sub>
          </m:sSub>
          <m:r>
            <m:rPr>
              <m:sty m:val="p"/>
            </m:rPr>
            <w:rPr>
              <w:rFonts w:hint="default" w:ascii="Cambria Math" w:hAnsi="Cambria Math" w:cs="Times New Roman"/>
              <w:color w:val="000000" w:themeColor="text1"/>
              <w:szCs w:val="24"/>
              <w:highlight w:val="none"/>
              <w14:textFill>
                <w14:solidFill>
                  <w14:schemeClr w14:val="tx1"/>
                </w14:solidFill>
              </w14:textFill>
            </w:rPr>
            <m:t>=</m:t>
          </m:r>
          <m:f>
            <m:fPr>
              <m:ctrlPr>
                <w:rPr>
                  <w:rFonts w:hint="default" w:ascii="Cambria Math" w:hAnsi="Cambria Math" w:cs="Times New Roman"/>
                  <w:color w:val="000000" w:themeColor="text1"/>
                  <w:kern w:val="2"/>
                  <w:szCs w:val="24"/>
                  <w:highlight w:val="none"/>
                  <w14:textFill>
                    <w14:solidFill>
                      <w14:schemeClr w14:val="tx1"/>
                    </w14:solidFill>
                  </w14:textFill>
                </w:rPr>
              </m:ctrlPr>
            </m:fPr>
            <m:num>
              <m:sSub>
                <m:sSubPr>
                  <m:ctrlPr>
                    <w:rPr>
                      <w:rFonts w:hint="default" w:ascii="Cambria Math" w:hAnsi="Cambria Math" w:cs="Times New Roman"/>
                      <w:color w:val="000000" w:themeColor="text1"/>
                      <w:kern w:val="2"/>
                      <w:szCs w:val="24"/>
                      <w:highlight w:val="none"/>
                      <w14:textFill>
                        <w14:solidFill>
                          <w14:schemeClr w14:val="tx1"/>
                        </w14:solidFill>
                      </w14:textFill>
                    </w:rPr>
                  </m:ctrlPr>
                </m:sSubPr>
                <m:e>
                  <m:r>
                    <m:rPr>
                      <m:sty m:val="p"/>
                    </m:rPr>
                    <w:rPr>
                      <w:rFonts w:hint="default" w:ascii="Cambria Math" w:hAnsi="Cambria Math" w:cs="Times New Roman"/>
                      <w:color w:val="000000" w:themeColor="text1"/>
                      <w:szCs w:val="24"/>
                      <w:highlight w:val="none"/>
                      <w14:textFill>
                        <w14:solidFill>
                          <w14:schemeClr w14:val="tx1"/>
                        </w14:solidFill>
                      </w14:textFill>
                    </w:rPr>
                    <m:t>C</m:t>
                  </m:r>
                  <m:ctrlPr>
                    <w:rPr>
                      <w:rFonts w:hint="default" w:ascii="Cambria Math" w:hAnsi="Cambria Math" w:cs="Times New Roman"/>
                      <w:color w:val="000000" w:themeColor="text1"/>
                      <w:kern w:val="2"/>
                      <w:szCs w:val="24"/>
                      <w:highlight w:val="none"/>
                      <w14:textFill>
                        <w14:solidFill>
                          <w14:schemeClr w14:val="tx1"/>
                        </w14:solidFill>
                      </w14:textFill>
                    </w:rPr>
                  </m:ctrlPr>
                </m:e>
                <m:sub>
                  <m:r>
                    <m:rPr>
                      <m:sty m:val="p"/>
                    </m:rPr>
                    <w:rPr>
                      <w:rFonts w:hint="default" w:ascii="Cambria Math" w:hAnsi="Cambria Math" w:cs="Times New Roman"/>
                      <w:color w:val="000000" w:themeColor="text1"/>
                      <w:szCs w:val="24"/>
                      <w:highlight w:val="none"/>
                      <w14:textFill>
                        <w14:solidFill>
                          <w14:schemeClr w14:val="tx1"/>
                        </w14:solidFill>
                      </w14:textFill>
                    </w:rPr>
                    <m:t>i</m:t>
                  </m:r>
                  <m:ctrlPr>
                    <w:rPr>
                      <w:rFonts w:hint="default" w:ascii="Cambria Math" w:hAnsi="Cambria Math" w:cs="Times New Roman"/>
                      <w:color w:val="000000" w:themeColor="text1"/>
                      <w:kern w:val="2"/>
                      <w:szCs w:val="24"/>
                      <w:highlight w:val="none"/>
                      <w14:textFill>
                        <w14:solidFill>
                          <w14:schemeClr w14:val="tx1"/>
                        </w14:solidFill>
                      </w14:textFill>
                    </w:rPr>
                  </m:ctrlPr>
                </m:sub>
              </m:sSub>
              <m:ctrlPr>
                <w:rPr>
                  <w:rFonts w:hint="default" w:ascii="Cambria Math" w:hAnsi="Cambria Math" w:cs="Times New Roman"/>
                  <w:color w:val="000000" w:themeColor="text1"/>
                  <w:kern w:val="2"/>
                  <w:szCs w:val="24"/>
                  <w:highlight w:val="none"/>
                  <w14:textFill>
                    <w14:solidFill>
                      <w14:schemeClr w14:val="tx1"/>
                    </w14:solidFill>
                  </w14:textFill>
                </w:rPr>
              </m:ctrlPr>
            </m:num>
            <m:den>
              <m:sSub>
                <m:sSubPr>
                  <m:ctrlPr>
                    <w:rPr>
                      <w:rFonts w:hint="default" w:ascii="Cambria Math" w:hAnsi="Cambria Math" w:cs="Times New Roman"/>
                      <w:color w:val="000000" w:themeColor="text1"/>
                      <w:kern w:val="2"/>
                      <w:szCs w:val="24"/>
                      <w:highlight w:val="none"/>
                      <w14:textFill>
                        <w14:solidFill>
                          <w14:schemeClr w14:val="tx1"/>
                        </w14:solidFill>
                      </w14:textFill>
                    </w:rPr>
                  </m:ctrlPr>
                </m:sSubPr>
                <m:e>
                  <m:r>
                    <m:rPr>
                      <m:sty m:val="p"/>
                    </m:rPr>
                    <w:rPr>
                      <w:rFonts w:hint="default" w:ascii="Cambria Math" w:hAnsi="Cambria Math" w:cs="Times New Roman"/>
                      <w:color w:val="000000" w:themeColor="text1"/>
                      <w:szCs w:val="24"/>
                      <w:highlight w:val="none"/>
                      <w14:textFill>
                        <w14:solidFill>
                          <w14:schemeClr w14:val="tx1"/>
                        </w14:solidFill>
                      </w14:textFill>
                    </w:rPr>
                    <m:t>C</m:t>
                  </m:r>
                  <m:ctrlPr>
                    <w:rPr>
                      <w:rFonts w:hint="default" w:ascii="Cambria Math" w:hAnsi="Cambria Math" w:cs="Times New Roman"/>
                      <w:color w:val="000000" w:themeColor="text1"/>
                      <w:kern w:val="2"/>
                      <w:szCs w:val="24"/>
                      <w:highlight w:val="none"/>
                      <w14:textFill>
                        <w14:solidFill>
                          <w14:schemeClr w14:val="tx1"/>
                        </w14:solidFill>
                      </w14:textFill>
                    </w:rPr>
                  </m:ctrlPr>
                </m:e>
                <m:sub>
                  <m:r>
                    <m:rPr>
                      <m:sty m:val="p"/>
                    </m:rPr>
                    <w:rPr>
                      <w:rFonts w:hint="default" w:ascii="Cambria Math" w:hAnsi="Cambria Math" w:cs="Times New Roman"/>
                      <w:color w:val="000000" w:themeColor="text1"/>
                      <w:szCs w:val="24"/>
                      <w:highlight w:val="none"/>
                      <w14:textFill>
                        <w14:solidFill>
                          <w14:schemeClr w14:val="tx1"/>
                        </w14:solidFill>
                      </w14:textFill>
                    </w:rPr>
                    <m:t>oi</m:t>
                  </m:r>
                  <m:ctrlPr>
                    <w:rPr>
                      <w:rFonts w:hint="default" w:ascii="Cambria Math" w:hAnsi="Cambria Math" w:cs="Times New Roman"/>
                      <w:color w:val="000000" w:themeColor="text1"/>
                      <w:kern w:val="2"/>
                      <w:szCs w:val="24"/>
                      <w:highlight w:val="none"/>
                      <w14:textFill>
                        <w14:solidFill>
                          <w14:schemeClr w14:val="tx1"/>
                        </w14:solidFill>
                      </w14:textFill>
                    </w:rPr>
                  </m:ctrlPr>
                </m:sub>
              </m:sSub>
              <m:ctrlPr>
                <w:rPr>
                  <w:rFonts w:hint="default" w:ascii="Cambria Math" w:hAnsi="Cambria Math" w:cs="Times New Roman"/>
                  <w:i/>
                  <w:color w:val="000000" w:themeColor="text1"/>
                  <w:kern w:val="2"/>
                  <w:szCs w:val="24"/>
                  <w:highlight w:val="none"/>
                  <w14:textFill>
                    <w14:solidFill>
                      <w14:schemeClr w14:val="tx1"/>
                    </w14:solidFill>
                  </w14:textFill>
                </w:rPr>
              </m:ctrlPr>
            </m:den>
          </m:f>
          <m:r>
            <m:rPr>
              <m:sty m:val="p"/>
            </m:rPr>
            <w:rPr>
              <w:rFonts w:hint="default" w:ascii="Cambria Math" w:hAnsi="Cambria Math" w:cs="Times New Roman"/>
              <w:color w:val="000000" w:themeColor="text1"/>
              <w:szCs w:val="24"/>
              <w:highlight w:val="none"/>
              <w14:textFill>
                <w14:solidFill>
                  <w14:schemeClr w14:val="tx1"/>
                </w14:solidFill>
              </w14:textFill>
            </w:rPr>
            <m:t>×100%</m:t>
          </m:r>
        </m:oMath>
      </m:oMathPara>
    </w:p>
    <w:p>
      <w:pPr>
        <w:pStyle w:val="250"/>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Pi——为第i个污染物的最大监测浓度占标率，%；</w:t>
      </w:r>
    </w:p>
    <w:p>
      <w:pPr>
        <w:pStyle w:val="250"/>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Ci——为第i个污染因子的最大实测浓度（mg/m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w:t>
      </w:r>
    </w:p>
    <w:p>
      <w:pPr>
        <w:pStyle w:val="250"/>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Coi——为第i个污染物相对应的评价标准（mg/m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w:t>
      </w:r>
    </w:p>
    <w:p>
      <w:pPr>
        <w:pStyle w:val="250"/>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根据HJ2.2-2018，现状监测结果以列表的方式给出各监测点大气污染物的不同取值时间的变化范围，并给出各取值时间最大浓度值占相应标准浓度限值的百分比和超标率，并评价达标情况。</w:t>
      </w:r>
    </w:p>
    <w:p>
      <w:pPr>
        <w:pStyle w:val="21"/>
        <w:spacing w:before="0"/>
        <w:ind w:left="0" w:firstLine="480"/>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（7）监测结果及评价结论见</w:t>
      </w:r>
      <w:r>
        <w:rPr>
          <w:rFonts w:hint="default" w:ascii="Times New Roman" w:hAnsi="Times New Roman" w:cs="Times New Roman"/>
          <w:color w:val="000000" w:themeColor="text1"/>
          <w:highlight w:val="none"/>
          <w:lang w:eastAsia="zh-CN"/>
          <w14:textFill>
            <w14:solidFill>
              <w14:schemeClr w14:val="tx1"/>
            </w14:solidFill>
          </w14:textFill>
        </w:rPr>
        <w:fldChar w:fldCharType="begin"/>
      </w:r>
      <w:r>
        <w:rPr>
          <w:rFonts w:hint="default" w:ascii="Times New Roman" w:hAnsi="Times New Roman" w:cs="Times New Roman"/>
          <w:color w:val="000000" w:themeColor="text1"/>
          <w:highlight w:val="none"/>
          <w:lang w:eastAsia="zh-CN"/>
          <w14:textFill>
            <w14:solidFill>
              <w14:schemeClr w14:val="tx1"/>
            </w14:solidFill>
          </w14:textFill>
        </w:rPr>
        <w:instrText xml:space="preserve"> REF _Ref142907081 \h  \* MERGEFORMAT </w:instrText>
      </w:r>
      <w:r>
        <w:rPr>
          <w:rFonts w:hint="default" w:ascii="Times New Roman" w:hAnsi="Times New Roman" w:cs="Times New Roman"/>
          <w:color w:val="000000" w:themeColor="text1"/>
          <w:highlight w:val="none"/>
          <w:lang w:eastAsia="zh-CN"/>
          <w14:textFill>
            <w14:solidFill>
              <w14:schemeClr w14:val="tx1"/>
            </w14:solidFill>
          </w14:textFill>
        </w:rPr>
        <w:fldChar w:fldCharType="separate"/>
      </w:r>
      <w:r>
        <w:rPr>
          <w:rFonts w:hint="default" w:ascii="Times New Roman" w:hAnsi="Times New Roman" w:cs="Times New Roman"/>
          <w:color w:val="000000" w:themeColor="text1"/>
          <w:highlight w:val="none"/>
          <w:lang w:eastAsia="zh-CN"/>
          <w14:textFill>
            <w14:solidFill>
              <w14:schemeClr w14:val="tx1"/>
            </w14:solidFill>
          </w14:textFill>
        </w:rPr>
        <w:t>表4.2</w:t>
      </w:r>
      <w:r>
        <w:rPr>
          <w:rFonts w:hint="default" w:ascii="Times New Roman" w:hAnsi="Times New Roman" w:cs="Times New Roman"/>
          <w:color w:val="000000" w:themeColor="text1"/>
          <w:highlight w:val="none"/>
          <w:lang w:eastAsia="zh-CN"/>
          <w14:textFill>
            <w14:solidFill>
              <w14:schemeClr w14:val="tx1"/>
            </w14:solidFill>
          </w14:textFill>
        </w:rPr>
        <w:noBreakHyphen/>
      </w:r>
      <w:r>
        <w:rPr>
          <w:rFonts w:hint="default" w:ascii="Times New Roman" w:hAnsi="Times New Roman" w:cs="Times New Roman"/>
          <w:color w:val="000000" w:themeColor="text1"/>
          <w:highlight w:val="none"/>
          <w:lang w:eastAsia="zh-CN"/>
          <w14:textFill>
            <w14:solidFill>
              <w14:schemeClr w14:val="tx1"/>
            </w14:solidFill>
          </w14:textFill>
        </w:rPr>
        <w:t>2</w:t>
      </w:r>
      <w:r>
        <w:rPr>
          <w:rFonts w:hint="default" w:ascii="Times New Roman" w:hAnsi="Times New Roman" w:cs="Times New Roman"/>
          <w:color w:val="000000" w:themeColor="text1"/>
          <w:highlight w:val="none"/>
          <w:lang w:eastAsia="zh-CN"/>
          <w14:textFill>
            <w14:solidFill>
              <w14:schemeClr w14:val="tx1"/>
            </w14:solidFill>
          </w14:textFill>
        </w:rPr>
        <w:fldChar w:fldCharType="end"/>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fldChar w:fldCharType="begin"/>
      </w:r>
      <w:r>
        <w:rPr>
          <w:rFonts w:hint="default" w:ascii="Times New Roman" w:hAnsi="Times New Roman" w:cs="Times New Roman"/>
          <w:color w:val="000000" w:themeColor="text1"/>
          <w:highlight w:val="none"/>
          <w:lang w:eastAsia="zh-CN"/>
          <w14:textFill>
            <w14:solidFill>
              <w14:schemeClr w14:val="tx1"/>
            </w14:solidFill>
          </w14:textFill>
        </w:rPr>
        <w:instrText xml:space="preserve"> REF _Ref142907107 \h  \* MERGEFORMAT </w:instrText>
      </w:r>
      <w:r>
        <w:rPr>
          <w:rFonts w:hint="default" w:ascii="Times New Roman" w:hAnsi="Times New Roman" w:cs="Times New Roman"/>
          <w:color w:val="000000" w:themeColor="text1"/>
          <w:highlight w:val="none"/>
          <w:lang w:eastAsia="zh-CN"/>
          <w14:textFill>
            <w14:solidFill>
              <w14:schemeClr w14:val="tx1"/>
            </w14:solidFill>
          </w14:textFill>
        </w:rPr>
        <w:fldChar w:fldCharType="separate"/>
      </w:r>
      <w:r>
        <w:rPr>
          <w:rFonts w:hint="default" w:ascii="Times New Roman" w:hAnsi="Times New Roman" w:cs="Times New Roman"/>
          <w:color w:val="000000" w:themeColor="text1"/>
          <w:highlight w:val="none"/>
          <w:lang w:eastAsia="zh-CN"/>
          <w14:textFill>
            <w14:solidFill>
              <w14:schemeClr w14:val="tx1"/>
            </w14:solidFill>
          </w14:textFill>
        </w:rPr>
        <w:t>表4.2</w:t>
      </w:r>
      <w:r>
        <w:rPr>
          <w:rFonts w:hint="default" w:ascii="Times New Roman" w:hAnsi="Times New Roman" w:cs="Times New Roman"/>
          <w:color w:val="000000" w:themeColor="text1"/>
          <w:highlight w:val="none"/>
          <w:lang w:eastAsia="zh-CN"/>
          <w14:textFill>
            <w14:solidFill>
              <w14:schemeClr w14:val="tx1"/>
            </w14:solidFill>
          </w14:textFill>
        </w:rPr>
        <w:noBreakHyphen/>
      </w:r>
      <w:r>
        <w:rPr>
          <w:rFonts w:hint="default" w:ascii="Times New Roman" w:hAnsi="Times New Roman" w:cs="Times New Roman"/>
          <w:color w:val="000000" w:themeColor="text1"/>
          <w:highlight w:val="none"/>
          <w:lang w:eastAsia="zh-CN"/>
          <w14:textFill>
            <w14:solidFill>
              <w14:schemeClr w14:val="tx1"/>
            </w14:solidFill>
          </w14:textFill>
        </w:rPr>
        <w:fldChar w:fldCharType="end"/>
      </w:r>
      <w:r>
        <w:rPr>
          <w:rFonts w:hint="default" w:ascii="Times New Roman" w:hAnsi="Times New Roman" w:cs="Times New Roman"/>
          <w:color w:val="000000" w:themeColor="text1"/>
          <w:highlight w:val="none"/>
          <w:lang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12" w:name="_Ref142907081"/>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bookmarkEnd w:id="212"/>
      <w:r>
        <w:rPr>
          <w:rFonts w:hint="default" w:ascii="Times New Roman" w:hAnsi="Times New Roman" w:cs="Times New Roman"/>
          <w:color w:val="000000" w:themeColor="text1"/>
          <w:highlight w:val="none"/>
          <w14:textFill>
            <w14:solidFill>
              <w14:schemeClr w14:val="tx1"/>
            </w14:solidFill>
          </w14:textFill>
        </w:rPr>
        <w:t xml:space="preserve"> 环境空气质量现状监测结果    单位：mg/m</w:t>
      </w:r>
      <w:r>
        <w:rPr>
          <w:rFonts w:hint="default" w:ascii="Times New Roman" w:hAnsi="Times New Roman" w:cs="Times New Roman"/>
          <w:color w:val="000000" w:themeColor="text1"/>
          <w:highlight w:val="none"/>
          <w:vertAlign w:val="superscript"/>
          <w14:textFill>
            <w14:solidFill>
              <w14:schemeClr w14:val="tx1"/>
            </w14:solidFill>
          </w14:textFill>
        </w:rPr>
        <w:t>3</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1311"/>
        <w:gridCol w:w="1151"/>
        <w:gridCol w:w="1325"/>
        <w:gridCol w:w="1501"/>
        <w:gridCol w:w="1038"/>
        <w:gridCol w:w="1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680" w:type="pct"/>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监测点位</w:t>
            </w:r>
          </w:p>
        </w:tc>
        <w:tc>
          <w:tcPr>
            <w:tcW w:w="769" w:type="pct"/>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监测日期</w:t>
            </w:r>
          </w:p>
        </w:tc>
        <w:tc>
          <w:tcPr>
            <w:tcW w:w="675" w:type="pct"/>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项目</w:t>
            </w:r>
          </w:p>
        </w:tc>
        <w:tc>
          <w:tcPr>
            <w:tcW w:w="777" w:type="pct"/>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第一次</w:t>
            </w:r>
          </w:p>
        </w:tc>
        <w:tc>
          <w:tcPr>
            <w:tcW w:w="880" w:type="pct"/>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第二次</w:t>
            </w:r>
          </w:p>
        </w:tc>
        <w:tc>
          <w:tcPr>
            <w:tcW w:w="609" w:type="pct"/>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第三次</w:t>
            </w:r>
          </w:p>
        </w:tc>
        <w:tc>
          <w:tcPr>
            <w:tcW w:w="610" w:type="pct"/>
            <w:shd w:val="clear" w:color="auto" w:fill="auto"/>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第四次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80" w:type="pct"/>
            <w:vMerge w:val="restar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普光P106-2H侧井井场外西南侧居民点处</w:t>
            </w:r>
          </w:p>
        </w:tc>
        <w:tc>
          <w:tcPr>
            <w:tcW w:w="76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2023.10.23</w:t>
            </w:r>
          </w:p>
        </w:tc>
        <w:tc>
          <w:tcPr>
            <w:tcW w:w="675" w:type="pct"/>
            <w:vMerge w:val="restar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硫化氢</w:t>
            </w: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2023.10.24</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2023.10.25</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2023.10.26</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2023.10.27</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2023.10.28</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2023.10.29</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2023.10.30</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&lt;0.002</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restar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普光P106-2H侧井井场外西南侧居民点处</w:t>
            </w:r>
          </w:p>
        </w:tc>
        <w:tc>
          <w:tcPr>
            <w:tcW w:w="76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2023.10.23</w:t>
            </w:r>
          </w:p>
        </w:tc>
        <w:tc>
          <w:tcPr>
            <w:tcW w:w="675" w:type="pct"/>
            <w:vMerge w:val="restar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非甲烷总烃</w:t>
            </w: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1.28</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1.20</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1.06</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2023.10.24</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1.09</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1.21</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1.20</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2023.10.25</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1.17</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1.11</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1.19</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2023.10.26</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0.98</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1.25</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1.14</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2023.10.27</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1.03</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1.15</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1.18</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2023.10.28</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1.06</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1.09</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1.01</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2023.10.29</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77"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1.02</w:t>
            </w:r>
          </w:p>
        </w:tc>
        <w:tc>
          <w:tcPr>
            <w:tcW w:w="88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1.15</w:t>
            </w:r>
          </w:p>
        </w:tc>
        <w:tc>
          <w:tcPr>
            <w:tcW w:w="60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1.15</w:t>
            </w:r>
          </w:p>
        </w:tc>
        <w:tc>
          <w:tcPr>
            <w:tcW w:w="610"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restar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普光P106-2H侧井井场外西南侧居民点处</w:t>
            </w:r>
          </w:p>
        </w:tc>
        <w:tc>
          <w:tcPr>
            <w:tcW w:w="769" w:type="pc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2023.10.23</w:t>
            </w:r>
          </w:p>
        </w:tc>
        <w:tc>
          <w:tcPr>
            <w:tcW w:w="675" w:type="pct"/>
            <w:vMerge w:val="restart"/>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总悬浮颗粒物</w:t>
            </w:r>
          </w:p>
        </w:tc>
        <w:tc>
          <w:tcPr>
            <w:tcW w:w="2877" w:type="pct"/>
            <w:gridSpan w:val="4"/>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2023.10.24</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2877" w:type="pct"/>
            <w:gridSpan w:val="4"/>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2023.10.25</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2877" w:type="pct"/>
            <w:gridSpan w:val="4"/>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2023.10.26</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2877" w:type="pct"/>
            <w:gridSpan w:val="4"/>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2023.10.27</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2877" w:type="pct"/>
            <w:gridSpan w:val="4"/>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2023.10.28</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2877" w:type="pct"/>
            <w:gridSpan w:val="4"/>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680"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769" w:type="pct"/>
            <w:shd w:val="clear" w:color="auto" w:fill="auto"/>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2023.10.29</w:t>
            </w:r>
          </w:p>
        </w:tc>
        <w:tc>
          <w:tcPr>
            <w:tcW w:w="675" w:type="pct"/>
            <w:vMerge w:val="continue"/>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2877" w:type="pct"/>
            <w:gridSpan w:val="4"/>
            <w:shd w:val="clear" w:color="auto" w:fill="auto"/>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0.022</w:t>
            </w:r>
          </w:p>
        </w:tc>
      </w:tr>
    </w:tbl>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13" w:name="_Ref142907107"/>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bookmarkEnd w:id="213"/>
      <w:r>
        <w:rPr>
          <w:rFonts w:hint="default" w:ascii="Times New Roman" w:hAnsi="Times New Roman" w:cs="Times New Roman"/>
          <w:color w:val="000000" w:themeColor="text1"/>
          <w:highlight w:val="none"/>
          <w14:textFill>
            <w14:solidFill>
              <w14:schemeClr w14:val="tx1"/>
            </w14:solidFill>
          </w14:textFill>
        </w:rPr>
        <w:t>3 环境空气质量现状及评价</w:t>
      </w:r>
    </w:p>
    <w:tbl>
      <w:tblPr>
        <w:tblStyle w:val="52"/>
        <w:tblW w:w="82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7"/>
        <w:gridCol w:w="1276"/>
        <w:gridCol w:w="1276"/>
        <w:gridCol w:w="1275"/>
        <w:gridCol w:w="1524"/>
        <w:gridCol w:w="12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637" w:type="dxa"/>
            <w:vAlign w:val="center"/>
          </w:tcPr>
          <w:p>
            <w:pPr>
              <w:adjustRightInd/>
              <w:snapToGrid/>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污染物</w:t>
            </w:r>
          </w:p>
        </w:tc>
        <w:tc>
          <w:tcPr>
            <w:tcW w:w="1276" w:type="dxa"/>
            <w:vAlign w:val="center"/>
          </w:tcPr>
          <w:p>
            <w:pPr>
              <w:adjustRightInd/>
              <w:snapToGrid/>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标准值</w:t>
            </w:r>
          </w:p>
        </w:tc>
        <w:tc>
          <w:tcPr>
            <w:tcW w:w="1276" w:type="dxa"/>
            <w:vAlign w:val="center"/>
          </w:tcPr>
          <w:p>
            <w:pPr>
              <w:adjustRightInd/>
              <w:snapToGrid/>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监测值</w:t>
            </w:r>
          </w:p>
        </w:tc>
        <w:tc>
          <w:tcPr>
            <w:tcW w:w="1275" w:type="dxa"/>
            <w:vAlign w:val="center"/>
          </w:tcPr>
          <w:p>
            <w:pPr>
              <w:adjustRightInd/>
              <w:snapToGrid/>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超标率</w:t>
            </w:r>
            <w:r>
              <w:rPr>
                <w:rFonts w:hint="default" w:ascii="Times New Roman" w:hAnsi="Times New Roman" w:cs="Times New Roman"/>
                <w:b/>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
                <w:bCs/>
                <w:color w:val="000000" w:themeColor="text1"/>
                <w:sz w:val="21"/>
                <w:szCs w:val="21"/>
                <w:highlight w:val="none"/>
                <w14:textFill>
                  <w14:solidFill>
                    <w14:schemeClr w14:val="tx1"/>
                  </w14:solidFill>
                </w14:textFill>
              </w:rPr>
              <w:t>%</w:t>
            </w:r>
            <w:r>
              <w:rPr>
                <w:rFonts w:hint="default" w:ascii="Times New Roman" w:hAnsi="Times New Roman" w:cs="Times New Roman"/>
                <w:b/>
                <w:bCs/>
                <w:color w:val="000000" w:themeColor="text1"/>
                <w:sz w:val="21"/>
                <w:szCs w:val="21"/>
                <w:highlight w:val="none"/>
                <w:lang w:eastAsia="zh-CN"/>
                <w14:textFill>
                  <w14:solidFill>
                    <w14:schemeClr w14:val="tx1"/>
                  </w14:solidFill>
                </w14:textFill>
              </w:rPr>
              <w:t>）</w:t>
            </w:r>
          </w:p>
        </w:tc>
        <w:tc>
          <w:tcPr>
            <w:tcW w:w="1524" w:type="dxa"/>
            <w:vAlign w:val="center"/>
          </w:tcPr>
          <w:p>
            <w:pPr>
              <w:adjustRightInd/>
              <w:snapToGrid/>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最大超标倍数</w:t>
            </w:r>
          </w:p>
        </w:tc>
        <w:tc>
          <w:tcPr>
            <w:tcW w:w="1257" w:type="dxa"/>
            <w:vAlign w:val="center"/>
          </w:tcPr>
          <w:p>
            <w:pPr>
              <w:adjustRightInd/>
              <w:snapToGrid/>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最大占标率</w:t>
            </w:r>
            <w:r>
              <w:rPr>
                <w:rFonts w:hint="default" w:ascii="Times New Roman" w:hAnsi="Times New Roman" w:cs="Times New Roman"/>
                <w:b/>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
                <w:bCs/>
                <w:color w:val="000000" w:themeColor="text1"/>
                <w:sz w:val="21"/>
                <w:szCs w:val="21"/>
                <w:highlight w:val="none"/>
                <w14:textFill>
                  <w14:solidFill>
                    <w14:schemeClr w14:val="tx1"/>
                  </w14:solidFill>
                </w14:textFill>
              </w:rPr>
              <w:t>%</w:t>
            </w:r>
            <w:r>
              <w:rPr>
                <w:rFonts w:hint="default" w:ascii="Times New Roman" w:hAnsi="Times New Roman" w:cs="Times New Roman"/>
                <w:b/>
                <w:bCs/>
                <w:color w:val="000000" w:themeColor="text1"/>
                <w:sz w:val="21"/>
                <w:szCs w:val="21"/>
                <w:highlight w:val="none"/>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637"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S</w:t>
            </w:r>
          </w:p>
        </w:tc>
        <w:tc>
          <w:tcPr>
            <w:tcW w:w="1276"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0.01</w:t>
            </w:r>
          </w:p>
        </w:tc>
        <w:tc>
          <w:tcPr>
            <w:tcW w:w="1276"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&lt;0.002</w:t>
            </w:r>
          </w:p>
        </w:tc>
        <w:tc>
          <w:tcPr>
            <w:tcW w:w="1275"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1524"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257"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637"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非甲烷总烃</w:t>
            </w:r>
          </w:p>
        </w:tc>
        <w:tc>
          <w:tcPr>
            <w:tcW w:w="1276"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1276"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0.98~1.64</w:t>
            </w:r>
          </w:p>
        </w:tc>
        <w:tc>
          <w:tcPr>
            <w:tcW w:w="1275"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1524"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257"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637"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TSP</w:t>
            </w:r>
          </w:p>
        </w:tc>
        <w:tc>
          <w:tcPr>
            <w:tcW w:w="1276"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0.3</w:t>
            </w:r>
          </w:p>
        </w:tc>
        <w:tc>
          <w:tcPr>
            <w:tcW w:w="1276"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0.019~0.056</w:t>
            </w:r>
          </w:p>
        </w:tc>
        <w:tc>
          <w:tcPr>
            <w:tcW w:w="1275"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1524"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257" w:type="dxa"/>
            <w:vAlign w:val="center"/>
          </w:tcPr>
          <w:p>
            <w:pPr>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18.7</w:t>
            </w:r>
          </w:p>
        </w:tc>
      </w:tr>
    </w:tbl>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评价结论：</w:t>
      </w:r>
      <w:bookmarkStart w:id="214" w:name="_Hlk100174299"/>
      <w:r>
        <w:rPr>
          <w:rFonts w:hint="default" w:ascii="Times New Roman" w:hAnsi="Times New Roman" w:cs="Times New Roman"/>
          <w:color w:val="000000" w:themeColor="text1"/>
          <w:highlight w:val="none"/>
          <w14:textFill>
            <w14:solidFill>
              <w14:schemeClr w14:val="tx1"/>
            </w14:solidFill>
          </w14:textFill>
        </w:rPr>
        <w:t>本项目拟建地环境空气中特征污染物非甲烷总烃现状监测值均低于《大气污染物综合排放标准详解》浓度限值；硫化氢现状监测值均低于《环境影响评价技术导则大气环境》（HJ2.2-2018）中附录D标准限值；</w:t>
      </w:r>
      <w:r>
        <w:rPr>
          <w:rFonts w:hint="default" w:ascii="Times New Roman" w:hAnsi="Times New Roman" w:cs="Times New Roman"/>
          <w:color w:val="000000" w:themeColor="text1"/>
          <w:szCs w:val="21"/>
          <w:highlight w:val="none"/>
          <w14:textFill>
            <w14:solidFill>
              <w14:schemeClr w14:val="tx1"/>
            </w14:solidFill>
          </w14:textFill>
        </w:rPr>
        <w:t>TSP</w:t>
      </w:r>
      <w:r>
        <w:rPr>
          <w:rFonts w:hint="default" w:ascii="Times New Roman" w:hAnsi="Times New Roman" w:cs="Times New Roman"/>
          <w:color w:val="000000" w:themeColor="text1"/>
          <w:highlight w:val="none"/>
          <w14:textFill>
            <w14:solidFill>
              <w14:schemeClr w14:val="tx1"/>
            </w14:solidFill>
          </w14:textFill>
        </w:rPr>
        <w:t>现状监测值均低于</w:t>
      </w:r>
      <w:r>
        <w:rPr>
          <w:rFonts w:hint="default" w:ascii="Times New Roman" w:hAnsi="Times New Roman" w:cs="Times New Roman"/>
          <w:color w:val="000000" w:themeColor="text1"/>
          <w:szCs w:val="21"/>
          <w:highlight w:val="none"/>
          <w14:textFill>
            <w14:solidFill>
              <w14:schemeClr w14:val="tx1"/>
            </w14:solidFill>
          </w14:textFill>
        </w:rPr>
        <w:t>《环境空气质量标准》（GB3095-2012）二级标准要求</w:t>
      </w:r>
      <w:r>
        <w:rPr>
          <w:rFonts w:hint="default" w:ascii="Times New Roman" w:hAnsi="Times New Roman" w:cs="Times New Roman"/>
          <w:color w:val="000000" w:themeColor="text1"/>
          <w:highlight w:val="none"/>
          <w14:textFill>
            <w14:solidFill>
              <w14:schemeClr w14:val="tx1"/>
            </w14:solidFill>
          </w14:textFill>
        </w:rPr>
        <w:t>限值。表明区域环境空气质量现状良好。</w:t>
      </w:r>
      <w:bookmarkEnd w:id="214"/>
    </w:p>
    <w:bookmarkEnd w:id="209"/>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215" w:name="_Toc120173129"/>
      <w:r>
        <w:rPr>
          <w:rFonts w:hint="default" w:ascii="Times New Roman" w:hAnsi="Times New Roman" w:cs="Times New Roman"/>
          <w:color w:val="000000" w:themeColor="text1"/>
          <w:highlight w:val="none"/>
          <w:lang w:eastAsia="zh-CN"/>
          <w14:textFill>
            <w14:solidFill>
              <w14:schemeClr w14:val="tx1"/>
            </w14:solidFill>
          </w14:textFill>
        </w:rPr>
        <w:t>地表水环境质量现状</w:t>
      </w:r>
      <w:bookmarkEnd w:id="215"/>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本项目最近的河流为中河，最终汇入后河，后河属于渠江流域。达州市生态环境局于2023年9月20日公布了2023年8月达州市地表水水质月报，根据月报可知，2023年8月中河位于</w:t>
      </w:r>
      <w:r>
        <w:rPr>
          <w:rFonts w:hint="default" w:ascii="Times New Roman" w:hAnsi="Times New Roman" w:cs="Times New Roman"/>
          <w:color w:val="000000" w:themeColor="text1"/>
          <w:highlight w:val="none"/>
          <w:lang w:eastAsia="zh-CN"/>
          <w14:textFill>
            <w14:solidFill>
              <w14:schemeClr w14:val="tx1"/>
            </w14:solidFill>
          </w14:textFill>
        </w:rPr>
        <w:t>普光入河口监测断面的省控趋势科研断面地表水水质满足</w:t>
      </w:r>
      <w:r>
        <w:rPr>
          <w:rFonts w:hint="default" w:ascii="Times New Roman" w:hAnsi="Times New Roman" w:cs="Times New Roman"/>
          <w:bCs/>
          <w:color w:val="000000" w:themeColor="text1"/>
          <w:kern w:val="2"/>
          <w:highlight w:val="none"/>
          <w:lang w:eastAsia="zh-CN"/>
          <w14:textFill>
            <w14:solidFill>
              <w14:schemeClr w14:val="tx1"/>
            </w14:solidFill>
          </w14:textFill>
        </w:rPr>
        <w:t>《地表水环境质量标准》（GB3838-2002）中Ⅱ类水质标准限值要求；因此区域地表水满足《地表水环境质量标准》（GB3838-2002）中Ⅲ类水质标准限值要求。</w:t>
      </w:r>
    </w:p>
    <w:p>
      <w:pPr>
        <w:pStyle w:val="93"/>
        <w:keepNex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271770" cy="3314700"/>
            <wp:effectExtent l="0" t="0" r="1270" b="7620"/>
            <wp:docPr id="235026557" name="图片 23502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26557" name="图片 235026557"/>
                    <pic:cNvPicPr>
                      <a:picLocks noChangeAspect="1"/>
                    </pic:cNvPicPr>
                  </pic:nvPicPr>
                  <pic:blipFill>
                    <a:blip r:embed="rId46"/>
                    <a:stretch>
                      <a:fillRect/>
                    </a:stretch>
                  </pic:blipFill>
                  <pic:spPr>
                    <a:xfrm>
                      <a:off x="0" y="0"/>
                      <a:ext cx="5271770" cy="3314700"/>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地表水环境质量现状结果切图</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216" w:name="_Toc120173130"/>
      <w:r>
        <w:rPr>
          <w:rFonts w:hint="default" w:ascii="Times New Roman" w:hAnsi="Times New Roman" w:cs="Times New Roman"/>
          <w:color w:val="000000" w:themeColor="text1"/>
          <w:highlight w:val="none"/>
          <w:lang w:eastAsia="zh-CN"/>
          <w14:textFill>
            <w14:solidFill>
              <w14:schemeClr w14:val="tx1"/>
            </w14:solidFill>
          </w14:textFill>
        </w:rPr>
        <w:t>声环境质量现状监测与评价</w:t>
      </w:r>
      <w:bookmarkEnd w:id="216"/>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为了了解项目建设对声环境的影响，本次评价对区域声环境质量进行了现状监测。</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（1）监测方案</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监测布点：</w:t>
      </w:r>
      <w:r>
        <w:rPr>
          <w:rFonts w:hint="default" w:ascii="Times New Roman" w:hAnsi="Times New Roman" w:cs="Times New Roman"/>
          <w:bCs/>
          <w:color w:val="000000" w:themeColor="text1"/>
          <w:szCs w:val="21"/>
          <w:highlight w:val="none"/>
          <w:lang w:eastAsia="zh-CN"/>
          <w14:textFill>
            <w14:solidFill>
              <w14:schemeClr w14:val="tx1"/>
            </w14:solidFill>
          </w14:textFill>
        </w:rPr>
        <w:t>根据项目情况及环境特征，本次环评对</w:t>
      </w:r>
      <w:r>
        <w:rPr>
          <w:rFonts w:hint="default" w:ascii="Times New Roman" w:hAnsi="Times New Roman" w:cs="Times New Roman"/>
          <w:bCs/>
          <w:color w:val="000000" w:themeColor="text1"/>
          <w:highlight w:val="none"/>
          <w:lang w:eastAsia="zh-CN"/>
          <w14:textFill>
            <w14:solidFill>
              <w14:schemeClr w14:val="tx1"/>
            </w14:solidFill>
          </w14:textFill>
        </w:rPr>
        <w:t>普光106-2H侧探井工程所在集气站厂界及附近敏感点</w:t>
      </w:r>
      <w:r>
        <w:rPr>
          <w:rFonts w:hint="default" w:ascii="Times New Roman" w:hAnsi="Times New Roman" w:cs="Times New Roman"/>
          <w:bCs/>
          <w:color w:val="000000" w:themeColor="text1"/>
          <w:szCs w:val="21"/>
          <w:highlight w:val="none"/>
          <w:lang w:eastAsia="zh-CN"/>
          <w14:textFill>
            <w14:solidFill>
              <w14:schemeClr w14:val="tx1"/>
            </w14:solidFill>
          </w14:textFill>
        </w:rPr>
        <w:t>布设噪声监测点5个</w:t>
      </w:r>
      <w:r>
        <w:rPr>
          <w:rFonts w:hint="default" w:ascii="Times New Roman" w:hAnsi="Times New Roman" w:cs="Times New Roman"/>
          <w:bCs/>
          <w:color w:val="000000" w:themeColor="text1"/>
          <w:kern w:val="2"/>
          <w:highlight w:val="none"/>
          <w:lang w:eastAsia="zh-CN"/>
          <w14:textFill>
            <w14:solidFill>
              <w14:schemeClr w14:val="tx1"/>
            </w14:solidFill>
          </w14:textFill>
        </w:rPr>
        <w:t>。监测点布置具体见附图2，噪声监测布点统计见</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_Ref142599910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color w:val="000000" w:themeColor="text1"/>
          <w:highlight w:val="none"/>
          <w:lang w:eastAsia="zh-CN"/>
          <w14:textFill>
            <w14:solidFill>
              <w14:schemeClr w14:val="tx1"/>
            </w14:solidFill>
          </w14:textFill>
        </w:rPr>
        <w:t>表4.2</w:t>
      </w:r>
      <w:r>
        <w:rPr>
          <w:rFonts w:hint="default" w:ascii="Times New Roman" w:hAnsi="Times New Roman" w:cs="Times New Roman"/>
          <w:color w:val="000000" w:themeColor="text1"/>
          <w:highlight w:val="none"/>
          <w:lang w:eastAsia="zh-CN"/>
          <w14:textFill>
            <w14:solidFill>
              <w14:schemeClr w14:val="tx1"/>
            </w14:solidFill>
          </w14:textFill>
        </w:rPr>
        <w:noBreakHyphen/>
      </w:r>
      <w:r>
        <w:rPr>
          <w:rFonts w:hint="default" w:ascii="Times New Roman" w:hAnsi="Times New Roman" w:cs="Times New Roman"/>
          <w:color w:val="000000" w:themeColor="text1"/>
          <w:highlight w:val="none"/>
          <w:lang w:eastAsia="zh-CN"/>
          <w14:textFill>
            <w14:solidFill>
              <w14:schemeClr w14:val="tx1"/>
            </w14:solidFill>
          </w14:textFill>
        </w:rPr>
        <w:t>3</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17" w:name="_Ref142599910"/>
      <w:bookmarkStart w:id="218" w:name="_Ref142599905"/>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bookmarkEnd w:id="217"/>
      <w:r>
        <w:rPr>
          <w:rFonts w:hint="default" w:ascii="Times New Roman" w:hAnsi="Times New Roman" w:cs="Times New Roman"/>
          <w:color w:val="000000" w:themeColor="text1"/>
          <w:highlight w:val="none"/>
          <w14:textFill>
            <w14:solidFill>
              <w14:schemeClr w14:val="tx1"/>
            </w14:solidFill>
          </w14:textFill>
        </w:rPr>
        <w:t xml:space="preserve"> 项目噪声监测点位一览表</w:t>
      </w:r>
      <w:bookmarkEnd w:id="218"/>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9"/>
        <w:gridCol w:w="2313"/>
        <w:gridCol w:w="2699"/>
        <w:gridCol w:w="968"/>
        <w:gridCol w:w="1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60"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类别</w:t>
            </w:r>
          </w:p>
        </w:tc>
        <w:tc>
          <w:tcPr>
            <w:tcW w:w="1390"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监测点位</w:t>
            </w:r>
          </w:p>
        </w:tc>
        <w:tc>
          <w:tcPr>
            <w:tcW w:w="1622"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监测项目</w:t>
            </w:r>
          </w:p>
        </w:tc>
        <w:tc>
          <w:tcPr>
            <w:tcW w:w="582"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监测时间</w:t>
            </w:r>
          </w:p>
        </w:tc>
        <w:tc>
          <w:tcPr>
            <w:tcW w:w="1046"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0" w:type="pct"/>
            <w:vMerge w:val="restar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噪声</w:t>
            </w:r>
          </w:p>
        </w:tc>
        <w:tc>
          <w:tcPr>
            <w:tcW w:w="1390" w:type="pct"/>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普光P106集气站西侧1#</w:t>
            </w:r>
          </w:p>
        </w:tc>
        <w:tc>
          <w:tcPr>
            <w:tcW w:w="1622" w:type="pct"/>
            <w:vMerge w:val="restart"/>
            <w:vAlign w:val="center"/>
          </w:tcPr>
          <w:p>
            <w:pPr>
              <w:adjustRightIn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工业企业厂界环境噪声</w:t>
            </w:r>
          </w:p>
        </w:tc>
        <w:tc>
          <w:tcPr>
            <w:tcW w:w="582" w:type="pct"/>
            <w:vMerge w:val="restar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2023年</w:t>
            </w:r>
          </w:p>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10月27日</w:t>
            </w:r>
            <w:r>
              <w:rPr>
                <w:rFonts w:hint="default" w:ascii="Times New Roman" w:hAnsi="Times New Roman" w:cs="Times New Roman"/>
                <w:color w:val="000000" w:themeColor="text1"/>
                <w:kern w:val="21"/>
                <w:sz w:val="21"/>
                <w:szCs w:val="21"/>
                <w:highlight w:val="none"/>
                <w:lang w:eastAsia="zh-CN"/>
                <w14:textFill>
                  <w14:solidFill>
                    <w14:schemeClr w14:val="tx1"/>
                  </w14:solidFill>
                </w14:textFill>
              </w:rPr>
              <w:t>～</w:t>
            </w:r>
          </w:p>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2023年</w:t>
            </w:r>
          </w:p>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10月28日</w:t>
            </w:r>
          </w:p>
        </w:tc>
        <w:tc>
          <w:tcPr>
            <w:tcW w:w="1046" w:type="pct"/>
            <w:vMerge w:val="restar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监测2天，</w:t>
            </w:r>
          </w:p>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每天昼间监测1次，</w:t>
            </w:r>
          </w:p>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夜间监测1次。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0"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390" w:type="pct"/>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普光P106集气站北侧2#</w:t>
            </w:r>
          </w:p>
        </w:tc>
        <w:tc>
          <w:tcPr>
            <w:tcW w:w="1622"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82"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046"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0"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390" w:type="pct"/>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普光P106集气站东侧3#</w:t>
            </w:r>
          </w:p>
        </w:tc>
        <w:tc>
          <w:tcPr>
            <w:tcW w:w="1622"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82"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046"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0"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390" w:type="pct"/>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普光P106集气站南侧4#</w:t>
            </w:r>
          </w:p>
        </w:tc>
        <w:tc>
          <w:tcPr>
            <w:tcW w:w="1622"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82"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046"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0"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390" w:type="pct"/>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普光P106集气站西南侧居民点处5#</w:t>
            </w:r>
          </w:p>
        </w:tc>
        <w:tc>
          <w:tcPr>
            <w:tcW w:w="1622" w:type="pct"/>
            <w:vAlign w:val="center"/>
          </w:tcPr>
          <w:p>
            <w:pPr>
              <w:adjustRightInd/>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环境噪声</w:t>
            </w:r>
          </w:p>
        </w:tc>
        <w:tc>
          <w:tcPr>
            <w:tcW w:w="582"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046"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5"/>
            <w:vAlign w:val="center"/>
          </w:tcPr>
          <w:p>
            <w:pPr>
              <w:spacing w:line="240" w:lineRule="auto"/>
              <w:ind w:firstLine="0" w:firstLineChars="0"/>
              <w:jc w:val="left"/>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备注：监测点位示意图附后。</w:t>
            </w:r>
          </w:p>
        </w:tc>
      </w:tr>
    </w:tbl>
    <w:p>
      <w:pPr>
        <w:pStyle w:val="21"/>
        <w:keepNext w:val="0"/>
        <w:keepLines w:val="0"/>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p>
    <w:p>
      <w:pPr>
        <w:pStyle w:val="21"/>
        <w:keepNext w:val="0"/>
        <w:keepLines w:val="0"/>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监测因子：连续A声级。</w:t>
      </w:r>
    </w:p>
    <w:p>
      <w:pPr>
        <w:keepNext w:val="0"/>
        <w:keepLines w:val="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监测频率及时间：监测2天（</w:t>
      </w:r>
      <w:r>
        <w:rPr>
          <w:rFonts w:hint="default" w:ascii="Times New Roman" w:hAnsi="Times New Roman" w:cs="Times New Roman"/>
          <w:color w:val="000000" w:themeColor="text1"/>
          <w:highlight w:val="none"/>
          <w14:textFill>
            <w14:solidFill>
              <w14:schemeClr w14:val="tx1"/>
            </w14:solidFill>
          </w14:textFill>
        </w:rPr>
        <w:t>2023年10月27日</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10月28日</w:t>
      </w:r>
      <w:r>
        <w:rPr>
          <w:rFonts w:hint="default" w:ascii="Times New Roman" w:hAnsi="Times New Roman" w:cs="Times New Roman"/>
          <w:bCs/>
          <w:color w:val="000000" w:themeColor="text1"/>
          <w:highlight w:val="none"/>
          <w14:textFill>
            <w14:solidFill>
              <w14:schemeClr w14:val="tx1"/>
            </w14:solidFill>
          </w14:textFill>
        </w:rPr>
        <w:t>），昼、夜间各一次，监测方法按《声环境质量标准》（GB3096-2008）中规定测量方法进行</w:t>
      </w:r>
      <w:r>
        <w:rPr>
          <w:rFonts w:hint="default" w:ascii="Times New Roman" w:hAnsi="Times New Roman" w:cs="Times New Roman"/>
          <w:color w:val="000000" w:themeColor="text1"/>
          <w:highlight w:val="none"/>
          <w14:textFill>
            <w14:solidFill>
              <w14:schemeClr w14:val="tx1"/>
            </w14:solidFill>
          </w14:textFill>
        </w:rPr>
        <w:t>。</w:t>
      </w:r>
    </w:p>
    <w:p>
      <w:pPr>
        <w:pStyle w:val="21"/>
        <w:keepNext w:val="0"/>
        <w:keepLines w:val="0"/>
        <w:pageBreakBefore w:val="0"/>
        <w:kinsoku/>
        <w:wordWrap/>
        <w:overflowPunct/>
        <w:topLinePunct w:val="0"/>
        <w:autoSpaceDE/>
        <w:autoSpaceDN/>
        <w:bidi w:val="0"/>
        <w:adjustRightInd w:val="0"/>
        <w:snapToGrid w:val="0"/>
        <w:spacing w:before="0"/>
        <w:ind w:left="0" w:firstLine="482"/>
        <w:jc w:val="both"/>
        <w:textAlignment w:val="auto"/>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（2）监测及评价结果</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监测及评价结果见</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_Ref142599929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color w:val="000000" w:themeColor="text1"/>
          <w:highlight w:val="none"/>
          <w:lang w:eastAsia="zh-CN"/>
          <w14:textFill>
            <w14:solidFill>
              <w14:schemeClr w14:val="tx1"/>
            </w14:solidFill>
          </w14:textFill>
        </w:rPr>
        <w:t>表4.2</w:t>
      </w:r>
      <w:r>
        <w:rPr>
          <w:rFonts w:hint="default" w:ascii="Times New Roman" w:hAnsi="Times New Roman" w:cs="Times New Roman"/>
          <w:color w:val="000000" w:themeColor="text1"/>
          <w:highlight w:val="none"/>
          <w:lang w:eastAsia="zh-CN"/>
          <w14:textFill>
            <w14:solidFill>
              <w14:schemeClr w14:val="tx1"/>
            </w14:solidFill>
          </w14:textFill>
        </w:rPr>
        <w:noBreakHyphen/>
      </w:r>
      <w:r>
        <w:rPr>
          <w:rFonts w:hint="default" w:ascii="Times New Roman" w:hAnsi="Times New Roman" w:cs="Times New Roman"/>
          <w:color w:val="000000" w:themeColor="text1"/>
          <w:highlight w:val="none"/>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19" w:name="_Ref142599929"/>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bookmarkEnd w:id="219"/>
      <w:r>
        <w:rPr>
          <w:rFonts w:hint="default" w:ascii="Times New Roman" w:hAnsi="Times New Roman" w:cs="Times New Roman"/>
          <w:color w:val="000000" w:themeColor="text1"/>
          <w:highlight w:val="none"/>
          <w14:textFill>
            <w14:solidFill>
              <w14:schemeClr w14:val="tx1"/>
            </w14:solidFill>
          </w14:textFill>
        </w:rPr>
        <w:t xml:space="preserve"> 环境噪声监测结果（单位：dB（A））</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3"/>
        <w:gridCol w:w="3080"/>
        <w:gridCol w:w="1100"/>
        <w:gridCol w:w="1104"/>
        <w:gridCol w:w="1099"/>
        <w:gridCol w:w="1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tblHeader/>
          <w:jc w:val="center"/>
        </w:trPr>
        <w:tc>
          <w:tcPr>
            <w:tcW w:w="501" w:type="pct"/>
            <w:vMerge w:val="restar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监测项目</w:t>
            </w:r>
          </w:p>
        </w:tc>
        <w:tc>
          <w:tcPr>
            <w:tcW w:w="1850" w:type="pct"/>
            <w:vMerge w:val="restar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监测点位</w:t>
            </w:r>
          </w:p>
        </w:tc>
        <w:tc>
          <w:tcPr>
            <w:tcW w:w="2647" w:type="pct"/>
            <w:gridSpan w:val="4"/>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监测时间、时段及结果[单位：dB(A)]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tblHeader/>
          <w:jc w:val="center"/>
        </w:trPr>
        <w:tc>
          <w:tcPr>
            <w:tcW w:w="501" w:type="pct"/>
            <w:vMerge w:val="continue"/>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p>
        </w:tc>
        <w:tc>
          <w:tcPr>
            <w:tcW w:w="1850" w:type="pct"/>
            <w:vMerge w:val="continue"/>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p>
        </w:tc>
        <w:tc>
          <w:tcPr>
            <w:tcW w:w="1324" w:type="pct"/>
            <w:gridSpan w:val="2"/>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2023年10月27日</w:t>
            </w:r>
          </w:p>
        </w:tc>
        <w:tc>
          <w:tcPr>
            <w:tcW w:w="1323" w:type="pct"/>
            <w:gridSpan w:val="2"/>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2023年10月28日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tblHeader/>
          <w:jc w:val="center"/>
        </w:trPr>
        <w:tc>
          <w:tcPr>
            <w:tcW w:w="501" w:type="pct"/>
            <w:vMerge w:val="continue"/>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p>
        </w:tc>
        <w:tc>
          <w:tcPr>
            <w:tcW w:w="1850" w:type="pct"/>
            <w:vMerge w:val="continue"/>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p>
        </w:tc>
        <w:tc>
          <w:tcPr>
            <w:tcW w:w="661"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昼间</w:t>
            </w:r>
          </w:p>
        </w:tc>
        <w:tc>
          <w:tcPr>
            <w:tcW w:w="662"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夜间</w:t>
            </w:r>
          </w:p>
        </w:tc>
        <w:tc>
          <w:tcPr>
            <w:tcW w:w="660"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昼间</w:t>
            </w:r>
          </w:p>
        </w:tc>
        <w:tc>
          <w:tcPr>
            <w:tcW w:w="662"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501" w:type="pct"/>
            <w:vMerge w:val="restar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工业企业厂界环境噪声</w:t>
            </w:r>
          </w:p>
        </w:tc>
        <w:tc>
          <w:tcPr>
            <w:tcW w:w="185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普光P106集气站西侧1#</w:t>
            </w:r>
          </w:p>
        </w:tc>
        <w:tc>
          <w:tcPr>
            <w:tcW w:w="661"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51</w:t>
            </w:r>
          </w:p>
        </w:tc>
        <w:tc>
          <w:tcPr>
            <w:tcW w:w="662"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47</w:t>
            </w:r>
          </w:p>
        </w:tc>
        <w:tc>
          <w:tcPr>
            <w:tcW w:w="660"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51</w:t>
            </w:r>
          </w:p>
        </w:tc>
        <w:tc>
          <w:tcPr>
            <w:tcW w:w="662"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501"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85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普光P106集气站北侧2#</w:t>
            </w:r>
          </w:p>
        </w:tc>
        <w:tc>
          <w:tcPr>
            <w:tcW w:w="661"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52</w:t>
            </w:r>
          </w:p>
        </w:tc>
        <w:tc>
          <w:tcPr>
            <w:tcW w:w="662"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48</w:t>
            </w:r>
          </w:p>
        </w:tc>
        <w:tc>
          <w:tcPr>
            <w:tcW w:w="660"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50</w:t>
            </w:r>
          </w:p>
        </w:tc>
        <w:tc>
          <w:tcPr>
            <w:tcW w:w="662"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501"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85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普光P106集气站东侧3#</w:t>
            </w:r>
          </w:p>
        </w:tc>
        <w:tc>
          <w:tcPr>
            <w:tcW w:w="661"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51</w:t>
            </w:r>
          </w:p>
        </w:tc>
        <w:tc>
          <w:tcPr>
            <w:tcW w:w="662"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47</w:t>
            </w:r>
          </w:p>
        </w:tc>
        <w:tc>
          <w:tcPr>
            <w:tcW w:w="660"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52</w:t>
            </w:r>
          </w:p>
        </w:tc>
        <w:tc>
          <w:tcPr>
            <w:tcW w:w="662"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501"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185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普光P106集气站南侧4#</w:t>
            </w:r>
          </w:p>
        </w:tc>
        <w:tc>
          <w:tcPr>
            <w:tcW w:w="661"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50</w:t>
            </w:r>
          </w:p>
        </w:tc>
        <w:tc>
          <w:tcPr>
            <w:tcW w:w="662"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46</w:t>
            </w:r>
          </w:p>
        </w:tc>
        <w:tc>
          <w:tcPr>
            <w:tcW w:w="660"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52</w:t>
            </w:r>
          </w:p>
        </w:tc>
        <w:tc>
          <w:tcPr>
            <w:tcW w:w="662" w:type="pc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939" w:type="dxa"/>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环境噪声</w:t>
            </w:r>
          </w:p>
        </w:tc>
        <w:tc>
          <w:tcPr>
            <w:tcW w:w="3462"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普光P106集气站西南侧居民点处5#</w:t>
            </w:r>
          </w:p>
        </w:tc>
        <w:tc>
          <w:tcPr>
            <w:tcW w:w="1238" w:type="dxa"/>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51</w:t>
            </w:r>
          </w:p>
        </w:tc>
        <w:tc>
          <w:tcPr>
            <w:tcW w:w="1240" w:type="dxa"/>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47</w:t>
            </w:r>
          </w:p>
        </w:tc>
        <w:tc>
          <w:tcPr>
            <w:tcW w:w="1236" w:type="dxa"/>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51</w:t>
            </w:r>
          </w:p>
        </w:tc>
        <w:tc>
          <w:tcPr>
            <w:tcW w:w="1240" w:type="dxa"/>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47</w:t>
            </w:r>
          </w:p>
        </w:tc>
      </w:tr>
    </w:tbl>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由</w:t>
      </w:r>
      <w:r>
        <w:rPr>
          <w:rFonts w:hint="default" w:ascii="Times New Roman" w:hAnsi="Times New Roman" w:cs="Times New Roman"/>
          <w:bCs/>
          <w:color w:val="000000" w:themeColor="text1"/>
          <w:highlight w:val="none"/>
          <w14:textFill>
            <w14:solidFill>
              <w14:schemeClr w14:val="tx1"/>
            </w14:solidFill>
          </w14:textFill>
        </w:rPr>
        <w:fldChar w:fldCharType="begin"/>
      </w:r>
      <w:r>
        <w:rPr>
          <w:rFonts w:hint="default" w:ascii="Times New Roman" w:hAnsi="Times New Roman" w:cs="Times New Roman"/>
          <w:bCs/>
          <w:color w:val="000000" w:themeColor="text1"/>
          <w:highlight w:val="none"/>
          <w14:textFill>
            <w14:solidFill>
              <w14:schemeClr w14:val="tx1"/>
            </w14:solidFill>
          </w14:textFill>
        </w:rPr>
        <w:instrText xml:space="preserve"> REF _Ref142599929 \h  \* MERGEFORMAT </w:instrText>
      </w:r>
      <w:r>
        <w:rPr>
          <w:rFonts w:hint="default" w:ascii="Times New Roman" w:hAnsi="Times New Roman" w:cs="Times New Roman"/>
          <w:bCs/>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bCs/>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可知，拟建项目及周边各监测点昼间夜间噪声监测值满足《声环境质量标准》（GB3096-2008）2类功能区标准，项目拟建地声环境质量良好。</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220" w:name="_Toc120173131"/>
      <w:r>
        <w:rPr>
          <w:rFonts w:hint="default" w:ascii="Times New Roman" w:hAnsi="Times New Roman" w:cs="Times New Roman"/>
          <w:color w:val="000000" w:themeColor="text1"/>
          <w:highlight w:val="none"/>
          <w:lang w:eastAsia="zh-CN"/>
          <w14:textFill>
            <w14:solidFill>
              <w14:schemeClr w14:val="tx1"/>
            </w14:solidFill>
          </w14:textFill>
        </w:rPr>
        <w:t>地下水质量现状</w:t>
      </w:r>
      <w:bookmarkEnd w:id="220"/>
    </w:p>
    <w:p>
      <w:pPr>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（1）监测布点</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本项目为《环境影响评价技术导则 地下水环境》（HJ610-2016）中</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 2 \* ROMAN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bCs/>
          <w:color w:val="000000" w:themeColor="text1"/>
          <w:szCs w:val="24"/>
          <w:highlight w:val="none"/>
          <w14:textFill>
            <w14:solidFill>
              <w14:schemeClr w14:val="tx1"/>
            </w14:solidFill>
          </w14:textFill>
        </w:rPr>
        <w:t>II</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类建设项目，根据外环境调查，井场附近</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有部分</w:t>
      </w:r>
      <w:r>
        <w:rPr>
          <w:rFonts w:hint="default" w:ascii="Times New Roman" w:hAnsi="Times New Roman" w:cs="Times New Roman"/>
          <w:bCs/>
          <w:color w:val="000000" w:themeColor="text1"/>
          <w:szCs w:val="24"/>
          <w:highlight w:val="none"/>
          <w14:textFill>
            <w14:solidFill>
              <w14:schemeClr w14:val="tx1"/>
            </w14:solidFill>
          </w14:textFill>
        </w:rPr>
        <w:t>居民使用泉水作为饮用水源。根据本项目的所在位置的特点、地下水环评导则要求以及地下水污染扩散特点等，共布设6个地下水水质现状监测点，具体监测点位分布见附图</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和</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_Ref142599951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21" w:name="_Ref142599951"/>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fldChar w:fldCharType="end"/>
      </w:r>
      <w:bookmarkEnd w:id="221"/>
      <w:r>
        <w:rPr>
          <w:rFonts w:hint="default" w:ascii="Times New Roman" w:hAnsi="Times New Roman" w:cs="Times New Roman"/>
          <w:color w:val="000000" w:themeColor="text1"/>
          <w:highlight w:val="none"/>
          <w14:textFill>
            <w14:solidFill>
              <w14:schemeClr w14:val="tx1"/>
            </w14:solidFill>
          </w14:textFill>
        </w:rPr>
        <w:t xml:space="preserve"> 项目井场地下水监测点位统计表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2120"/>
        <w:gridCol w:w="2469"/>
        <w:gridCol w:w="2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51" w:type="pct"/>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编号</w:t>
            </w:r>
          </w:p>
        </w:tc>
        <w:tc>
          <w:tcPr>
            <w:tcW w:w="1243" w:type="pct"/>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地下水点位信息</w:t>
            </w:r>
          </w:p>
        </w:tc>
        <w:tc>
          <w:tcPr>
            <w:tcW w:w="1448" w:type="pct"/>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对应本项目位置</w:t>
            </w:r>
          </w:p>
        </w:tc>
        <w:tc>
          <w:tcPr>
            <w:tcW w:w="1758" w:type="pct"/>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1"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43" w:type="pct"/>
            <w:vAlign w:val="center"/>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普光P106-2H侧井西南侧303m处泉井</w:t>
            </w:r>
          </w:p>
        </w:tc>
        <w:tc>
          <w:tcPr>
            <w:tcW w:w="1448" w:type="pct"/>
            <w:vAlign w:val="center"/>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西南侧303m</w:t>
            </w:r>
          </w:p>
        </w:tc>
        <w:tc>
          <w:tcPr>
            <w:tcW w:w="1758"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泉水，上游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1"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w:t>
            </w:r>
          </w:p>
        </w:tc>
        <w:tc>
          <w:tcPr>
            <w:tcW w:w="1243" w:type="pct"/>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普光P106-2H侧井西南侧431m处泉井</w:t>
            </w:r>
          </w:p>
        </w:tc>
        <w:tc>
          <w:tcPr>
            <w:tcW w:w="1448" w:type="pct"/>
            <w:vAlign w:val="center"/>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西南侧431m</w:t>
            </w:r>
          </w:p>
        </w:tc>
        <w:tc>
          <w:tcPr>
            <w:tcW w:w="1758"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泉水，侧游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1"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w:t>
            </w:r>
          </w:p>
        </w:tc>
        <w:tc>
          <w:tcPr>
            <w:tcW w:w="1243" w:type="pct"/>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普光P106-2H侧井南侧502m处泉井</w:t>
            </w:r>
          </w:p>
        </w:tc>
        <w:tc>
          <w:tcPr>
            <w:tcW w:w="1448" w:type="pct"/>
            <w:vAlign w:val="center"/>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南侧502m</w:t>
            </w:r>
          </w:p>
        </w:tc>
        <w:tc>
          <w:tcPr>
            <w:tcW w:w="1758"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泉水，侧游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1"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w:t>
            </w:r>
          </w:p>
        </w:tc>
        <w:tc>
          <w:tcPr>
            <w:tcW w:w="1243" w:type="pct"/>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普光P106-2H侧井东南侧420m处泉井</w:t>
            </w:r>
          </w:p>
        </w:tc>
        <w:tc>
          <w:tcPr>
            <w:tcW w:w="1448" w:type="pct"/>
            <w:vAlign w:val="center"/>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东南侧420m</w:t>
            </w:r>
          </w:p>
        </w:tc>
        <w:tc>
          <w:tcPr>
            <w:tcW w:w="1758"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泉水，下游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1"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w:t>
            </w:r>
          </w:p>
        </w:tc>
        <w:tc>
          <w:tcPr>
            <w:tcW w:w="1243" w:type="pct"/>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普光P106-2H侧井东北侧792m处泉井</w:t>
            </w:r>
          </w:p>
        </w:tc>
        <w:tc>
          <w:tcPr>
            <w:tcW w:w="1448" w:type="pct"/>
            <w:vAlign w:val="center"/>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东北侧792m</w:t>
            </w:r>
          </w:p>
        </w:tc>
        <w:tc>
          <w:tcPr>
            <w:tcW w:w="1758"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泉水，下游</w:t>
            </w:r>
          </w:p>
        </w:tc>
      </w:tr>
    </w:tbl>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所引用设置的5个地下水水质监测点中，2个监测点（2#、3#）位于项目所在地地下水流向侧游，1个监测点（1#）位于地下水流向上游，2个监测点（4#、5#）位于地下水流向下游，该布点符合《环境影响评价导则</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地下水环境》（HJ 610-2016）中相关布点原则要求。</w:t>
      </w: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（2）地下水现状监测因子及监测频率</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背景离子（K</w:t>
      </w:r>
      <w:r>
        <w:rPr>
          <w:rFonts w:hint="default" w:ascii="Times New Roman" w:hAnsi="Times New Roman" w:cs="Times New Roman"/>
          <w:bCs/>
          <w:color w:val="000000" w:themeColor="text1"/>
          <w:szCs w:val="24"/>
          <w:highlight w:val="none"/>
          <w:vertAlign w:val="superscript"/>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、Na</w:t>
      </w:r>
      <w:r>
        <w:rPr>
          <w:rFonts w:hint="default" w:ascii="Times New Roman" w:hAnsi="Times New Roman" w:cs="Times New Roman"/>
          <w:bCs/>
          <w:color w:val="000000" w:themeColor="text1"/>
          <w:szCs w:val="24"/>
          <w:highlight w:val="none"/>
          <w:vertAlign w:val="superscript"/>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、Ca</w:t>
      </w:r>
      <w:r>
        <w:rPr>
          <w:rFonts w:hint="default" w:ascii="Times New Roman" w:hAnsi="Times New Roman" w:cs="Times New Roman"/>
          <w:bCs/>
          <w:color w:val="000000" w:themeColor="text1"/>
          <w:szCs w:val="24"/>
          <w:highlight w:val="none"/>
          <w:vertAlign w:val="super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、Mg</w:t>
      </w:r>
      <w:r>
        <w:rPr>
          <w:rFonts w:hint="default" w:ascii="Times New Roman" w:hAnsi="Times New Roman" w:cs="Times New Roman"/>
          <w:bCs/>
          <w:color w:val="000000" w:themeColor="text1"/>
          <w:szCs w:val="24"/>
          <w:highlight w:val="none"/>
          <w:vertAlign w:val="super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、CO</w:t>
      </w:r>
      <w:r>
        <w:rPr>
          <w:rFonts w:hint="default" w:ascii="Times New Roman" w:hAnsi="Times New Roman" w:cs="Times New Roman"/>
          <w:bCs/>
          <w:color w:val="000000" w:themeColor="text1"/>
          <w:szCs w:val="24"/>
          <w:highlight w:val="none"/>
          <w:vertAlign w:val="subscript"/>
          <w14:textFill>
            <w14:solidFill>
              <w14:schemeClr w14:val="tx1"/>
            </w14:solidFill>
          </w14:textFill>
        </w:rPr>
        <w:t>3</w:t>
      </w:r>
      <w:r>
        <w:rPr>
          <w:rFonts w:hint="default" w:ascii="Times New Roman" w:hAnsi="Times New Roman" w:cs="Times New Roman"/>
          <w:bCs/>
          <w:color w:val="000000" w:themeColor="text1"/>
          <w:szCs w:val="24"/>
          <w:highlight w:val="none"/>
          <w:vertAlign w:val="super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、HCO</w:t>
      </w:r>
      <w:r>
        <w:rPr>
          <w:rFonts w:hint="default" w:ascii="Times New Roman" w:hAnsi="Times New Roman" w:cs="Times New Roman"/>
          <w:bCs/>
          <w:color w:val="000000" w:themeColor="text1"/>
          <w:szCs w:val="24"/>
          <w:highlight w:val="none"/>
          <w:vertAlign w:val="subscript"/>
          <w14:textFill>
            <w14:solidFill>
              <w14:schemeClr w14:val="tx1"/>
            </w14:solidFill>
          </w14:textFill>
        </w:rPr>
        <w:t>3</w:t>
      </w:r>
      <w:r>
        <w:rPr>
          <w:rFonts w:hint="default" w:ascii="Times New Roman" w:hAnsi="Times New Roman" w:cs="Times New Roman"/>
          <w:bCs/>
          <w:color w:val="000000" w:themeColor="text1"/>
          <w:szCs w:val="24"/>
          <w:highlight w:val="none"/>
          <w:vertAlign w:val="superscript"/>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、Cl</w:t>
      </w:r>
      <w:r>
        <w:rPr>
          <w:rFonts w:hint="default" w:ascii="Times New Roman" w:hAnsi="Times New Roman" w:cs="Times New Roman"/>
          <w:bCs/>
          <w:color w:val="000000" w:themeColor="text1"/>
          <w:szCs w:val="24"/>
          <w:highlight w:val="none"/>
          <w:vertAlign w:val="superscript"/>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、SO</w:t>
      </w:r>
      <w:r>
        <w:rPr>
          <w:rFonts w:hint="default" w:ascii="Times New Roman" w:hAnsi="Times New Roman" w:cs="Times New Roman"/>
          <w:bCs/>
          <w:color w:val="000000" w:themeColor="text1"/>
          <w:szCs w:val="24"/>
          <w:highlight w:val="none"/>
          <w:vertAlign w:val="subscript"/>
          <w14:textFill>
            <w14:solidFill>
              <w14:schemeClr w14:val="tx1"/>
            </w14:solidFill>
          </w14:textFill>
        </w:rPr>
        <w:t>4</w:t>
      </w:r>
      <w:r>
        <w:rPr>
          <w:rFonts w:hint="default" w:ascii="Times New Roman" w:hAnsi="Times New Roman" w:cs="Times New Roman"/>
          <w:bCs/>
          <w:color w:val="000000" w:themeColor="text1"/>
          <w:szCs w:val="24"/>
          <w:highlight w:val="none"/>
          <w:vertAlign w:val="super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基本水质因子（pH、氨氮、硝酸盐、亚硝酸盐、挥发性酚类、氰化物、砷、汞、铬（六价）、总硬度、铅、氟、镉、铁、锰、溶解性总固体、耗氧量、硫酸盐、氯化物、总大肠菌群、细菌总数），项目特征因子（石油类、</w:t>
      </w:r>
      <w:r>
        <w:rPr>
          <w:rFonts w:hint="default" w:ascii="Times New Roman" w:hAnsi="Times New Roman" w:cs="Times New Roman"/>
          <w:color w:val="000000" w:themeColor="text1"/>
          <w:highlight w:val="none"/>
          <w14:textFill>
            <w14:solidFill>
              <w14:schemeClr w14:val="tx1"/>
            </w14:solidFill>
          </w14:textFill>
        </w:rPr>
        <w:t>CODcr、硫化物、钡</w:t>
      </w:r>
      <w:r>
        <w:rPr>
          <w:rFonts w:hint="default" w:ascii="Times New Roman" w:hAnsi="Times New Roman" w:cs="Times New Roman"/>
          <w:bCs/>
          <w:color w:val="000000" w:themeColor="text1"/>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所有指标监测1天，每天一次。</w:t>
      </w: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（3）评价方法</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①按照《地下水质量标准》（GB/T14848-2017）评价方法对基本水质因子和特殊水质因子进行评价。</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②用舒卡列夫分类法对本项目所在区域地下水化学类型进行分类。</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地下水化学类型的舒卡列夫分类是根据地下水中6种主要离子（钠、钙、镁、重碳酸根、硫酸根、氯离子、钾合并于钠）及矿化度划分的，具体步骤如下：</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a</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根据水质分析结果，将6种主要离子中含量大于25%毫克当量的阴离子和阳离子进行组合；</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 xml:space="preserve"> b</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按矿化度（M）的大小分为4组，A组——M≤1.5g/L；B组——1.5＜M≤10g/L；C组——10＜M≤40g/L；D组——M＞40g/L；</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c</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矿化度为阴阳离子总和减去重碳酸离子含量的二分之一；</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d</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将地下水化学类型用阿拉伯数字（1-49）与字母（A、B、C、D）组合在一起表达的表达式表示。</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（4）评价结果及分析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1）基本水质因子和特殊水质因子进行评价地下水现状评价，评价结果</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见下表</w:t>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区域地下水质量现状监测结果 单位：mg/L</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1017"/>
        <w:gridCol w:w="928"/>
        <w:gridCol w:w="1036"/>
        <w:gridCol w:w="1036"/>
        <w:gridCol w:w="1036"/>
        <w:gridCol w:w="949"/>
        <w:gridCol w:w="915"/>
        <w:gridCol w:w="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3" w:type="pct"/>
            <w:gridSpan w:val="6"/>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监测结果</w:t>
            </w:r>
          </w:p>
        </w:tc>
        <w:tc>
          <w:tcPr>
            <w:tcW w:w="561" w:type="pct"/>
            <w:vMerge w:val="restar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标准值</w:t>
            </w:r>
          </w:p>
        </w:tc>
        <w:tc>
          <w:tcPr>
            <w:tcW w:w="956" w:type="pct"/>
            <w:gridSpan w:val="2"/>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单项指数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监测时间</w:t>
            </w:r>
          </w:p>
        </w:tc>
        <w:tc>
          <w:tcPr>
            <w:tcW w:w="2945" w:type="pct"/>
            <w:gridSpan w:val="5"/>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2023.6.18</w:t>
            </w:r>
          </w:p>
        </w:tc>
        <w:tc>
          <w:tcPr>
            <w:tcW w:w="561" w:type="pct"/>
            <w:vMerge w:val="continue"/>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541" w:type="pct"/>
            <w:vMerge w:val="restar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监测最大值</w:t>
            </w:r>
          </w:p>
        </w:tc>
        <w:tc>
          <w:tcPr>
            <w:tcW w:w="415" w:type="pct"/>
            <w:vMerge w:val="restar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单因子指数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监测因子</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w:t>
            </w:r>
          </w:p>
        </w:tc>
        <w:tc>
          <w:tcPr>
            <w:tcW w:w="561" w:type="pct"/>
            <w:vMerge w:val="continue"/>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541" w:type="pct"/>
            <w:vMerge w:val="continue"/>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415" w:type="pct"/>
            <w:vMerge w:val="continue"/>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pH</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7.6</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7.5</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7.6</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7.4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7.3</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6.5~8.5</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7.6</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总硬度</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274</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275</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282</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279</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89</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≤450</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282</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溶解性总固体</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514</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513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492</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508</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225</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≤1000</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514</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耗氧量</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0.9</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0.9</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2.2</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≤3.0</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2.2</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0.73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氨氮</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0.032</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0.030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&lt;0.025</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&lt;0.025</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0.039</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≤0.5</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0.039</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硝酸盐氮</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3.70</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3.70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3.77</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3.84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0.206</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≤20</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3.84</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0.19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亚硝酸盐氮</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&lt;0.003</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&lt;0.003</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0.004</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氟化物</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0.109</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0.091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0.079</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0.087</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0.132</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0.132</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硫酸盐</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29.3</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33.6</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29.6</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29.6</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10.4</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≤250</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33.6</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氯化物</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18.5</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20.9</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18.7</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19.4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0.807</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≤250</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20.9</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挥发性酚类</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0.0004</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0.0006</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0.0007</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≤0.002</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0.0007</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氰化物</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&lt;0.004</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&lt;0.004</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≤0.05</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砷</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&lt;0.0003</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0.0003</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≤0.01</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0.0003</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汞</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0.00005</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0.00006</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0.00004</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≤0.001</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0.00006</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0.06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铬</w:t>
            </w:r>
            <w:r>
              <w:rPr>
                <w:rFonts w:hint="default" w:ascii="Times New Roman" w:hAnsi="Times New Roman" w:cs="Times New Roman"/>
                <w:color w:val="000000" w:themeColor="text1"/>
                <w:kern w:val="2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kern w:val="21"/>
                <w:sz w:val="21"/>
                <w:szCs w:val="21"/>
                <w:highlight w:val="none"/>
                <w14:textFill>
                  <w14:solidFill>
                    <w14:schemeClr w14:val="tx1"/>
                  </w14:solidFill>
                </w14:textFill>
              </w:rPr>
              <w:t>六价</w:t>
            </w:r>
            <w:r>
              <w:rPr>
                <w:rFonts w:hint="default" w:ascii="Times New Roman" w:hAnsi="Times New Roman" w:cs="Times New Roman"/>
                <w:color w:val="000000" w:themeColor="text1"/>
                <w:kern w:val="21"/>
                <w:sz w:val="21"/>
                <w:szCs w:val="21"/>
                <w:highlight w:val="none"/>
                <w:lang w:eastAsia="zh-CN"/>
                <w14:textFill>
                  <w14:solidFill>
                    <w14:schemeClr w14:val="tx1"/>
                  </w14:solidFill>
                </w14:textFill>
              </w:rPr>
              <w:t>）</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&lt;0.004</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&lt;0.004</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≤0.05</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铁</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&lt;0.03</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0.10</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≤0.3</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0.1</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0.33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锰</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&lt;0.01</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&lt;0.01</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≤0.1</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铅</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&lt;0.001</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&lt;0.001</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≤0.01</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镉</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&lt;0.00010</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0.00014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&lt;0.00010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&lt;0.00010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&lt;0.00010</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≤0.005</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0.00014</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石油类</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&lt;0.01</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&lt;0.01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&lt;0.01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&lt;0.01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0.03</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≤0.05*</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0.03</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总大肠菌群</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2.0</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&lt;1.0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&lt;1.0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&lt;3个/L</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2</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0.67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细菌总数</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83</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80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75</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72</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94</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≤100个/L</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94</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 xml:space="preserve">0.94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硫化物</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&lt;0.003</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&lt;0.003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&lt;0.003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&lt;0.003</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&lt;0.003</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≤0.02</w:t>
            </w:r>
          </w:p>
        </w:tc>
        <w:tc>
          <w:tcPr>
            <w:tcW w:w="54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w:t>
            </w:r>
          </w:p>
        </w:tc>
        <w:tc>
          <w:tcPr>
            <w:tcW w:w="415"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钾</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1.81</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1.87</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1.77</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1.78</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1.05</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541"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415"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钠</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14.9</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16.6</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15.4</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14.7</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2.90</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541"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415"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钙</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102</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97.1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94.6</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99.2</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35.2</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541"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415"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镁</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8.47</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8.61</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7.96</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8.39</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1.49</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541"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415"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碱度（碳酸盐）</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541"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415"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8" w:type="pct"/>
            <w:shd w:val="clear" w:color="auto" w:fill="auto"/>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碱度</w:t>
            </w:r>
          </w:p>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（重碳酸盐）</w:t>
            </w:r>
          </w:p>
        </w:tc>
        <w:tc>
          <w:tcPr>
            <w:tcW w:w="560"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308</w:t>
            </w:r>
          </w:p>
        </w:tc>
        <w:tc>
          <w:tcPr>
            <w:tcW w:w="549"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292</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295</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306</w:t>
            </w:r>
          </w:p>
        </w:tc>
        <w:tc>
          <w:tcPr>
            <w:tcW w:w="612"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w:t>
            </w:r>
          </w:p>
        </w:tc>
        <w:tc>
          <w:tcPr>
            <w:tcW w:w="561" w:type="pct"/>
            <w:shd w:val="clear" w:color="auto" w:fill="auto"/>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541"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415" w:type="pct"/>
            <w:shd w:val="clear" w:color="auto" w:fill="auto"/>
            <w:vAlign w:val="center"/>
          </w:tcPr>
          <w:p>
            <w:pPr>
              <w:spacing w:line="240" w:lineRule="auto"/>
              <w:ind w:firstLine="0" w:firstLineChars="0"/>
              <w:jc w:val="center"/>
              <w:rPr>
                <w:rFonts w:hint="default" w:ascii="Times New Roman" w:hAnsi="Times New Roman" w:eastAsia="等线"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r>
    </w:tbl>
    <w:p>
      <w:pPr>
        <w:pStyle w:val="14"/>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eastAsia="仿宋" w:cs="Times New Roman"/>
          <w:color w:val="000000" w:themeColor="text1"/>
          <w:sz w:val="21"/>
          <w:szCs w:val="18"/>
          <w:highlight w:val="none"/>
          <w14:textFill>
            <w14:solidFill>
              <w14:schemeClr w14:val="tx1"/>
            </w14:solidFill>
          </w14:textFill>
        </w:rPr>
      </w:pPr>
      <w:r>
        <w:rPr>
          <w:rFonts w:hint="default" w:ascii="Times New Roman" w:hAnsi="Times New Roman" w:eastAsia="仿宋" w:cs="Times New Roman"/>
          <w:color w:val="000000" w:themeColor="text1"/>
          <w:sz w:val="21"/>
          <w:szCs w:val="18"/>
          <w:highlight w:val="none"/>
          <w14:textFill>
            <w14:solidFill>
              <w14:schemeClr w14:val="tx1"/>
            </w14:solidFill>
          </w14:textFill>
        </w:rPr>
        <w:t>注：“ND”标识未检出，“*”为参考地表水标准。</w:t>
      </w:r>
    </w:p>
    <w:p>
      <w:pPr>
        <w:pStyle w:val="14"/>
        <w:keepNext w:val="0"/>
        <w:keepLines w:val="0"/>
        <w:pageBreakBefore w:val="0"/>
        <w:widowControl w:val="0"/>
        <w:kinsoku/>
        <w:wordWrap/>
        <w:overflowPunct/>
        <w:topLinePunct w:val="0"/>
        <w:autoSpaceDE/>
        <w:autoSpaceDN/>
        <w:bidi w:val="0"/>
        <w:adjustRightInd w:val="0"/>
        <w:snapToGrid w:val="0"/>
        <w:ind w:firstLine="480"/>
        <w:jc w:val="left"/>
        <w:textAlignment w:val="auto"/>
        <w:rPr>
          <w:rFonts w:hint="default" w:ascii="Times New Roman" w:hAnsi="Times New Roman" w:cs="Times New Roman"/>
          <w:bCs/>
          <w:color w:val="000000" w:themeColor="text1"/>
          <w:highlight w:val="none"/>
          <w14:textFill>
            <w14:solidFill>
              <w14:schemeClr w14:val="tx1"/>
            </w14:solidFill>
          </w14:textFill>
        </w:rPr>
      </w:pPr>
    </w:p>
    <w:p>
      <w:pPr>
        <w:pStyle w:val="14"/>
        <w:keepNext w:val="0"/>
        <w:keepLines w:val="0"/>
        <w:pageBreakBefore w:val="0"/>
        <w:widowControl w:val="0"/>
        <w:kinsoku/>
        <w:wordWrap/>
        <w:overflowPunct/>
        <w:topLinePunct w:val="0"/>
        <w:autoSpaceDE/>
        <w:autoSpaceDN/>
        <w:bidi w:val="0"/>
        <w:adjustRightInd w:val="0"/>
        <w:snapToGrid w:val="0"/>
        <w:ind w:firstLine="480"/>
        <w:jc w:val="left"/>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由上表可见，项目区域地下水现状监测指标均未超过《地下水质量标准》（GB/T14848-2017）中的Ⅲ类标准限值要求，本项目所在地区地下水质量总体上良好</w:t>
      </w:r>
      <w:r>
        <w:rPr>
          <w:rFonts w:hint="eastAsia" w:ascii="Times New Roman" w:hAnsi="Times New Roman" w:cs="Times New Roman"/>
          <w:bCs/>
          <w:color w:val="000000" w:themeColor="text1"/>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2）地下水化学类型分类</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根据评价方法中介绍的使用舒卡列夫法对地下水类型进行分类，需要找到主要离子中含量大于25%毫克当量的阴离子及阳离子进行组合，计算各水样的矿化度，计算结果见</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_Ref142600232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bookmarkStart w:id="222" w:name="_Ref142600232"/>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fldChar w:fldCharType="end"/>
      </w:r>
      <w:bookmarkEnd w:id="222"/>
      <w:r>
        <w:rPr>
          <w:rFonts w:hint="default" w:ascii="Times New Roman" w:hAnsi="Times New Roman" w:cs="Times New Roman"/>
          <w:color w:val="000000" w:themeColor="text1"/>
          <w:highlight w:val="none"/>
          <w14:textFill>
            <w14:solidFill>
              <w14:schemeClr w14:val="tx1"/>
            </w14:solidFill>
          </w14:textFill>
        </w:rPr>
        <w:t xml:space="preserve"> 区域地下水阴阳离子含量比例及各水样矿化度一览表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962"/>
        <w:gridCol w:w="1081"/>
        <w:gridCol w:w="1081"/>
        <w:gridCol w:w="1081"/>
        <w:gridCol w:w="1081"/>
        <w:gridCol w:w="1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Merge w:val="restart"/>
            <w:vAlign w:val="center"/>
          </w:tcPr>
          <w:p>
            <w:pPr>
              <w:widowControl/>
              <w:spacing w:line="240" w:lineRule="auto"/>
              <w:ind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监测因子</w:t>
            </w:r>
          </w:p>
        </w:tc>
        <w:tc>
          <w:tcPr>
            <w:tcW w:w="3178" w:type="pct"/>
            <w:gridSpan w:val="5"/>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监测点位及时间、监测结果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Merge w:val="continue"/>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647" w:type="pct"/>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1#</w:t>
            </w:r>
          </w:p>
        </w:tc>
        <w:tc>
          <w:tcPr>
            <w:tcW w:w="647" w:type="pct"/>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2#</w:t>
            </w:r>
          </w:p>
        </w:tc>
        <w:tc>
          <w:tcPr>
            <w:tcW w:w="585" w:type="pct"/>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3#</w:t>
            </w:r>
          </w:p>
        </w:tc>
        <w:tc>
          <w:tcPr>
            <w:tcW w:w="635" w:type="pct"/>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4#</w:t>
            </w:r>
          </w:p>
        </w:tc>
        <w:tc>
          <w:tcPr>
            <w:tcW w:w="664" w:type="pct"/>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Merge w:val="continue"/>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p>
        </w:tc>
        <w:tc>
          <w:tcPr>
            <w:tcW w:w="3178" w:type="pct"/>
            <w:gridSpan w:val="5"/>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2023.10.29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000" w:type="pct"/>
            <w:gridSpan w:val="6"/>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监测结果（mg/l）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钾</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1.81</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1.87</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1.77</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1.78</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钠</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14.9</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16.6</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15.4</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14.7</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钙</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102</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97.1</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94.6</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99.2</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镁</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8.47</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8.61</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7.96</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8.39</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碳酸根</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重碳酸根</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308</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292</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295</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306</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氯化物</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18.5</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20.9</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18.7</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19.4</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0.807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硫酸盐</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29.3</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33.6</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29.6</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29.6</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000" w:type="pct"/>
            <w:gridSpan w:val="6"/>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当量浓度（meq/L）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钠+钾</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0.69 </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0.77 </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0.71 </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0.68 </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钙</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5.10 </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4.86 </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4.73 </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4.96 </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1.76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镁</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0.71 </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0.72 </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0.66 </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0.70 </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碳酸根</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0.00 </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0.00 </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0.00 </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0.00 </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重碳酸根</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5.05 </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4.79 </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4.84 </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5.02 </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1.64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氯化物</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0.52 </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0.59 </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0.53 </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0.55 </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硫酸盐</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0.61 </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0.70 </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0.62 </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0.62 </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矿化度mg/L</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328.98 </w:t>
            </w:r>
          </w:p>
        </w:tc>
        <w:tc>
          <w:tcPr>
            <w:tcW w:w="647"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324.68 </w:t>
            </w:r>
          </w:p>
        </w:tc>
        <w:tc>
          <w:tcPr>
            <w:tcW w:w="58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315.53 </w:t>
            </w:r>
          </w:p>
        </w:tc>
        <w:tc>
          <w:tcPr>
            <w:tcW w:w="635"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326.07 </w:t>
            </w:r>
          </w:p>
        </w:tc>
        <w:tc>
          <w:tcPr>
            <w:tcW w:w="664" w:type="pct"/>
            <w:vAlign w:val="center"/>
          </w:tcPr>
          <w:p>
            <w:pPr>
              <w:widowControl/>
              <w:adjustRightInd/>
              <w:snapToGrid/>
              <w:spacing w:line="240" w:lineRule="auto"/>
              <w:ind w:firstLine="420" w:firstLineChars="0"/>
              <w:jc w:val="left"/>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101.85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000" w:type="pct"/>
            <w:gridSpan w:val="6"/>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当量浓度比例（%）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钠+钾</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5.47 </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6.20 </w:t>
            </w:r>
          </w:p>
        </w:tc>
        <w:tc>
          <w:tcPr>
            <w:tcW w:w="58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5.91 </w:t>
            </w:r>
          </w:p>
        </w:tc>
        <w:tc>
          <w:tcPr>
            <w:tcW w:w="63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5.47 </w:t>
            </w:r>
          </w:p>
        </w:tc>
        <w:tc>
          <w:tcPr>
            <w:tcW w:w="664"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3.91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shd w:val="pct10" w:color="auto" w:fill="FFFFFF"/>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钙</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40.22 </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39.10 </w:t>
            </w:r>
          </w:p>
        </w:tc>
        <w:tc>
          <w:tcPr>
            <w:tcW w:w="58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39.13 </w:t>
            </w:r>
          </w:p>
        </w:tc>
        <w:tc>
          <w:tcPr>
            <w:tcW w:w="63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39.61 </w:t>
            </w:r>
          </w:p>
        </w:tc>
        <w:tc>
          <w:tcPr>
            <w:tcW w:w="664"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44.94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镁</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5.57 </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5.78 </w:t>
            </w:r>
          </w:p>
        </w:tc>
        <w:tc>
          <w:tcPr>
            <w:tcW w:w="58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5.49 </w:t>
            </w:r>
          </w:p>
        </w:tc>
        <w:tc>
          <w:tcPr>
            <w:tcW w:w="63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5.58 </w:t>
            </w:r>
          </w:p>
        </w:tc>
        <w:tc>
          <w:tcPr>
            <w:tcW w:w="664"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碳酸根</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0.00 </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0.00 </w:t>
            </w:r>
          </w:p>
        </w:tc>
        <w:tc>
          <w:tcPr>
            <w:tcW w:w="58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0.00 </w:t>
            </w:r>
          </w:p>
        </w:tc>
        <w:tc>
          <w:tcPr>
            <w:tcW w:w="63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0.00 </w:t>
            </w:r>
          </w:p>
        </w:tc>
        <w:tc>
          <w:tcPr>
            <w:tcW w:w="664"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shd w:val="pct10" w:color="auto" w:fill="FFFFFF"/>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重碳酸根</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39.82 </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38.55 </w:t>
            </w:r>
          </w:p>
        </w:tc>
        <w:tc>
          <w:tcPr>
            <w:tcW w:w="58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40.01 </w:t>
            </w:r>
          </w:p>
        </w:tc>
        <w:tc>
          <w:tcPr>
            <w:tcW w:w="63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40.06 </w:t>
            </w:r>
          </w:p>
        </w:tc>
        <w:tc>
          <w:tcPr>
            <w:tcW w:w="664"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41.86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氯化物</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4.11 </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4.74 </w:t>
            </w:r>
          </w:p>
        </w:tc>
        <w:tc>
          <w:tcPr>
            <w:tcW w:w="58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4.36 </w:t>
            </w:r>
          </w:p>
        </w:tc>
        <w:tc>
          <w:tcPr>
            <w:tcW w:w="63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4.36 </w:t>
            </w:r>
          </w:p>
        </w:tc>
        <w:tc>
          <w:tcPr>
            <w:tcW w:w="664"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0.58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1" w:hRule="atLeast"/>
          <w:jc w:val="center"/>
        </w:trPr>
        <w:tc>
          <w:tcPr>
            <w:tcW w:w="1822" w:type="pct"/>
            <w:vAlign w:val="center"/>
          </w:tcPr>
          <w:p>
            <w:pPr>
              <w:widowControl/>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硫酸盐</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4.81 </w:t>
            </w:r>
          </w:p>
        </w:tc>
        <w:tc>
          <w:tcPr>
            <w:tcW w:w="647"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5.64 </w:t>
            </w:r>
          </w:p>
        </w:tc>
        <w:tc>
          <w:tcPr>
            <w:tcW w:w="58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5.10 </w:t>
            </w:r>
          </w:p>
        </w:tc>
        <w:tc>
          <w:tcPr>
            <w:tcW w:w="635"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4.92 </w:t>
            </w:r>
          </w:p>
        </w:tc>
        <w:tc>
          <w:tcPr>
            <w:tcW w:w="664" w:type="pct"/>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2"/>
                <w:highlight w:val="none"/>
                <w14:textFill>
                  <w14:solidFill>
                    <w14:schemeClr w14:val="tx1"/>
                  </w14:solidFill>
                </w14:textFill>
              </w:rPr>
              <w:t xml:space="preserve">5.53 </w:t>
            </w:r>
          </w:p>
        </w:tc>
      </w:tr>
    </w:tbl>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由</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上表</w:t>
      </w:r>
      <w:r>
        <w:rPr>
          <w:rFonts w:hint="default" w:ascii="Times New Roman" w:hAnsi="Times New Roman" w:cs="Times New Roman"/>
          <w:bCs/>
          <w:color w:val="000000" w:themeColor="text1"/>
          <w:szCs w:val="24"/>
          <w:highlight w:val="none"/>
          <w14:textFill>
            <w14:solidFill>
              <w14:schemeClr w14:val="tx1"/>
            </w14:solidFill>
          </w14:textFill>
        </w:rPr>
        <w:t>可以看出，本次评价各水样监测结果各水样的矿化度范围在101.85mg/L-328.985mg/L，小于1500mg/L，主要离子的阴离子及阳离子分别为硫酸根和镁离子，因此，本项目所在区域地下水化学类型为矿化度不大于1.5g/L的HCO</w:t>
      </w:r>
      <w:r>
        <w:rPr>
          <w:rFonts w:hint="default" w:ascii="Times New Roman" w:hAnsi="Times New Roman" w:cs="Times New Roman"/>
          <w:bCs/>
          <w:color w:val="000000" w:themeColor="text1"/>
          <w:szCs w:val="24"/>
          <w:highlight w:val="none"/>
          <w:vertAlign w:val="sub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-Ca型水。</w:t>
      </w:r>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（5）地下水动态变化特征</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工程区内地下水主要接受大气降水补给，地下水的动态变化同大气降水密切相关，一般随着降雨量的变化而变化，雨季时地下水水位上升，雨季之后地下水水位逐渐下降。同时受地形地貌和河流等蓄水体的蓄水补给影响，靠近丘谷和河流边上水井水位埋深普遍较浅。本项目区域地下水水位统计见</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_Ref142600224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8</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，点位分布见图附图</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23" w:name="_Ref142600224"/>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fldChar w:fldCharType="end"/>
      </w:r>
      <w:bookmarkEnd w:id="223"/>
      <w:r>
        <w:rPr>
          <w:rFonts w:hint="default" w:ascii="Times New Roman" w:hAnsi="Times New Roman" w:cs="Times New Roman"/>
          <w:color w:val="000000" w:themeColor="text1"/>
          <w:highlight w:val="none"/>
          <w14:textFill>
            <w14:solidFill>
              <w14:schemeClr w14:val="tx1"/>
            </w14:solidFill>
          </w14:textFill>
        </w:rPr>
        <w:t xml:space="preserve"> 本项目区域地下水水位统计一览表</w:t>
      </w:r>
    </w:p>
    <w:tbl>
      <w:tblPr>
        <w:tblStyle w:val="52"/>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25"/>
        <w:gridCol w:w="2604"/>
        <w:gridCol w:w="2092"/>
        <w:gridCol w:w="209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917" w:type="pct"/>
            <w:vMerge w:val="restart"/>
            <w:tcBorders>
              <w:top w:val="single" w:color="auto"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调查时间</w:t>
            </w:r>
          </w:p>
        </w:tc>
        <w:tc>
          <w:tcPr>
            <w:tcW w:w="1566" w:type="pct"/>
            <w:vMerge w:val="restart"/>
            <w:tcBorders>
              <w:top w:val="single" w:color="auto"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调查点位</w:t>
            </w:r>
          </w:p>
        </w:tc>
        <w:tc>
          <w:tcPr>
            <w:tcW w:w="2516" w:type="pct"/>
            <w:gridSpan w:val="2"/>
            <w:tcBorders>
              <w:top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调查项目及结果（单位：m）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917"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566" w:type="pct"/>
            <w:vMerge w:val="continue"/>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258" w:type="pct"/>
            <w:tcBorders>
              <w:top w:val="single" w:color="000000"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地下水水位埋深</w:t>
            </w:r>
          </w:p>
        </w:tc>
        <w:tc>
          <w:tcPr>
            <w:tcW w:w="1258" w:type="pct"/>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地下水井高程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7" w:type="pct"/>
            <w:vMerge w:val="restar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2023年10月29日</w:t>
            </w:r>
          </w:p>
        </w:tc>
        <w:tc>
          <w:tcPr>
            <w:tcW w:w="1566"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普光P106-2H侧井西南侧1#</w:t>
            </w:r>
          </w:p>
        </w:tc>
        <w:tc>
          <w:tcPr>
            <w:tcW w:w="1258" w:type="pct"/>
            <w:tcBorders>
              <w:top w:val="single" w:color="000000"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3.51</w:t>
            </w:r>
          </w:p>
        </w:tc>
        <w:tc>
          <w:tcPr>
            <w:tcW w:w="1258" w:type="pct"/>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810.57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7"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566"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普光P106-2H侧井西南侧2#</w:t>
            </w:r>
          </w:p>
        </w:tc>
        <w:tc>
          <w:tcPr>
            <w:tcW w:w="1258" w:type="pct"/>
            <w:tcBorders>
              <w:top w:val="single" w:color="000000"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3.82</w:t>
            </w:r>
          </w:p>
        </w:tc>
        <w:tc>
          <w:tcPr>
            <w:tcW w:w="1258" w:type="pct"/>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783.95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7"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566"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普光P106-2H侧井南侧3#</w:t>
            </w:r>
          </w:p>
        </w:tc>
        <w:tc>
          <w:tcPr>
            <w:tcW w:w="1258" w:type="pct"/>
            <w:tcBorders>
              <w:top w:val="single" w:color="000000"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4.01</w:t>
            </w:r>
          </w:p>
        </w:tc>
        <w:tc>
          <w:tcPr>
            <w:tcW w:w="1258" w:type="pct"/>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753.81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7"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566"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普光P106-2H侧井东南侧4#</w:t>
            </w:r>
          </w:p>
        </w:tc>
        <w:tc>
          <w:tcPr>
            <w:tcW w:w="1258" w:type="pct"/>
            <w:tcBorders>
              <w:top w:val="single" w:color="000000"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3.71</w:t>
            </w:r>
          </w:p>
        </w:tc>
        <w:tc>
          <w:tcPr>
            <w:tcW w:w="1258" w:type="pct"/>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729.75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7"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566"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普光P106-2H侧井东北侧5#</w:t>
            </w:r>
          </w:p>
        </w:tc>
        <w:tc>
          <w:tcPr>
            <w:tcW w:w="1258" w:type="pct"/>
            <w:tcBorders>
              <w:top w:val="single" w:color="000000"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3.05</w:t>
            </w:r>
          </w:p>
        </w:tc>
        <w:tc>
          <w:tcPr>
            <w:tcW w:w="1258" w:type="pct"/>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750.32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7"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566" w:type="pct"/>
            <w:tcBorders>
              <w:top w:val="single" w:color="000000" w:sz="4" w:space="0"/>
              <w:left w:val="single" w:color="auto" w:sz="4" w:space="0"/>
              <w:bottom w:val="single" w:color="000000" w:sz="4" w:space="0"/>
              <w:tl2br w:val="nil"/>
              <w:tr2bl w:val="nil"/>
            </w:tcBorders>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普光P106-2H侧井西南侧6</w:t>
            </w: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1258" w:type="pct"/>
            <w:tcBorders>
              <w:top w:val="single" w:color="000000"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3.62</w:t>
            </w:r>
          </w:p>
        </w:tc>
        <w:tc>
          <w:tcPr>
            <w:tcW w:w="1258" w:type="pct"/>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806.24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7"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566" w:type="pct"/>
            <w:tcBorders>
              <w:top w:val="single" w:color="000000" w:sz="4" w:space="0"/>
              <w:left w:val="single" w:color="auto" w:sz="4" w:space="0"/>
              <w:bottom w:val="single" w:color="000000" w:sz="4" w:space="0"/>
              <w:tl2br w:val="nil"/>
              <w:tr2bl w:val="nil"/>
            </w:tcBorders>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普光P106-2H侧井西南侧7</w:t>
            </w: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1258" w:type="pct"/>
            <w:tcBorders>
              <w:top w:val="single" w:color="000000"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3.81</w:t>
            </w:r>
          </w:p>
        </w:tc>
        <w:tc>
          <w:tcPr>
            <w:tcW w:w="1258" w:type="pct"/>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784.08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7"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566" w:type="pct"/>
            <w:tcBorders>
              <w:top w:val="single" w:color="000000" w:sz="4" w:space="0"/>
              <w:left w:val="single" w:color="auto" w:sz="4" w:space="0"/>
              <w:bottom w:val="single" w:color="000000" w:sz="4" w:space="0"/>
              <w:tl2br w:val="nil"/>
              <w:tr2bl w:val="nil"/>
            </w:tcBorders>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普光P106-2H侧井西南侧8</w:t>
            </w: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1258" w:type="pct"/>
            <w:tcBorders>
              <w:top w:val="single" w:color="000000"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3.82</w:t>
            </w:r>
          </w:p>
        </w:tc>
        <w:tc>
          <w:tcPr>
            <w:tcW w:w="1258" w:type="pct"/>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777.17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7"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566" w:type="pct"/>
            <w:tcBorders>
              <w:top w:val="single" w:color="000000" w:sz="4" w:space="0"/>
              <w:left w:val="single" w:color="auto" w:sz="4" w:space="0"/>
              <w:bottom w:val="single" w:color="000000" w:sz="4" w:space="0"/>
              <w:tl2br w:val="nil"/>
              <w:tr2bl w:val="nil"/>
            </w:tcBorders>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普光P106-2H侧井东南侧9</w:t>
            </w: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1258" w:type="pct"/>
            <w:tcBorders>
              <w:top w:val="single" w:color="000000" w:sz="4" w:space="0"/>
              <w:bottom w:val="single" w:color="000000"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3.63</w:t>
            </w:r>
          </w:p>
        </w:tc>
        <w:tc>
          <w:tcPr>
            <w:tcW w:w="1258" w:type="pct"/>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709.26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7" w:type="pct"/>
            <w:vMerge w:val="continue"/>
            <w:tcBorders>
              <w:top w:val="single" w:color="000000" w:sz="4" w:space="0"/>
              <w:left w:val="single" w:color="auto" w:sz="4" w:space="0"/>
              <w:bottom w:val="single" w:color="auto"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566" w:type="pct"/>
            <w:tcBorders>
              <w:top w:val="single" w:color="000000" w:sz="4" w:space="0"/>
              <w:left w:val="single" w:color="auto" w:sz="4" w:space="0"/>
              <w:bottom w:val="single" w:color="auto" w:sz="4" w:space="0"/>
              <w:tl2br w:val="nil"/>
              <w:tr2bl w:val="nil"/>
            </w:tcBorders>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普光P106-2H侧井东北侧10</w:t>
            </w:r>
            <w:r>
              <w:rPr>
                <w:rFonts w:hint="default" w:ascii="Times New Roman" w:hAnsi="Times New Roman" w:cs="Times New Roman"/>
                <w:color w:val="000000" w:themeColor="text1"/>
                <w:kern w:val="21"/>
                <w:sz w:val="21"/>
                <w:szCs w:val="21"/>
                <w:highlight w:val="none"/>
                <w14:textFill>
                  <w14:solidFill>
                    <w14:schemeClr w14:val="tx1"/>
                  </w14:solidFill>
                </w14:textFill>
              </w:rPr>
              <w:t>#</w:t>
            </w:r>
          </w:p>
        </w:tc>
        <w:tc>
          <w:tcPr>
            <w:tcW w:w="1258" w:type="pct"/>
            <w:tcBorders>
              <w:top w:val="single" w:color="000000" w:sz="4" w:space="0"/>
              <w:bottom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3.15</w:t>
            </w:r>
          </w:p>
        </w:tc>
        <w:tc>
          <w:tcPr>
            <w:tcW w:w="1258" w:type="pct"/>
            <w:tcBorders>
              <w:top w:val="single" w:color="000000" w:sz="4" w:space="0"/>
              <w:bottom w:val="single" w:color="auto" w:sz="4" w:space="0"/>
              <w:right w:val="single" w:color="auto" w:sz="4" w:space="0"/>
              <w:tl2br w:val="nil"/>
              <w:tr2bl w:val="nil"/>
            </w:tcBorders>
            <w:vAlign w:val="center"/>
          </w:tcPr>
          <w:p>
            <w:pPr>
              <w:overflowPunct w:val="0"/>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724.50</w:t>
            </w:r>
          </w:p>
        </w:tc>
      </w:tr>
    </w:tbl>
    <w:p>
      <w:pPr>
        <w:pStyle w:val="202"/>
        <w:rPr>
          <w:rFonts w:hint="default" w:ascii="Times New Roman" w:hAnsi="Times New Roman" w:cs="Times New Roman"/>
          <w:color w:val="000000" w:themeColor="text1"/>
          <w:highlight w:val="none"/>
          <w14:textFill>
            <w14:solidFill>
              <w14:schemeClr w14:val="tx1"/>
            </w14:solidFill>
          </w14:textFill>
        </w:rPr>
      </w:pP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224" w:name="_Toc120173132"/>
      <w:r>
        <w:rPr>
          <w:rFonts w:hint="default" w:ascii="Times New Roman" w:hAnsi="Times New Roman" w:cs="Times New Roman"/>
          <w:color w:val="000000" w:themeColor="text1"/>
          <w:highlight w:val="none"/>
          <w:lang w:eastAsia="zh-CN"/>
          <w14:textFill>
            <w14:solidFill>
              <w14:schemeClr w14:val="tx1"/>
            </w14:solidFill>
          </w14:textFill>
        </w:rPr>
        <w:t>土壤环境质量现状</w:t>
      </w:r>
      <w:bookmarkEnd w:id="224"/>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土壤理化性质调查、利用状况调查</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次评价重点针对平台周边200m范围进行调查，通过调查相关资料，并结合国家土壤信息服务平台（中国1km土壤类型图），本项目周边土壤类型属棕色壤土。为了解项目所在区域的环境质量现状，本次评价委托四川省工业环境监测研究院对项目所在区域进行了土壤环境现状监测与调查。周边土壤理化特性见</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_Ref142600216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9</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25" w:name="_Ref142600216"/>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9</w:t>
      </w:r>
      <w:r>
        <w:rPr>
          <w:rFonts w:hint="default" w:ascii="Times New Roman" w:hAnsi="Times New Roman" w:cs="Times New Roman"/>
          <w:color w:val="000000" w:themeColor="text1"/>
          <w:highlight w:val="none"/>
          <w14:textFill>
            <w14:solidFill>
              <w14:schemeClr w14:val="tx1"/>
            </w14:solidFill>
          </w14:textFill>
        </w:rPr>
        <w:fldChar w:fldCharType="end"/>
      </w:r>
      <w:bookmarkEnd w:id="225"/>
      <w:r>
        <w:rPr>
          <w:rFonts w:hint="default" w:ascii="Times New Roman" w:hAnsi="Times New Roman" w:cs="Times New Roman"/>
          <w:color w:val="000000" w:themeColor="text1"/>
          <w:highlight w:val="none"/>
          <w14:textFill>
            <w14:solidFill>
              <w14:schemeClr w14:val="tx1"/>
            </w14:solidFill>
          </w14:textFill>
        </w:rPr>
        <w:t xml:space="preserve"> 土壤理化特性调查表</w:t>
      </w:r>
    </w:p>
    <w:tbl>
      <w:tblPr>
        <w:tblStyle w:val="52"/>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68"/>
        <w:gridCol w:w="6"/>
        <w:gridCol w:w="1698"/>
        <w:gridCol w:w="2002"/>
        <w:gridCol w:w="7"/>
        <w:gridCol w:w="2017"/>
        <w:gridCol w:w="2002"/>
        <w:gridCol w:w="1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tblHeader/>
          <w:jc w:val="center"/>
        </w:trPr>
        <w:tc>
          <w:tcPr>
            <w:tcW w:w="1366" w:type="pct"/>
            <w:gridSpan w:val="3"/>
            <w:tcBorders>
              <w:top w:val="single" w:color="auto"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点位名称</w:t>
            </w:r>
          </w:p>
        </w:tc>
        <w:tc>
          <w:tcPr>
            <w:tcW w:w="1208" w:type="pct"/>
            <w:gridSpan w:val="2"/>
            <w:tcBorders>
              <w:top w:val="single" w:color="auto"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方井南侧厂界处1#</w:t>
            </w:r>
          </w:p>
        </w:tc>
        <w:tc>
          <w:tcPr>
            <w:tcW w:w="1213" w:type="pct"/>
            <w:tcBorders>
              <w:top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调查时间</w:t>
            </w:r>
          </w:p>
        </w:tc>
        <w:tc>
          <w:tcPr>
            <w:tcW w:w="1212" w:type="pct"/>
            <w:gridSpan w:val="2"/>
            <w:tcBorders>
              <w:top w:val="single" w:color="auto"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2023年10月26日</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tblHeader/>
          <w:jc w:val="center"/>
        </w:trPr>
        <w:tc>
          <w:tcPr>
            <w:tcW w:w="1366" w:type="pct"/>
            <w:gridSpan w:val="3"/>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采样深度</w:t>
            </w:r>
          </w:p>
        </w:tc>
        <w:tc>
          <w:tcPr>
            <w:tcW w:w="1208" w:type="pct"/>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0~20cm</w:t>
            </w:r>
          </w:p>
        </w:tc>
        <w:tc>
          <w:tcPr>
            <w:tcW w:w="1213"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1212"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tblHeader/>
          <w:jc w:val="center"/>
        </w:trPr>
        <w:tc>
          <w:tcPr>
            <w:tcW w:w="346" w:type="pct"/>
            <w:gridSpan w:val="2"/>
            <w:vMerge w:val="restar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现场</w:t>
            </w:r>
          </w:p>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记录</w:t>
            </w:r>
          </w:p>
        </w:tc>
        <w:tc>
          <w:tcPr>
            <w:tcW w:w="1020"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颜色</w:t>
            </w:r>
          </w:p>
        </w:tc>
        <w:tc>
          <w:tcPr>
            <w:tcW w:w="1208" w:type="pct"/>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棕</w:t>
            </w:r>
          </w:p>
        </w:tc>
        <w:tc>
          <w:tcPr>
            <w:tcW w:w="1213"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1212"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tblHeader/>
          <w:jc w:val="center"/>
        </w:trPr>
        <w:tc>
          <w:tcPr>
            <w:tcW w:w="346" w:type="pct"/>
            <w:gridSpan w:val="2"/>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0"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湿度</w:t>
            </w:r>
          </w:p>
        </w:tc>
        <w:tc>
          <w:tcPr>
            <w:tcW w:w="1208" w:type="pct"/>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潮</w:t>
            </w:r>
          </w:p>
        </w:tc>
        <w:tc>
          <w:tcPr>
            <w:tcW w:w="1213"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1212"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tblHeader/>
          <w:jc w:val="center"/>
        </w:trPr>
        <w:tc>
          <w:tcPr>
            <w:tcW w:w="346" w:type="pct"/>
            <w:gridSpan w:val="2"/>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0"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质地</w:t>
            </w:r>
          </w:p>
        </w:tc>
        <w:tc>
          <w:tcPr>
            <w:tcW w:w="1208" w:type="pct"/>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壤土</w:t>
            </w:r>
          </w:p>
        </w:tc>
        <w:tc>
          <w:tcPr>
            <w:tcW w:w="1213"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1212"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tblHeader/>
          <w:jc w:val="center"/>
        </w:trPr>
        <w:tc>
          <w:tcPr>
            <w:tcW w:w="346" w:type="pct"/>
            <w:gridSpan w:val="2"/>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0"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植物根系</w:t>
            </w:r>
          </w:p>
        </w:tc>
        <w:tc>
          <w:tcPr>
            <w:tcW w:w="1208" w:type="pct"/>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少量</w:t>
            </w:r>
          </w:p>
        </w:tc>
        <w:tc>
          <w:tcPr>
            <w:tcW w:w="1213"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1212"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tblHeader/>
          <w:jc w:val="center"/>
        </w:trPr>
        <w:tc>
          <w:tcPr>
            <w:tcW w:w="346" w:type="pct"/>
            <w:gridSpan w:val="2"/>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0"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砂砾含量（%）</w:t>
            </w:r>
          </w:p>
        </w:tc>
        <w:tc>
          <w:tcPr>
            <w:tcW w:w="1208" w:type="pct"/>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w:t>
            </w:r>
          </w:p>
        </w:tc>
        <w:tc>
          <w:tcPr>
            <w:tcW w:w="1213"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1212"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tblHeader/>
          <w:jc w:val="center"/>
        </w:trPr>
        <w:tc>
          <w:tcPr>
            <w:tcW w:w="346" w:type="pct"/>
            <w:gridSpan w:val="2"/>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0"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结构</w:t>
            </w:r>
          </w:p>
        </w:tc>
        <w:tc>
          <w:tcPr>
            <w:tcW w:w="1208" w:type="pct"/>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团粒</w:t>
            </w:r>
          </w:p>
        </w:tc>
        <w:tc>
          <w:tcPr>
            <w:tcW w:w="1213"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1212"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tblHeader/>
          <w:jc w:val="center"/>
        </w:trPr>
        <w:tc>
          <w:tcPr>
            <w:tcW w:w="346" w:type="pct"/>
            <w:gridSpan w:val="2"/>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0"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其它异物</w:t>
            </w:r>
          </w:p>
        </w:tc>
        <w:tc>
          <w:tcPr>
            <w:tcW w:w="1208" w:type="pct"/>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无</w:t>
            </w:r>
          </w:p>
        </w:tc>
        <w:tc>
          <w:tcPr>
            <w:tcW w:w="1213"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c>
          <w:tcPr>
            <w:tcW w:w="1212"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8" w:type="pct"/>
          <w:trHeight w:val="329" w:hRule="atLeast"/>
          <w:tblHeader/>
          <w:jc w:val="center"/>
        </w:trPr>
        <w:tc>
          <w:tcPr>
            <w:tcW w:w="1366" w:type="pct"/>
            <w:gridSpan w:val="3"/>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点位名称</w:t>
            </w:r>
          </w:p>
        </w:tc>
        <w:tc>
          <w:tcPr>
            <w:tcW w:w="1204"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井场西南侧厂界处2#</w:t>
            </w:r>
          </w:p>
        </w:tc>
        <w:tc>
          <w:tcPr>
            <w:tcW w:w="1216" w:type="pct"/>
            <w:gridSpan w:val="2"/>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调查时间</w:t>
            </w:r>
          </w:p>
        </w:tc>
        <w:tc>
          <w:tcPr>
            <w:tcW w:w="1204" w:type="pct"/>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2023年10月26日</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8" w:type="pct"/>
          <w:trHeight w:val="329" w:hRule="atLeast"/>
          <w:tblHeader/>
          <w:jc w:val="center"/>
        </w:trPr>
        <w:tc>
          <w:tcPr>
            <w:tcW w:w="1366" w:type="pct"/>
            <w:gridSpan w:val="3"/>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采样深度</w:t>
            </w:r>
          </w:p>
        </w:tc>
        <w:tc>
          <w:tcPr>
            <w:tcW w:w="1204"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0~50cm</w:t>
            </w:r>
          </w:p>
        </w:tc>
        <w:tc>
          <w:tcPr>
            <w:tcW w:w="1216" w:type="pct"/>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150cm</w:t>
            </w:r>
          </w:p>
        </w:tc>
        <w:tc>
          <w:tcPr>
            <w:tcW w:w="1204" w:type="pct"/>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300cm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8" w:type="pct"/>
          <w:trHeight w:val="329" w:hRule="atLeast"/>
          <w:tblHeader/>
          <w:jc w:val="center"/>
        </w:trPr>
        <w:tc>
          <w:tcPr>
            <w:tcW w:w="342" w:type="pct"/>
            <w:vMerge w:val="restar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现场</w:t>
            </w:r>
          </w:p>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记录</w:t>
            </w:r>
          </w:p>
        </w:tc>
        <w:tc>
          <w:tcPr>
            <w:tcW w:w="1023"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颜色</w:t>
            </w:r>
          </w:p>
        </w:tc>
        <w:tc>
          <w:tcPr>
            <w:tcW w:w="1204"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棕</w:t>
            </w:r>
          </w:p>
        </w:tc>
        <w:tc>
          <w:tcPr>
            <w:tcW w:w="1216" w:type="pct"/>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棕</w:t>
            </w:r>
          </w:p>
        </w:tc>
        <w:tc>
          <w:tcPr>
            <w:tcW w:w="1204" w:type="pct"/>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8" w:type="pct"/>
          <w:trHeight w:val="329" w:hRule="atLeast"/>
          <w:tblHeader/>
          <w:jc w:val="center"/>
        </w:trPr>
        <w:tc>
          <w:tcPr>
            <w:tcW w:w="342"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3"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湿度</w:t>
            </w:r>
          </w:p>
        </w:tc>
        <w:tc>
          <w:tcPr>
            <w:tcW w:w="1204"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潮</w:t>
            </w:r>
          </w:p>
        </w:tc>
        <w:tc>
          <w:tcPr>
            <w:tcW w:w="1216" w:type="pct"/>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潮</w:t>
            </w:r>
          </w:p>
        </w:tc>
        <w:tc>
          <w:tcPr>
            <w:tcW w:w="1204" w:type="pct"/>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8" w:type="pct"/>
          <w:trHeight w:val="329" w:hRule="atLeast"/>
          <w:tblHeader/>
          <w:jc w:val="center"/>
        </w:trPr>
        <w:tc>
          <w:tcPr>
            <w:tcW w:w="342"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3"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质地</w:t>
            </w:r>
          </w:p>
        </w:tc>
        <w:tc>
          <w:tcPr>
            <w:tcW w:w="1204"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壤土</w:t>
            </w:r>
          </w:p>
        </w:tc>
        <w:tc>
          <w:tcPr>
            <w:tcW w:w="1216" w:type="pct"/>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壤土</w:t>
            </w:r>
          </w:p>
        </w:tc>
        <w:tc>
          <w:tcPr>
            <w:tcW w:w="1204"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壤土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8" w:type="pct"/>
          <w:trHeight w:val="329" w:hRule="atLeast"/>
          <w:tblHeader/>
          <w:jc w:val="center"/>
        </w:trPr>
        <w:tc>
          <w:tcPr>
            <w:tcW w:w="342"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3"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植物根系</w:t>
            </w:r>
          </w:p>
        </w:tc>
        <w:tc>
          <w:tcPr>
            <w:tcW w:w="1204"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少量</w:t>
            </w:r>
          </w:p>
        </w:tc>
        <w:tc>
          <w:tcPr>
            <w:tcW w:w="1216" w:type="pct"/>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少量</w:t>
            </w:r>
          </w:p>
        </w:tc>
        <w:tc>
          <w:tcPr>
            <w:tcW w:w="1204"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少量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8" w:type="pct"/>
          <w:trHeight w:val="329" w:hRule="atLeast"/>
          <w:tblHeader/>
          <w:jc w:val="center"/>
        </w:trPr>
        <w:tc>
          <w:tcPr>
            <w:tcW w:w="342"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3"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砂砾含量（%）</w:t>
            </w:r>
          </w:p>
        </w:tc>
        <w:tc>
          <w:tcPr>
            <w:tcW w:w="1204"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w:t>
            </w:r>
          </w:p>
        </w:tc>
        <w:tc>
          <w:tcPr>
            <w:tcW w:w="1216" w:type="pct"/>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w:t>
            </w:r>
          </w:p>
        </w:tc>
        <w:tc>
          <w:tcPr>
            <w:tcW w:w="1204"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8" w:type="pct"/>
          <w:trHeight w:val="329" w:hRule="atLeast"/>
          <w:tblHeader/>
          <w:jc w:val="center"/>
        </w:trPr>
        <w:tc>
          <w:tcPr>
            <w:tcW w:w="342"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3"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结构</w:t>
            </w:r>
          </w:p>
        </w:tc>
        <w:tc>
          <w:tcPr>
            <w:tcW w:w="1204"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团粒</w:t>
            </w:r>
          </w:p>
        </w:tc>
        <w:tc>
          <w:tcPr>
            <w:tcW w:w="1216" w:type="pct"/>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团粒</w:t>
            </w:r>
          </w:p>
        </w:tc>
        <w:tc>
          <w:tcPr>
            <w:tcW w:w="1204"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团粒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8" w:type="pct"/>
          <w:trHeight w:val="329" w:hRule="atLeast"/>
          <w:tblHeader/>
          <w:jc w:val="center"/>
        </w:trPr>
        <w:tc>
          <w:tcPr>
            <w:tcW w:w="342"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3"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其它异物</w:t>
            </w:r>
          </w:p>
        </w:tc>
        <w:tc>
          <w:tcPr>
            <w:tcW w:w="1204"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无</w:t>
            </w:r>
          </w:p>
        </w:tc>
        <w:tc>
          <w:tcPr>
            <w:tcW w:w="1216" w:type="pct"/>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无</w:t>
            </w:r>
          </w:p>
        </w:tc>
        <w:tc>
          <w:tcPr>
            <w:tcW w:w="1204" w:type="pc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1366" w:type="pct"/>
            <w:gridSpan w:val="3"/>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点位名称</w:t>
            </w:r>
          </w:p>
        </w:tc>
        <w:tc>
          <w:tcPr>
            <w:tcW w:w="1203"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井场污水池处3#</w:t>
            </w:r>
          </w:p>
        </w:tc>
        <w:tc>
          <w:tcPr>
            <w:tcW w:w="1217" w:type="pct"/>
            <w:gridSpan w:val="2"/>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调查时间</w:t>
            </w:r>
          </w:p>
        </w:tc>
        <w:tc>
          <w:tcPr>
            <w:tcW w:w="1203" w:type="pct"/>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2023年10月26日</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1366" w:type="pct"/>
            <w:gridSpan w:val="3"/>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采样深度</w:t>
            </w:r>
          </w:p>
        </w:tc>
        <w:tc>
          <w:tcPr>
            <w:tcW w:w="1203"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0~50cm</w:t>
            </w:r>
          </w:p>
        </w:tc>
        <w:tc>
          <w:tcPr>
            <w:tcW w:w="1217" w:type="pct"/>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150cm</w:t>
            </w:r>
          </w:p>
        </w:tc>
        <w:tc>
          <w:tcPr>
            <w:tcW w:w="1203" w:type="pct"/>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300cm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restar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现场</w:t>
            </w:r>
          </w:p>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记录</w:t>
            </w: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颜色</w:t>
            </w:r>
          </w:p>
        </w:tc>
        <w:tc>
          <w:tcPr>
            <w:tcW w:w="2250" w:type="dxa"/>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黄棕</w:t>
            </w:r>
          </w:p>
        </w:tc>
        <w:tc>
          <w:tcPr>
            <w:tcW w:w="2277" w:type="dxa"/>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棕</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暗棕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湿度</w:t>
            </w:r>
          </w:p>
        </w:tc>
        <w:tc>
          <w:tcPr>
            <w:tcW w:w="2250" w:type="dxa"/>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潮</w:t>
            </w:r>
          </w:p>
        </w:tc>
        <w:tc>
          <w:tcPr>
            <w:tcW w:w="2277" w:type="dxa"/>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潮</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质地</w:t>
            </w:r>
          </w:p>
        </w:tc>
        <w:tc>
          <w:tcPr>
            <w:tcW w:w="2250" w:type="dxa"/>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壤土</w:t>
            </w:r>
          </w:p>
        </w:tc>
        <w:tc>
          <w:tcPr>
            <w:tcW w:w="2277" w:type="dxa"/>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壤土</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壤土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植物根系</w:t>
            </w:r>
          </w:p>
        </w:tc>
        <w:tc>
          <w:tcPr>
            <w:tcW w:w="2250" w:type="dxa"/>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少量</w:t>
            </w:r>
          </w:p>
        </w:tc>
        <w:tc>
          <w:tcPr>
            <w:tcW w:w="2277" w:type="dxa"/>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少量</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少量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砂砾含量（%）</w:t>
            </w:r>
          </w:p>
        </w:tc>
        <w:tc>
          <w:tcPr>
            <w:tcW w:w="2250" w:type="dxa"/>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w:t>
            </w:r>
          </w:p>
        </w:tc>
        <w:tc>
          <w:tcPr>
            <w:tcW w:w="2277" w:type="dxa"/>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结构</w:t>
            </w:r>
          </w:p>
        </w:tc>
        <w:tc>
          <w:tcPr>
            <w:tcW w:w="2250" w:type="dxa"/>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团粒</w:t>
            </w:r>
          </w:p>
        </w:tc>
        <w:tc>
          <w:tcPr>
            <w:tcW w:w="2277" w:type="dxa"/>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团粒</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团粒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其它异物</w:t>
            </w:r>
          </w:p>
        </w:tc>
        <w:tc>
          <w:tcPr>
            <w:tcW w:w="2250" w:type="dxa"/>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无</w:t>
            </w:r>
          </w:p>
        </w:tc>
        <w:tc>
          <w:tcPr>
            <w:tcW w:w="2277" w:type="dxa"/>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无</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1366" w:type="pct"/>
            <w:gridSpan w:val="3"/>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点位名称</w:t>
            </w:r>
          </w:p>
        </w:tc>
        <w:tc>
          <w:tcPr>
            <w:tcW w:w="1203" w:type="pct"/>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井场北侧厂界处4#</w:t>
            </w:r>
          </w:p>
        </w:tc>
        <w:tc>
          <w:tcPr>
            <w:tcW w:w="1217" w:type="pct"/>
            <w:gridSpan w:val="2"/>
            <w:tcBorders>
              <w:top w:val="single" w:color="000000"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t>调查时间</w:t>
            </w:r>
          </w:p>
        </w:tc>
        <w:tc>
          <w:tcPr>
            <w:tcW w:w="1203" w:type="pct"/>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b/>
                <w:bCs/>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2023年10月26日</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1366" w:type="pct"/>
            <w:gridSpan w:val="3"/>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采样深度</w:t>
            </w:r>
          </w:p>
        </w:tc>
        <w:tc>
          <w:tcPr>
            <w:tcW w:w="1203" w:type="pct"/>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0~50cm</w:t>
            </w:r>
          </w:p>
        </w:tc>
        <w:tc>
          <w:tcPr>
            <w:tcW w:w="1217" w:type="pct"/>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150cm</w:t>
            </w:r>
          </w:p>
        </w:tc>
        <w:tc>
          <w:tcPr>
            <w:tcW w:w="1203" w:type="pct"/>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300cm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restart"/>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现场</w:t>
            </w:r>
          </w:p>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记录</w:t>
            </w: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颜色</w:t>
            </w:r>
          </w:p>
        </w:tc>
        <w:tc>
          <w:tcPr>
            <w:tcW w:w="2250" w:type="dxa"/>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棕</w:t>
            </w:r>
          </w:p>
        </w:tc>
        <w:tc>
          <w:tcPr>
            <w:tcW w:w="2277" w:type="dxa"/>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棕</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暗棕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湿度</w:t>
            </w:r>
          </w:p>
        </w:tc>
        <w:tc>
          <w:tcPr>
            <w:tcW w:w="2250" w:type="dxa"/>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潮</w:t>
            </w:r>
          </w:p>
        </w:tc>
        <w:tc>
          <w:tcPr>
            <w:tcW w:w="2277" w:type="dxa"/>
            <w:gridSpan w:val="2"/>
            <w:tcBorders>
              <w:top w:val="single" w:color="000000" w:sz="4" w:space="0"/>
              <w:left w:val="single" w:color="auto" w:sz="4" w:space="0"/>
              <w:bottom w:val="single" w:color="000000"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潮</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质地</w:t>
            </w:r>
          </w:p>
        </w:tc>
        <w:tc>
          <w:tcPr>
            <w:tcW w:w="2250" w:type="dxa"/>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壤土</w:t>
            </w:r>
          </w:p>
        </w:tc>
        <w:tc>
          <w:tcPr>
            <w:tcW w:w="2277" w:type="dxa"/>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壤土</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壤土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植物根系</w:t>
            </w:r>
          </w:p>
        </w:tc>
        <w:tc>
          <w:tcPr>
            <w:tcW w:w="2250" w:type="dxa"/>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少量</w:t>
            </w:r>
          </w:p>
        </w:tc>
        <w:tc>
          <w:tcPr>
            <w:tcW w:w="2277" w:type="dxa"/>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少量</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少量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砂砾含量（%）</w:t>
            </w:r>
          </w:p>
        </w:tc>
        <w:tc>
          <w:tcPr>
            <w:tcW w:w="2250" w:type="dxa"/>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2277" w:type="dxa"/>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结构</w:t>
            </w:r>
          </w:p>
        </w:tc>
        <w:tc>
          <w:tcPr>
            <w:tcW w:w="2250" w:type="dxa"/>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团粒</w:t>
            </w:r>
          </w:p>
        </w:tc>
        <w:tc>
          <w:tcPr>
            <w:tcW w:w="2277" w:type="dxa"/>
            <w:gridSpan w:val="2"/>
            <w:tcBorders>
              <w:top w:val="single" w:color="000000" w:sz="4" w:space="0"/>
              <w:left w:val="single" w:color="auto" w:sz="4" w:space="0"/>
              <w:bottom w:val="single" w:color="000000"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团粒</w:t>
            </w:r>
          </w:p>
        </w:tc>
        <w:tc>
          <w:tcPr>
            <w:tcW w:w="2250" w:type="dxa"/>
            <w:tcBorders>
              <w:top w:val="single" w:color="000000" w:sz="4" w:space="0"/>
              <w:left w:val="single" w:color="auto" w:sz="4" w:space="0"/>
              <w:bottom w:val="single" w:color="000000"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团粒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gridAfter w:val="1"/>
          <w:wAfter w:w="9" w:type="pct"/>
          <w:trHeight w:val="329" w:hRule="atLeast"/>
          <w:tblHeader/>
          <w:jc w:val="center"/>
        </w:trPr>
        <w:tc>
          <w:tcPr>
            <w:tcW w:w="340" w:type="pct"/>
            <w:vMerge w:val="continue"/>
            <w:tcBorders>
              <w:top w:val="single" w:color="000000" w:sz="4" w:space="0"/>
              <w:left w:val="single" w:color="auto" w:sz="4" w:space="0"/>
              <w:bottom w:val="single" w:color="auto"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1025" w:type="pct"/>
            <w:gridSpan w:val="2"/>
            <w:tcBorders>
              <w:top w:val="single" w:color="000000" w:sz="4" w:space="0"/>
              <w:left w:val="single" w:color="auto" w:sz="4" w:space="0"/>
              <w:bottom w:val="single" w:color="auto"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其它异物</w:t>
            </w:r>
          </w:p>
        </w:tc>
        <w:tc>
          <w:tcPr>
            <w:tcW w:w="2250" w:type="dxa"/>
            <w:tcBorders>
              <w:top w:val="single" w:color="000000" w:sz="4" w:space="0"/>
              <w:left w:val="single" w:color="auto" w:sz="4" w:space="0"/>
              <w:bottom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无</w:t>
            </w:r>
          </w:p>
        </w:tc>
        <w:tc>
          <w:tcPr>
            <w:tcW w:w="2277" w:type="dxa"/>
            <w:gridSpan w:val="2"/>
            <w:tcBorders>
              <w:top w:val="single" w:color="000000" w:sz="4" w:space="0"/>
              <w:left w:val="single" w:color="auto" w:sz="4" w:space="0"/>
              <w:bottom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无</w:t>
            </w:r>
          </w:p>
        </w:tc>
        <w:tc>
          <w:tcPr>
            <w:tcW w:w="2250" w:type="dxa"/>
            <w:tcBorders>
              <w:top w:val="single" w:color="000000" w:sz="4" w:space="0"/>
              <w:left w:val="single" w:color="auto" w:sz="4" w:space="0"/>
              <w:bottom w:val="single" w:color="auto" w:sz="4" w:space="0"/>
              <w:right w:val="single" w:color="auto" w:sz="4" w:space="0"/>
              <w:tl2br w:val="nil"/>
              <w:tr2bl w:val="nil"/>
            </w:tcBorders>
            <w:vAlign w:val="center"/>
          </w:tcPr>
          <w:p>
            <w:pPr>
              <w:overflowPunct w:val="0"/>
              <w:spacing w:line="240" w:lineRule="auto"/>
              <w:ind w:firstLine="0" w:firstLineChars="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无</w:t>
            </w:r>
          </w:p>
        </w:tc>
      </w:tr>
    </w:tbl>
    <w:p>
      <w:pPr>
        <w:pStyle w:val="202"/>
        <w:rPr>
          <w:rFonts w:hint="default"/>
          <w:color w:val="000000" w:themeColor="text1"/>
          <w:highlight w:val="none"/>
          <w14:textFill>
            <w14:solidFill>
              <w14:schemeClr w14:val="tx1"/>
            </w14:solidFill>
          </w14:textFill>
        </w:rPr>
      </w:pPr>
    </w:p>
    <w:p>
      <w:pPr>
        <w:pStyle w:val="202"/>
        <w:rPr>
          <w:rFonts w:hint="default"/>
          <w:color w:val="000000" w:themeColor="text1"/>
          <w:highlight w:val="none"/>
          <w14:textFill>
            <w14:solidFill>
              <w14:schemeClr w14:val="tx1"/>
            </w14:solidFill>
          </w14:textFill>
        </w:rPr>
      </w:pPr>
    </w:p>
    <w:p>
      <w:pPr>
        <w:pStyle w:val="5"/>
        <w:spacing w:before="12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土壤环境质量现状调查</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本次评价委托四川省工业环境监测研究院于2023年10月26日对平台厂界内外的6处土壤进行了取样监测，平台占地范围内布置3个柱状样，1个表层样；场地外</w:t>
      </w:r>
      <w:r>
        <w:rPr>
          <w:rFonts w:hint="default" w:ascii="Times New Roman" w:hAnsi="Times New Roman" w:cs="Times New Roman"/>
          <w:bCs/>
          <w:color w:val="000000" w:themeColor="text1"/>
          <w:szCs w:val="24"/>
          <w:highlight w:val="none"/>
          <w:lang w:eastAsia="zh-CN"/>
          <w14:textFill>
            <w14:solidFill>
              <w14:schemeClr w14:val="tx1"/>
            </w14:solidFill>
          </w14:textFill>
        </w:rPr>
        <w:t>布置</w:t>
      </w:r>
      <w:r>
        <w:rPr>
          <w:rFonts w:hint="default" w:ascii="Times New Roman" w:hAnsi="Times New Roman" w:cs="Times New Roman"/>
          <w:bCs/>
          <w:color w:val="000000" w:themeColor="text1"/>
          <w:szCs w:val="24"/>
          <w:highlight w:val="none"/>
          <w14:textFill>
            <w14:solidFill>
              <w14:schemeClr w14:val="tx1"/>
            </w14:solidFill>
          </w14:textFill>
        </w:rPr>
        <w:t>2个表层样，监测点位设置符合《环境影响评价技术导则 土壤环境（试行）》（HJ 964-2018）中的布点原则和现状监测点数量要求，监测布点见附图2。</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（1）监测点位及监测因子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本次评价土壤监测布点情况见</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_Ref142600210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10</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26" w:name="_Ref142600210"/>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10</w:t>
      </w:r>
      <w:r>
        <w:rPr>
          <w:rFonts w:hint="default" w:ascii="Times New Roman" w:hAnsi="Times New Roman" w:cs="Times New Roman"/>
          <w:color w:val="000000" w:themeColor="text1"/>
          <w:highlight w:val="none"/>
          <w14:textFill>
            <w14:solidFill>
              <w14:schemeClr w14:val="tx1"/>
            </w14:solidFill>
          </w14:textFill>
        </w:rPr>
        <w:fldChar w:fldCharType="end"/>
      </w:r>
      <w:bookmarkEnd w:id="226"/>
      <w:r>
        <w:rPr>
          <w:rFonts w:hint="default" w:ascii="Times New Roman" w:hAnsi="Times New Roman" w:cs="Times New Roman"/>
          <w:color w:val="000000" w:themeColor="text1"/>
          <w:highlight w:val="none"/>
          <w14:textFill>
            <w14:solidFill>
              <w14:schemeClr w14:val="tx1"/>
            </w14:solidFill>
          </w14:textFill>
        </w:rPr>
        <w:t xml:space="preserve"> 本项目土壤环境监测布点情况</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6"/>
        <w:gridCol w:w="872"/>
        <w:gridCol w:w="849"/>
        <w:gridCol w:w="4822"/>
        <w:gridCol w:w="567"/>
        <w:gridCol w:w="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58"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类别</w:t>
            </w:r>
          </w:p>
        </w:tc>
        <w:tc>
          <w:tcPr>
            <w:tcW w:w="1034" w:type="pct"/>
            <w:gridSpan w:val="2"/>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监测点位</w:t>
            </w:r>
          </w:p>
        </w:tc>
        <w:tc>
          <w:tcPr>
            <w:tcW w:w="2898"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监测项目</w:t>
            </w:r>
          </w:p>
        </w:tc>
        <w:tc>
          <w:tcPr>
            <w:tcW w:w="341"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监测时间</w:t>
            </w:r>
          </w:p>
        </w:tc>
        <w:tc>
          <w:tcPr>
            <w:tcW w:w="369" w:type="pct"/>
            <w:vAlign w:val="center"/>
          </w:tcPr>
          <w:p>
            <w:pPr>
              <w:spacing w:line="240" w:lineRule="auto"/>
              <w:ind w:firstLine="0" w:firstLineChars="0"/>
              <w:jc w:val="center"/>
              <w:rPr>
                <w:rFonts w:hint="default" w:ascii="Times New Roman" w:hAnsi="Times New Roman" w:cs="Times New Roman"/>
                <w:b/>
                <w:bCs/>
                <w:color w:val="000000" w:themeColor="text1"/>
                <w:kern w:val="21"/>
                <w:sz w:val="21"/>
                <w:szCs w:val="21"/>
                <w:highlight w:val="none"/>
                <w14:textFill>
                  <w14:solidFill>
                    <w14:schemeClr w14:val="tx1"/>
                  </w14:solidFill>
                </w14:textFill>
              </w:rPr>
            </w:pPr>
            <w:r>
              <w:rPr>
                <w:rFonts w:hint="default" w:ascii="Times New Roman" w:hAnsi="Times New Roman" w:cs="Times New Roman"/>
                <w:b/>
                <w:bCs/>
                <w:color w:val="000000" w:themeColor="text1"/>
                <w:kern w:val="21"/>
                <w:sz w:val="21"/>
                <w:szCs w:val="21"/>
                <w:highlight w:val="none"/>
                <w14:textFill>
                  <w14:solidFill>
                    <w14:schemeClr w14:val="tx1"/>
                  </w14:solidFill>
                </w14:textFill>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8" w:type="pct"/>
            <w:vMerge w:val="restar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土壤</w:t>
            </w:r>
          </w:p>
        </w:tc>
        <w:tc>
          <w:tcPr>
            <w:tcW w:w="524"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方井南侧厂界处1#</w:t>
            </w: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0~20cm</w:t>
            </w:r>
          </w:p>
        </w:tc>
        <w:tc>
          <w:tcPr>
            <w:tcW w:w="2898"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pH、容重、</w:t>
            </w:r>
            <w:r>
              <w:rPr>
                <w:rFonts w:hint="default" w:ascii="Times New Roman" w:hAnsi="Times New Roman" w:cs="Times New Roman"/>
                <w:color w:val="000000" w:themeColor="text1"/>
                <w:sz w:val="21"/>
                <w:szCs w:val="21"/>
                <w:highlight w:val="none"/>
                <w14:textFill>
                  <w14:solidFill>
                    <w14:schemeClr w14:val="tx1"/>
                  </w14:solidFill>
                </w14:textFill>
              </w:rPr>
              <w:t>阳离子交换量</w:t>
            </w:r>
            <w:r>
              <w:rPr>
                <w:rFonts w:hint="default" w:ascii="Times New Roman" w:hAnsi="Times New Roman" w:cs="Times New Roman"/>
                <w:bCs/>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氧化还原电位、总孔隙度、渗滤率、</w:t>
            </w:r>
            <w:r>
              <w:rPr>
                <w:rFonts w:hint="default" w:ascii="Times New Roman" w:hAnsi="Times New Roman" w:cs="Times New Roman"/>
                <w:bCs/>
                <w:color w:val="000000" w:themeColor="text1"/>
                <w:sz w:val="21"/>
                <w:szCs w:val="21"/>
                <w:highlight w:val="none"/>
                <w14:textFill>
                  <w14:solidFill>
                    <w14:schemeClr w14:val="tx1"/>
                  </w14:solidFill>
                </w14:textFill>
              </w:rPr>
              <w:t>砷、镉、六价铬、铜、铅、汞、镍、氯离子、硫酸根、钡、全盐量、石油烃（C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10</w:t>
            </w:r>
            <w:r>
              <w:rPr>
                <w:rFonts w:hint="default" w:ascii="Times New Roman" w:hAnsi="Times New Roman" w:cs="Times New Roman"/>
                <w:bCs/>
                <w:color w:val="000000" w:themeColor="text1"/>
                <w:sz w:val="21"/>
                <w:szCs w:val="21"/>
                <w:highlight w:val="none"/>
                <w14:textFill>
                  <w14:solidFill>
                    <w14:schemeClr w14:val="tx1"/>
                  </w14:solidFill>
                </w14:textFill>
              </w:rPr>
              <w:t>~C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40</w:t>
            </w:r>
            <w:r>
              <w:rPr>
                <w:rFonts w:hint="default" w:ascii="Times New Roman" w:hAnsi="Times New Roman" w:cs="Times New Roman"/>
                <w:bCs/>
                <w:color w:val="000000" w:themeColor="text1"/>
                <w:sz w:val="21"/>
                <w:szCs w:val="21"/>
                <w:highlight w:val="none"/>
                <w14:textFill>
                  <w14:solidFill>
                    <w14:schemeClr w14:val="tx1"/>
                  </w14:solidFill>
                </w14:textFill>
              </w:rPr>
              <w:t>）、挥发性有机物（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w:t>
            </w:r>
            <w:r>
              <w:rPr>
                <w:rFonts w:hint="default" w:ascii="Times New Roman" w:hAnsi="Times New Roman" w:cs="Times New Roman"/>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14:textFill>
                  <w14:solidFill>
                    <w14:schemeClr w14:val="tx1"/>
                  </w14:solidFill>
                </w14:textFill>
              </w:rPr>
              <w:t>对</w:t>
            </w:r>
            <w:r>
              <w:rPr>
                <w:rFonts w:hint="default" w:ascii="Times New Roman" w:hAnsi="Times New Roman" w:cs="Times New Roman"/>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14:textFill>
                  <w14:solidFill>
                    <w14:schemeClr w14:val="tx1"/>
                  </w14:solidFill>
                </w14:textFill>
              </w:rPr>
              <w:t>二甲苯、邻二甲苯）、半挥发性有机物（硝基苯、苯胺、2-氯酚、苯并[a]蒽、苯并[a]芘、苯并[b]荧蒽、苯并[k]荧蒽、䓛、二苯并[a,h]蒽、茚并[1,2,3-cd]芘、萘）</w:t>
            </w:r>
          </w:p>
        </w:tc>
        <w:tc>
          <w:tcPr>
            <w:tcW w:w="341" w:type="pct"/>
            <w:vMerge w:val="restar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2023年</w:t>
            </w:r>
          </w:p>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10月26日</w:t>
            </w:r>
          </w:p>
        </w:tc>
        <w:tc>
          <w:tcPr>
            <w:tcW w:w="369" w:type="pct"/>
            <w:vMerge w:val="restar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监测1天，</w:t>
            </w:r>
          </w:p>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监测1次。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8"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524" w:type="pct"/>
            <w:vMerge w:val="restar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4"/>
                <w:highlight w:val="none"/>
                <w14:textFill>
                  <w14:solidFill>
                    <w14:schemeClr w14:val="tx1"/>
                  </w14:solidFill>
                </w14:textFill>
              </w:rPr>
              <w:t>井场西南侧厂界处</w:t>
            </w: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0~50cm</w:t>
            </w:r>
          </w:p>
        </w:tc>
        <w:tc>
          <w:tcPr>
            <w:tcW w:w="2898" w:type="pct"/>
            <w:vMerge w:val="restar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pH、容重、</w:t>
            </w:r>
            <w:r>
              <w:rPr>
                <w:rFonts w:hint="default" w:ascii="Times New Roman" w:hAnsi="Times New Roman" w:cs="Times New Roman"/>
                <w:color w:val="000000" w:themeColor="text1"/>
                <w:sz w:val="21"/>
                <w:szCs w:val="21"/>
                <w:highlight w:val="none"/>
                <w14:textFill>
                  <w14:solidFill>
                    <w14:schemeClr w14:val="tx1"/>
                  </w14:solidFill>
                </w14:textFill>
              </w:rPr>
              <w:t>阳离子交换量</w:t>
            </w:r>
            <w:r>
              <w:rPr>
                <w:rFonts w:hint="default" w:ascii="Times New Roman" w:hAnsi="Times New Roman" w:cs="Times New Roman"/>
                <w:bCs/>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氧化还原电位、总孔隙度、渗滤率、</w:t>
            </w:r>
            <w:r>
              <w:rPr>
                <w:rFonts w:hint="default" w:ascii="Times New Roman" w:hAnsi="Times New Roman" w:cs="Times New Roman"/>
                <w:bCs/>
                <w:color w:val="000000" w:themeColor="text1"/>
                <w:sz w:val="21"/>
                <w:szCs w:val="21"/>
                <w:highlight w:val="none"/>
                <w14:textFill>
                  <w14:solidFill>
                    <w14:schemeClr w14:val="tx1"/>
                  </w14:solidFill>
                </w14:textFill>
              </w:rPr>
              <w:t>氯化物、硫酸根、钡、全盐量、石油烃（C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10</w:t>
            </w:r>
            <w:r>
              <w:rPr>
                <w:rFonts w:hint="default" w:ascii="Times New Roman" w:hAnsi="Times New Roman" w:cs="Times New Roman"/>
                <w:bCs/>
                <w:color w:val="000000" w:themeColor="text1"/>
                <w:sz w:val="21"/>
                <w:szCs w:val="21"/>
                <w:highlight w:val="none"/>
                <w14:textFill>
                  <w14:solidFill>
                    <w14:schemeClr w14:val="tx1"/>
                  </w14:solidFill>
                </w14:textFill>
              </w:rPr>
              <w:t>~C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40</w:t>
            </w: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p>
        </w:tc>
        <w:tc>
          <w:tcPr>
            <w:tcW w:w="524"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150cm</w:t>
            </w:r>
          </w:p>
        </w:tc>
        <w:tc>
          <w:tcPr>
            <w:tcW w:w="289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24"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300cm</w:t>
            </w:r>
          </w:p>
        </w:tc>
        <w:tc>
          <w:tcPr>
            <w:tcW w:w="289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6" w:hRule="atLeast"/>
          <w:jc w:val="center"/>
        </w:trPr>
        <w:tc>
          <w:tcPr>
            <w:tcW w:w="358"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524" w:type="pct"/>
            <w:vMerge w:val="restar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井场污水池处3#</w:t>
            </w: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0~50cm</w:t>
            </w:r>
          </w:p>
        </w:tc>
        <w:tc>
          <w:tcPr>
            <w:tcW w:w="2898" w:type="pct"/>
            <w:vMerge w:val="restar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砷、镉、六价铬、铜、铅、汞、镍、氯离子、硫酸根、钡、全盐量、石油烃（C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10</w:t>
            </w:r>
            <w:r>
              <w:rPr>
                <w:rFonts w:hint="default" w:ascii="Times New Roman" w:hAnsi="Times New Roman" w:cs="Times New Roman"/>
                <w:bCs/>
                <w:color w:val="000000" w:themeColor="text1"/>
                <w:sz w:val="21"/>
                <w:szCs w:val="21"/>
                <w:highlight w:val="none"/>
                <w14:textFill>
                  <w14:solidFill>
                    <w14:schemeClr w14:val="tx1"/>
                  </w14:solidFill>
                </w14:textFill>
              </w:rPr>
              <w:t>~C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40</w:t>
            </w:r>
            <w:r>
              <w:rPr>
                <w:rFonts w:hint="default" w:ascii="Times New Roman" w:hAnsi="Times New Roman" w:cs="Times New Roman"/>
                <w:bCs/>
                <w:color w:val="000000" w:themeColor="text1"/>
                <w:sz w:val="21"/>
                <w:szCs w:val="21"/>
                <w:highlight w:val="none"/>
                <w14:textFill>
                  <w14:solidFill>
                    <w14:schemeClr w14:val="tx1"/>
                  </w14:solidFill>
                </w14:textFill>
              </w:rPr>
              <w:t>）、挥发性有机物（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w:t>
            </w:r>
            <w:r>
              <w:rPr>
                <w:rFonts w:hint="default" w:ascii="Times New Roman" w:hAnsi="Times New Roman" w:cs="Times New Roman"/>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14:textFill>
                  <w14:solidFill>
                    <w14:schemeClr w14:val="tx1"/>
                  </w14:solidFill>
                </w14:textFill>
              </w:rPr>
              <w:t>对</w:t>
            </w:r>
            <w:r>
              <w:rPr>
                <w:rFonts w:hint="default" w:ascii="Times New Roman" w:hAnsi="Times New Roman" w:cs="Times New Roman"/>
                <w:bCs/>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14:textFill>
                  <w14:solidFill>
                    <w14:schemeClr w14:val="tx1"/>
                  </w14:solidFill>
                </w14:textFill>
              </w:rPr>
              <w:t>二甲苯、邻二甲苯）、半挥发性有机物（硝基苯、苯胺、2-氯酚、苯并[a]蒽、苯并[a]芘、苯并[b]荧蒽、苯并[k]荧蒽、䓛、二苯并[a,h]蒽、茚并[1,2,3-cd]芘、萘）</w:t>
            </w: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6" w:hRule="atLeast"/>
          <w:jc w:val="center"/>
        </w:trPr>
        <w:tc>
          <w:tcPr>
            <w:tcW w:w="35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p>
        </w:tc>
        <w:tc>
          <w:tcPr>
            <w:tcW w:w="524"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150cm</w:t>
            </w:r>
          </w:p>
        </w:tc>
        <w:tc>
          <w:tcPr>
            <w:tcW w:w="289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63" w:hRule="atLeast"/>
          <w:jc w:val="center"/>
        </w:trPr>
        <w:tc>
          <w:tcPr>
            <w:tcW w:w="35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24"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300cm</w:t>
            </w:r>
          </w:p>
        </w:tc>
        <w:tc>
          <w:tcPr>
            <w:tcW w:w="289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0" w:hRule="atLeast"/>
          <w:jc w:val="center"/>
        </w:trPr>
        <w:tc>
          <w:tcPr>
            <w:tcW w:w="358"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524" w:type="pct"/>
            <w:vMerge w:val="restar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4"/>
                <w:highlight w:val="none"/>
                <w14:textFill>
                  <w14:solidFill>
                    <w14:schemeClr w14:val="tx1"/>
                  </w14:solidFill>
                </w14:textFill>
              </w:rPr>
              <w:t>井场北侧厂界处</w:t>
            </w:r>
            <w:r>
              <w:rPr>
                <w:rFonts w:hint="default" w:ascii="Times New Roman" w:hAnsi="Times New Roman" w:cs="Times New Roman"/>
                <w:color w:val="000000" w:themeColor="text1"/>
                <w:sz w:val="21"/>
                <w:szCs w:val="21"/>
                <w:highlight w:val="none"/>
                <w14:textFill>
                  <w14:solidFill>
                    <w14:schemeClr w14:val="tx1"/>
                  </w14:solidFill>
                </w14:textFill>
              </w:rPr>
              <w:t>4#</w:t>
            </w: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0~50cm</w:t>
            </w:r>
          </w:p>
        </w:tc>
        <w:tc>
          <w:tcPr>
            <w:tcW w:w="2898" w:type="pct"/>
            <w:vMerge w:val="restar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pH、氯离子、硫酸根、钡、全盐量、石油烃（C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10</w:t>
            </w:r>
            <w:r>
              <w:rPr>
                <w:rFonts w:hint="default" w:ascii="Times New Roman" w:hAnsi="Times New Roman" w:cs="Times New Roman"/>
                <w:bCs/>
                <w:color w:val="000000" w:themeColor="text1"/>
                <w:sz w:val="21"/>
                <w:szCs w:val="21"/>
                <w:highlight w:val="none"/>
                <w14:textFill>
                  <w14:solidFill>
                    <w14:schemeClr w14:val="tx1"/>
                  </w14:solidFill>
                </w14:textFill>
              </w:rPr>
              <w:t>~C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40</w:t>
            </w: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0" w:hRule="atLeast"/>
          <w:jc w:val="center"/>
        </w:trPr>
        <w:tc>
          <w:tcPr>
            <w:tcW w:w="35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p>
        </w:tc>
        <w:tc>
          <w:tcPr>
            <w:tcW w:w="524"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150cm</w:t>
            </w:r>
          </w:p>
        </w:tc>
        <w:tc>
          <w:tcPr>
            <w:tcW w:w="289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0" w:hRule="atLeast"/>
          <w:jc w:val="center"/>
        </w:trPr>
        <w:tc>
          <w:tcPr>
            <w:tcW w:w="35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24"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300cm</w:t>
            </w:r>
          </w:p>
        </w:tc>
        <w:tc>
          <w:tcPr>
            <w:tcW w:w="2898"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8" w:type="pct"/>
            <w:vMerge w:val="restart"/>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土壤</w:t>
            </w:r>
          </w:p>
        </w:tc>
        <w:tc>
          <w:tcPr>
            <w:tcW w:w="524"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井场外北侧耕地5#</w:t>
            </w: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0~20cm</w:t>
            </w:r>
          </w:p>
        </w:tc>
        <w:tc>
          <w:tcPr>
            <w:tcW w:w="2898"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pH、镉、汞、砷、铅、铬、铜、镍、锌、氯离子、硫酸根、钡、全盐量、石油烃（C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10</w:t>
            </w:r>
            <w:r>
              <w:rPr>
                <w:rFonts w:hint="default" w:ascii="Times New Roman" w:hAnsi="Times New Roman" w:cs="Times New Roman"/>
                <w:bCs/>
                <w:color w:val="000000" w:themeColor="text1"/>
                <w:sz w:val="21"/>
                <w:szCs w:val="21"/>
                <w:highlight w:val="none"/>
                <w14:textFill>
                  <w14:solidFill>
                    <w14:schemeClr w14:val="tx1"/>
                  </w14:solidFill>
                </w14:textFill>
              </w:rPr>
              <w:t>~C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40</w:t>
            </w: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8"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524" w:type="pct"/>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井场外南侧耕地6#</w:t>
            </w:r>
          </w:p>
        </w:tc>
        <w:tc>
          <w:tcPr>
            <w:tcW w:w="510" w:type="pc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0~20cm</w:t>
            </w:r>
          </w:p>
        </w:tc>
        <w:tc>
          <w:tcPr>
            <w:tcW w:w="289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pH、氯离子、硫酸根、钡、全盐量、石油烃（C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10</w:t>
            </w:r>
            <w:r>
              <w:rPr>
                <w:rFonts w:hint="default" w:ascii="Times New Roman" w:hAnsi="Times New Roman" w:cs="Times New Roman"/>
                <w:bCs/>
                <w:color w:val="000000" w:themeColor="text1"/>
                <w:sz w:val="21"/>
                <w:szCs w:val="21"/>
                <w:highlight w:val="none"/>
                <w14:textFill>
                  <w14:solidFill>
                    <w14:schemeClr w14:val="tx1"/>
                  </w14:solidFill>
                </w14:textFill>
              </w:rPr>
              <w:t>~C</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40</w:t>
            </w: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341"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c>
          <w:tcPr>
            <w:tcW w:w="369" w:type="pct"/>
            <w:vMerge w:val="continue"/>
            <w:vAlign w:val="center"/>
          </w:tcPr>
          <w:p>
            <w:pPr>
              <w:spacing w:line="240" w:lineRule="auto"/>
              <w:ind w:firstLine="0" w:firstLineChars="0"/>
              <w:jc w:val="center"/>
              <w:rPr>
                <w:rFonts w:hint="default" w:ascii="Times New Roman" w:hAnsi="Times New Roman" w:cs="Times New Roman"/>
                <w:color w:val="000000" w:themeColor="text1"/>
                <w:kern w:val="21"/>
                <w:sz w:val="21"/>
                <w:szCs w:val="21"/>
                <w:highlight w:val="none"/>
                <w14:textFill>
                  <w14:solidFill>
                    <w14:schemeClr w14:val="tx1"/>
                  </w14:solidFill>
                </w14:textFill>
              </w:rPr>
            </w:pPr>
          </w:p>
        </w:tc>
      </w:tr>
    </w:tbl>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（2）评价标准</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占地范围内执行《土壤环境质量 建设用地土壤污染风险管控标准（试行）》（GB36600-2018）中的第二类用地筛选值标准，用地范围外执行《土壤环境质量 农用地土壤污染风险管控标准》（GB15618-2018）中土壤污染风险筛选值标准。</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（3）土壤环境现状监测统计</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土壤环境现状监测及评价结果见</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_Ref142600179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11</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_Ref142600183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12</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_Ref142600187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13</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27" w:name="_Ref142600179"/>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11</w:t>
      </w:r>
      <w:r>
        <w:rPr>
          <w:rFonts w:hint="default" w:ascii="Times New Roman" w:hAnsi="Times New Roman" w:cs="Times New Roman"/>
          <w:color w:val="000000" w:themeColor="text1"/>
          <w:highlight w:val="none"/>
          <w14:textFill>
            <w14:solidFill>
              <w14:schemeClr w14:val="tx1"/>
            </w14:solidFill>
          </w14:textFill>
        </w:rPr>
        <w:fldChar w:fldCharType="end"/>
      </w:r>
      <w:bookmarkEnd w:id="227"/>
      <w:r>
        <w:rPr>
          <w:rFonts w:hint="default" w:ascii="Times New Roman" w:hAnsi="Times New Roman" w:cs="Times New Roman"/>
          <w:color w:val="000000" w:themeColor="text1"/>
          <w:highlight w:val="none"/>
          <w14:textFill>
            <w14:solidFill>
              <w14:schemeClr w14:val="tx1"/>
            </w14:solidFill>
          </w14:textFill>
        </w:rPr>
        <w:t xml:space="preserve"> 本项目场外土壤环境现状监测及评价表  单位：mg/kg，pH无量纲</w:t>
      </w:r>
    </w:p>
    <w:tbl>
      <w:tblPr>
        <w:tblStyle w:val="52"/>
        <w:tblW w:w="5000" w:type="pct"/>
        <w:jc w:val="center"/>
        <w:tblLayout w:type="autofit"/>
        <w:tblCellMar>
          <w:top w:w="0" w:type="dxa"/>
          <w:left w:w="0" w:type="dxa"/>
          <w:bottom w:w="0" w:type="dxa"/>
          <w:right w:w="0" w:type="dxa"/>
        </w:tblCellMar>
      </w:tblPr>
      <w:tblGrid>
        <w:gridCol w:w="529"/>
        <w:gridCol w:w="1684"/>
        <w:gridCol w:w="1731"/>
        <w:gridCol w:w="2193"/>
        <w:gridCol w:w="2183"/>
      </w:tblGrid>
      <w:tr>
        <w:tblPrEx>
          <w:tblCellMar>
            <w:top w:w="0" w:type="dxa"/>
            <w:left w:w="0" w:type="dxa"/>
            <w:bottom w:w="0" w:type="dxa"/>
            <w:right w:w="0" w:type="dxa"/>
          </w:tblCellMar>
        </w:tblPrEx>
        <w:trPr>
          <w:trHeight w:val="454" w:hRule="atLeast"/>
          <w:tblHeader/>
          <w:jc w:val="center"/>
        </w:trPr>
        <w:tc>
          <w:tcPr>
            <w:tcW w:w="1330" w:type="pct"/>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pPr>
              <w:spacing w:line="240" w:lineRule="auto"/>
              <w:ind w:firstLine="0" w:firstLineChars="0"/>
              <w:jc w:val="right"/>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监测因子</w:t>
            </w:r>
          </w:p>
          <w:p>
            <w:pPr>
              <w:spacing w:line="240" w:lineRule="auto"/>
              <w:ind w:right="550" w:firstLine="0" w:firstLineChars="0"/>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监测点</w:t>
            </w:r>
          </w:p>
        </w:tc>
        <w:tc>
          <w:tcPr>
            <w:tcW w:w="1040" w:type="pct"/>
            <w:tcBorders>
              <w:top w:val="single" w:color="auto" w:sz="4" w:space="0"/>
              <w:left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pH</w:t>
            </w:r>
          </w:p>
        </w:tc>
        <w:tc>
          <w:tcPr>
            <w:tcW w:w="1318" w:type="pct"/>
            <w:tcBorders>
              <w:top w:val="single" w:color="auto" w:sz="4" w:space="0"/>
              <w:left w:val="single" w:color="auto" w:sz="4" w:space="0"/>
              <w:right w:val="single" w:color="auto" w:sz="4" w:space="0"/>
            </w:tcBorders>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石油烃〔C</w:t>
            </w:r>
            <w:r>
              <w:rPr>
                <w:rFonts w:hint="default" w:ascii="Times New Roman" w:hAnsi="Times New Roman" w:eastAsia="黑体" w:cs="Times New Roman"/>
                <w:b/>
                <w:bCs/>
                <w:color w:val="000000" w:themeColor="text1"/>
                <w:sz w:val="21"/>
                <w:szCs w:val="21"/>
                <w:highlight w:val="none"/>
                <w:vertAlign w:val="subscript"/>
                <w14:textFill>
                  <w14:solidFill>
                    <w14:schemeClr w14:val="tx1"/>
                  </w14:solidFill>
                </w14:textFill>
              </w:rPr>
              <w:t>10</w:t>
            </w:r>
            <w:r>
              <w:rPr>
                <w:rFonts w:hint="default" w:ascii="Times New Roman" w:hAnsi="Times New Roman" w:eastAsia="黑体" w:cs="Times New Roman"/>
                <w:b/>
                <w:bCs/>
                <w:color w:val="000000" w:themeColor="text1"/>
                <w:sz w:val="21"/>
                <w:szCs w:val="21"/>
                <w:highlight w:val="none"/>
                <w14:textFill>
                  <w14:solidFill>
                    <w14:schemeClr w14:val="tx1"/>
                  </w14:solidFill>
                </w14:textFill>
              </w:rPr>
              <w:t>-C</w:t>
            </w:r>
            <w:r>
              <w:rPr>
                <w:rFonts w:hint="default" w:ascii="Times New Roman" w:hAnsi="Times New Roman" w:eastAsia="黑体" w:cs="Times New Roman"/>
                <w:b/>
                <w:bCs/>
                <w:color w:val="000000" w:themeColor="text1"/>
                <w:sz w:val="21"/>
                <w:szCs w:val="21"/>
                <w:highlight w:val="none"/>
                <w:vertAlign w:val="subscript"/>
                <w14:textFill>
                  <w14:solidFill>
                    <w14:schemeClr w14:val="tx1"/>
                  </w14:solidFill>
                </w14:textFill>
              </w:rPr>
              <w:t>40</w:t>
            </w:r>
            <w:r>
              <w:rPr>
                <w:rFonts w:hint="default" w:ascii="Times New Roman" w:hAnsi="Times New Roman" w:eastAsia="黑体" w:cs="Times New Roman"/>
                <w:b/>
                <w:bCs/>
                <w:color w:val="000000" w:themeColor="text1"/>
                <w:sz w:val="21"/>
                <w:szCs w:val="21"/>
                <w:highlight w:val="none"/>
                <w14:textFill>
                  <w14:solidFill>
                    <w14:schemeClr w14:val="tx1"/>
                  </w14:solidFill>
                </w14:textFill>
              </w:rPr>
              <w:t>〕（mg/kg）</w:t>
            </w:r>
          </w:p>
        </w:tc>
        <w:tc>
          <w:tcPr>
            <w:tcW w:w="13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全盐量（g/kg）</w:t>
            </w:r>
          </w:p>
        </w:tc>
      </w:tr>
      <w:tr>
        <w:tblPrEx>
          <w:tblCellMar>
            <w:top w:w="0" w:type="dxa"/>
            <w:left w:w="0" w:type="dxa"/>
            <w:bottom w:w="0" w:type="dxa"/>
            <w:right w:w="0" w:type="dxa"/>
          </w:tblCellMar>
        </w:tblPrEx>
        <w:trPr>
          <w:trHeight w:val="454" w:hRule="atLeast"/>
          <w:jc w:val="center"/>
        </w:trPr>
        <w:tc>
          <w:tcPr>
            <w:tcW w:w="318" w:type="pct"/>
            <w:vMerge w:val="restart"/>
            <w:tcBorders>
              <w:top w:val="single" w:color="auto" w:sz="4" w:space="0"/>
              <w:left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10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50cm</w:t>
            </w:r>
          </w:p>
        </w:tc>
        <w:tc>
          <w:tcPr>
            <w:tcW w:w="104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6.63</w:t>
            </w:r>
          </w:p>
        </w:tc>
        <w:tc>
          <w:tcPr>
            <w:tcW w:w="131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w:t>
            </w:r>
          </w:p>
        </w:tc>
        <w:tc>
          <w:tcPr>
            <w:tcW w:w="13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1.51</w:t>
            </w:r>
          </w:p>
        </w:tc>
      </w:tr>
      <w:tr>
        <w:tblPrEx>
          <w:tblCellMar>
            <w:top w:w="0" w:type="dxa"/>
            <w:left w:w="0" w:type="dxa"/>
            <w:bottom w:w="0" w:type="dxa"/>
            <w:right w:w="0" w:type="dxa"/>
          </w:tblCellMar>
        </w:tblPrEx>
        <w:trPr>
          <w:trHeight w:val="454" w:hRule="atLeast"/>
          <w:jc w:val="center"/>
        </w:trPr>
        <w:tc>
          <w:tcPr>
            <w:tcW w:w="318" w:type="pct"/>
            <w:vMerge w:val="continue"/>
            <w:tcBorders>
              <w:left w:val="single" w:color="auto" w:sz="4" w:space="0"/>
              <w:right w:val="single" w:color="auto" w:sz="4" w:space="0"/>
            </w:tcBorders>
            <w:shd w:val="clear" w:color="auto" w:fill="auto"/>
            <w:noWrap/>
            <w:vAlign w:val="center"/>
          </w:tcPr>
          <w:p>
            <w:pPr>
              <w:spacing w:line="240" w:lineRule="auto"/>
              <w:ind w:firstLine="42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0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150cm</w:t>
            </w:r>
          </w:p>
        </w:tc>
        <w:tc>
          <w:tcPr>
            <w:tcW w:w="104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6.74</w:t>
            </w:r>
          </w:p>
        </w:tc>
        <w:tc>
          <w:tcPr>
            <w:tcW w:w="131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46</w:t>
            </w:r>
          </w:p>
        </w:tc>
        <w:tc>
          <w:tcPr>
            <w:tcW w:w="13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1.76</w:t>
            </w:r>
          </w:p>
        </w:tc>
      </w:tr>
      <w:tr>
        <w:tblPrEx>
          <w:tblCellMar>
            <w:top w:w="0" w:type="dxa"/>
            <w:left w:w="0" w:type="dxa"/>
            <w:bottom w:w="0" w:type="dxa"/>
            <w:right w:w="0" w:type="dxa"/>
          </w:tblCellMar>
        </w:tblPrEx>
        <w:trPr>
          <w:trHeight w:val="454" w:hRule="atLeast"/>
          <w:jc w:val="center"/>
        </w:trPr>
        <w:tc>
          <w:tcPr>
            <w:tcW w:w="318" w:type="pct"/>
            <w:vMerge w:val="continue"/>
            <w:tcBorders>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0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300cm</w:t>
            </w:r>
          </w:p>
        </w:tc>
        <w:tc>
          <w:tcPr>
            <w:tcW w:w="104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6.55</w:t>
            </w:r>
          </w:p>
        </w:tc>
        <w:tc>
          <w:tcPr>
            <w:tcW w:w="131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44</w:t>
            </w:r>
          </w:p>
        </w:tc>
        <w:tc>
          <w:tcPr>
            <w:tcW w:w="13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1.29</w:t>
            </w:r>
          </w:p>
        </w:tc>
      </w:tr>
      <w:tr>
        <w:tblPrEx>
          <w:tblCellMar>
            <w:top w:w="0" w:type="dxa"/>
            <w:left w:w="0" w:type="dxa"/>
            <w:bottom w:w="0" w:type="dxa"/>
            <w:right w:w="0" w:type="dxa"/>
          </w:tblCellMar>
        </w:tblPrEx>
        <w:trPr>
          <w:trHeight w:val="454" w:hRule="atLeast"/>
          <w:jc w:val="center"/>
        </w:trPr>
        <w:tc>
          <w:tcPr>
            <w:tcW w:w="318" w:type="pct"/>
            <w:vMerge w:val="restart"/>
            <w:tcBorders>
              <w:top w:val="single" w:color="auto" w:sz="4" w:space="0"/>
              <w:left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w:t>
            </w:r>
          </w:p>
        </w:tc>
        <w:tc>
          <w:tcPr>
            <w:tcW w:w="10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50cm</w:t>
            </w:r>
          </w:p>
        </w:tc>
        <w:tc>
          <w:tcPr>
            <w:tcW w:w="104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7.02</w:t>
            </w:r>
          </w:p>
        </w:tc>
        <w:tc>
          <w:tcPr>
            <w:tcW w:w="131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22</w:t>
            </w:r>
          </w:p>
        </w:tc>
        <w:tc>
          <w:tcPr>
            <w:tcW w:w="13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0.89</w:t>
            </w:r>
          </w:p>
        </w:tc>
      </w:tr>
      <w:tr>
        <w:tblPrEx>
          <w:tblCellMar>
            <w:top w:w="0" w:type="dxa"/>
            <w:left w:w="0" w:type="dxa"/>
            <w:bottom w:w="0" w:type="dxa"/>
            <w:right w:w="0" w:type="dxa"/>
          </w:tblCellMar>
        </w:tblPrEx>
        <w:trPr>
          <w:trHeight w:val="454" w:hRule="atLeast"/>
          <w:jc w:val="center"/>
        </w:trPr>
        <w:tc>
          <w:tcPr>
            <w:tcW w:w="318" w:type="pct"/>
            <w:vMerge w:val="continue"/>
            <w:tcBorders>
              <w:left w:val="single" w:color="auto" w:sz="4" w:space="0"/>
              <w:right w:val="single" w:color="auto" w:sz="4" w:space="0"/>
            </w:tcBorders>
            <w:shd w:val="clear" w:color="auto" w:fill="auto"/>
            <w:noWrap/>
            <w:vAlign w:val="center"/>
          </w:tcPr>
          <w:p>
            <w:pPr>
              <w:spacing w:line="240" w:lineRule="auto"/>
              <w:ind w:firstLine="42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0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150cm</w:t>
            </w:r>
          </w:p>
        </w:tc>
        <w:tc>
          <w:tcPr>
            <w:tcW w:w="104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7.22</w:t>
            </w:r>
          </w:p>
        </w:tc>
        <w:tc>
          <w:tcPr>
            <w:tcW w:w="131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24</w:t>
            </w:r>
          </w:p>
        </w:tc>
        <w:tc>
          <w:tcPr>
            <w:tcW w:w="13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0.87</w:t>
            </w:r>
          </w:p>
        </w:tc>
      </w:tr>
      <w:tr>
        <w:tblPrEx>
          <w:tblCellMar>
            <w:top w:w="0" w:type="dxa"/>
            <w:left w:w="0" w:type="dxa"/>
            <w:bottom w:w="0" w:type="dxa"/>
            <w:right w:w="0" w:type="dxa"/>
          </w:tblCellMar>
        </w:tblPrEx>
        <w:trPr>
          <w:trHeight w:val="454" w:hRule="atLeast"/>
          <w:jc w:val="center"/>
        </w:trPr>
        <w:tc>
          <w:tcPr>
            <w:tcW w:w="318" w:type="pct"/>
            <w:vMerge w:val="continue"/>
            <w:tcBorders>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0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300cm</w:t>
            </w:r>
          </w:p>
        </w:tc>
        <w:tc>
          <w:tcPr>
            <w:tcW w:w="104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7.05</w:t>
            </w:r>
          </w:p>
        </w:tc>
        <w:tc>
          <w:tcPr>
            <w:tcW w:w="131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w:t>
            </w:r>
          </w:p>
        </w:tc>
        <w:tc>
          <w:tcPr>
            <w:tcW w:w="13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0.74</w:t>
            </w:r>
          </w:p>
        </w:tc>
      </w:tr>
      <w:tr>
        <w:tblPrEx>
          <w:tblCellMar>
            <w:top w:w="0" w:type="dxa"/>
            <w:left w:w="0" w:type="dxa"/>
            <w:bottom w:w="0" w:type="dxa"/>
            <w:right w:w="0" w:type="dxa"/>
          </w:tblCellMar>
        </w:tblPrEx>
        <w:trPr>
          <w:trHeight w:val="454" w:hRule="atLeast"/>
          <w:jc w:val="center"/>
        </w:trPr>
        <w:tc>
          <w:tcPr>
            <w:tcW w:w="318" w:type="pct"/>
            <w:tcBorders>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w:t>
            </w:r>
          </w:p>
        </w:tc>
        <w:tc>
          <w:tcPr>
            <w:tcW w:w="10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30cm</w:t>
            </w:r>
          </w:p>
        </w:tc>
        <w:tc>
          <w:tcPr>
            <w:tcW w:w="104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7.18</w:t>
            </w:r>
          </w:p>
        </w:tc>
        <w:tc>
          <w:tcPr>
            <w:tcW w:w="131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35</w:t>
            </w:r>
          </w:p>
        </w:tc>
        <w:tc>
          <w:tcPr>
            <w:tcW w:w="13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0.87</w:t>
            </w:r>
          </w:p>
        </w:tc>
      </w:tr>
      <w:tr>
        <w:tblPrEx>
          <w:tblCellMar>
            <w:top w:w="0" w:type="dxa"/>
            <w:left w:w="0" w:type="dxa"/>
            <w:bottom w:w="0" w:type="dxa"/>
            <w:right w:w="0" w:type="dxa"/>
          </w:tblCellMar>
        </w:tblPrEx>
        <w:trPr>
          <w:trHeight w:val="454" w:hRule="atLeast"/>
          <w:jc w:val="center"/>
        </w:trPr>
        <w:tc>
          <w:tcPr>
            <w:tcW w:w="133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标准值</w:t>
            </w:r>
          </w:p>
        </w:tc>
        <w:tc>
          <w:tcPr>
            <w:tcW w:w="1040"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31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4500（826）</w:t>
            </w:r>
          </w:p>
        </w:tc>
        <w:tc>
          <w:tcPr>
            <w:tcW w:w="13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bl>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28" w:name="_Ref142600183"/>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12</w:t>
      </w:r>
      <w:r>
        <w:rPr>
          <w:rFonts w:hint="default" w:ascii="Times New Roman" w:hAnsi="Times New Roman" w:cs="Times New Roman"/>
          <w:color w:val="000000" w:themeColor="text1"/>
          <w:highlight w:val="none"/>
          <w14:textFill>
            <w14:solidFill>
              <w14:schemeClr w14:val="tx1"/>
            </w14:solidFill>
          </w14:textFill>
        </w:rPr>
        <w:fldChar w:fldCharType="end"/>
      </w:r>
      <w:bookmarkEnd w:id="228"/>
      <w:r>
        <w:rPr>
          <w:rFonts w:hint="default" w:ascii="Times New Roman" w:hAnsi="Times New Roman" w:cs="Times New Roman"/>
          <w:color w:val="000000" w:themeColor="text1"/>
          <w:highlight w:val="none"/>
          <w14:textFill>
            <w14:solidFill>
              <w14:schemeClr w14:val="tx1"/>
            </w14:solidFill>
          </w14:textFill>
        </w:rPr>
        <w:t xml:space="preserve"> 本项目场内外土壤环境现状监测及评价表  单位：mg/kg，pH无量纲</w:t>
      </w:r>
    </w:p>
    <w:tbl>
      <w:tblPr>
        <w:tblStyle w:val="52"/>
        <w:tblW w:w="5000" w:type="pct"/>
        <w:jc w:val="center"/>
        <w:tblLayout w:type="autofit"/>
        <w:tblCellMar>
          <w:top w:w="15" w:type="dxa"/>
          <w:left w:w="15" w:type="dxa"/>
          <w:bottom w:w="15" w:type="dxa"/>
          <w:right w:w="15" w:type="dxa"/>
        </w:tblCellMar>
      </w:tblPr>
      <w:tblGrid>
        <w:gridCol w:w="756"/>
        <w:gridCol w:w="994"/>
        <w:gridCol w:w="712"/>
        <w:gridCol w:w="776"/>
        <w:gridCol w:w="554"/>
        <w:gridCol w:w="554"/>
        <w:gridCol w:w="554"/>
        <w:gridCol w:w="554"/>
        <w:gridCol w:w="555"/>
        <w:gridCol w:w="555"/>
        <w:gridCol w:w="555"/>
        <w:gridCol w:w="555"/>
        <w:gridCol w:w="666"/>
      </w:tblGrid>
      <w:tr>
        <w:tblPrEx>
          <w:tblCellMar>
            <w:top w:w="15" w:type="dxa"/>
            <w:left w:w="15" w:type="dxa"/>
            <w:bottom w:w="15" w:type="dxa"/>
            <w:right w:w="15" w:type="dxa"/>
          </w:tblCellMar>
        </w:tblPrEx>
        <w:trPr>
          <w:trHeight w:val="454" w:hRule="atLeast"/>
          <w:jc w:val="center"/>
        </w:trPr>
        <w:tc>
          <w:tcPr>
            <w:tcW w:w="1049" w:type="pct"/>
            <w:gridSpan w:val="2"/>
            <w:tcBorders>
              <w:top w:val="single" w:color="000000" w:sz="4" w:space="0"/>
              <w:left w:val="single" w:color="000000" w:sz="4" w:space="0"/>
              <w:bottom w:val="single" w:color="000000" w:sz="4" w:space="0"/>
              <w:right w:val="single" w:color="000000" w:sz="4" w:space="0"/>
              <w:tl2br w:val="single" w:color="auto" w:sz="4" w:space="0"/>
            </w:tcBorders>
            <w:noWrap/>
            <w:vAlign w:val="center"/>
          </w:tcPr>
          <w:p>
            <w:pPr>
              <w:widowControl/>
              <w:adjustRightInd/>
              <w:snapToGrid/>
              <w:spacing w:line="240" w:lineRule="auto"/>
              <w:ind w:firstLine="0" w:firstLineChars="0"/>
              <w:jc w:val="right"/>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监测项目</w:t>
            </w:r>
          </w:p>
          <w:p>
            <w:pPr>
              <w:widowControl/>
              <w:adjustRightInd/>
              <w:snapToGrid/>
              <w:spacing w:line="240" w:lineRule="auto"/>
              <w:ind w:firstLine="0" w:firstLineChars="0"/>
              <w:jc w:val="left"/>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监测点</w:t>
            </w:r>
          </w:p>
        </w:tc>
        <w:tc>
          <w:tcPr>
            <w:tcW w:w="427"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pH</w:t>
            </w:r>
          </w:p>
        </w:tc>
        <w:tc>
          <w:tcPr>
            <w:tcW w:w="465"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砷</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镉</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铜</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铅</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汞</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镍</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总铬</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锌</w:t>
            </w:r>
          </w:p>
        </w:tc>
        <w:tc>
          <w:tcPr>
            <w:tcW w:w="333"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石油烃</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kern w:val="0"/>
                <w:sz w:val="21"/>
                <w:szCs w:val="21"/>
                <w:highlight w:val="none"/>
                <w14:textFill>
                  <w14:solidFill>
                    <w14:schemeClr w14:val="tx1"/>
                  </w14:solidFill>
                </w14:textFill>
              </w:rPr>
              <w:t>全盐量</w:t>
            </w:r>
          </w:p>
        </w:tc>
      </w:tr>
      <w:tr>
        <w:tblPrEx>
          <w:tblCellMar>
            <w:top w:w="15" w:type="dxa"/>
            <w:left w:w="15" w:type="dxa"/>
            <w:bottom w:w="15" w:type="dxa"/>
            <w:right w:w="15" w:type="dxa"/>
          </w:tblCellMar>
        </w:tblPrEx>
        <w:trPr>
          <w:trHeight w:val="454" w:hRule="atLeast"/>
          <w:jc w:val="center"/>
        </w:trPr>
        <w:tc>
          <w:tcPr>
            <w:tcW w:w="453" w:type="pct"/>
            <w:tcBorders>
              <w:top w:val="single" w:color="000000" w:sz="4" w:space="0"/>
              <w:left w:val="single" w:color="000000" w:sz="4" w:space="0"/>
              <w:bottom w:val="single" w:color="auto"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5#</w:t>
            </w:r>
          </w:p>
        </w:tc>
        <w:tc>
          <w:tcPr>
            <w:tcW w:w="596" w:type="pct"/>
            <w:tcBorders>
              <w:top w:val="single" w:color="000000" w:sz="4" w:space="0"/>
              <w:left w:val="single" w:color="000000" w:sz="4" w:space="0"/>
              <w:bottom w:val="single" w:color="auto"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监测值</w:t>
            </w:r>
          </w:p>
        </w:tc>
        <w:tc>
          <w:tcPr>
            <w:tcW w:w="427"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7.16</w:t>
            </w:r>
          </w:p>
        </w:tc>
        <w:tc>
          <w:tcPr>
            <w:tcW w:w="465"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2.48</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0.17</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8</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15.5</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0.051</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6</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62</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66</w:t>
            </w:r>
          </w:p>
        </w:tc>
        <w:tc>
          <w:tcPr>
            <w:tcW w:w="333"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26</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0.46</w:t>
            </w:r>
          </w:p>
        </w:tc>
      </w:tr>
      <w:tr>
        <w:tblPrEx>
          <w:tblCellMar>
            <w:top w:w="15" w:type="dxa"/>
            <w:left w:w="15" w:type="dxa"/>
            <w:bottom w:w="15" w:type="dxa"/>
            <w:right w:w="15" w:type="dxa"/>
          </w:tblCellMar>
        </w:tblPrEx>
        <w:trPr>
          <w:trHeight w:val="454" w:hRule="atLeast"/>
          <w:jc w:val="center"/>
        </w:trPr>
        <w:tc>
          <w:tcPr>
            <w:tcW w:w="1049" w:type="pct"/>
            <w:gridSpan w:val="2"/>
            <w:tcBorders>
              <w:top w:val="single" w:color="auto" w:sz="4" w:space="0"/>
              <w:left w:val="single" w:color="000000" w:sz="4" w:space="0"/>
              <w:bottom w:val="single" w:color="auto" w:sz="4" w:space="0"/>
              <w:right w:val="single" w:color="000000" w:sz="4" w:space="0"/>
            </w:tcBorders>
            <w:vAlign w:val="center"/>
          </w:tcPr>
          <w:p>
            <w:pPr>
              <w:widowControl/>
              <w:adjustRightInd/>
              <w:snapToGrid/>
              <w:spacing w:line="240" w:lineRule="auto"/>
              <w:ind w:firstLine="0" w:firstLineChars="0"/>
              <w:jc w:val="cente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标准值</w:t>
            </w:r>
          </w:p>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pH＞7.5</w:t>
            </w:r>
            <w:r>
              <w:rPr>
                <w:rFonts w:hint="default" w:ascii="Times New Roman" w:hAnsi="Times New Roman" w:cs="Times New Roman"/>
                <w:color w:val="000000" w:themeColor="text1"/>
                <w:kern w:val="0"/>
                <w:sz w:val="21"/>
                <w:szCs w:val="21"/>
                <w:highlight w:val="none"/>
                <w14:textFill>
                  <w14:solidFill>
                    <w14:schemeClr w14:val="tx1"/>
                  </w14:solidFill>
                </w14:textFill>
              </w:rPr>
              <w:t>（其他）</w:t>
            </w:r>
          </w:p>
        </w:tc>
        <w:tc>
          <w:tcPr>
            <w:tcW w:w="427"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c>
          <w:tcPr>
            <w:tcW w:w="465"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25</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0.6</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100</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170</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3.4</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190</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250</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300</w:t>
            </w:r>
          </w:p>
        </w:tc>
        <w:tc>
          <w:tcPr>
            <w:tcW w:w="333"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r>
      <w:tr>
        <w:tblPrEx>
          <w:tblCellMar>
            <w:top w:w="15" w:type="dxa"/>
            <w:left w:w="15" w:type="dxa"/>
            <w:bottom w:w="15" w:type="dxa"/>
            <w:right w:w="15" w:type="dxa"/>
          </w:tblCellMar>
        </w:tblPrEx>
        <w:trPr>
          <w:trHeight w:val="454" w:hRule="atLeast"/>
          <w:jc w:val="center"/>
        </w:trPr>
        <w:tc>
          <w:tcPr>
            <w:tcW w:w="1049" w:type="pct"/>
            <w:gridSpan w:val="2"/>
            <w:tcBorders>
              <w:top w:val="single" w:color="auto"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是否满足</w:t>
            </w:r>
          </w:p>
        </w:tc>
        <w:tc>
          <w:tcPr>
            <w:tcW w:w="427"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c>
          <w:tcPr>
            <w:tcW w:w="465"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满足</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满足</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满足</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满足</w:t>
            </w:r>
          </w:p>
        </w:tc>
        <w:tc>
          <w:tcPr>
            <w:tcW w:w="332"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满足</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满足</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满足</w:t>
            </w:r>
          </w:p>
        </w:tc>
        <w:tc>
          <w:tcPr>
            <w:tcW w:w="333"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满足</w:t>
            </w:r>
          </w:p>
        </w:tc>
        <w:tc>
          <w:tcPr>
            <w:tcW w:w="333"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w:t>
            </w:r>
          </w:p>
        </w:tc>
      </w:tr>
    </w:tbl>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29" w:name="_Ref142600187"/>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13</w:t>
      </w:r>
      <w:r>
        <w:rPr>
          <w:rFonts w:hint="default" w:ascii="Times New Roman" w:hAnsi="Times New Roman" w:cs="Times New Roman"/>
          <w:color w:val="000000" w:themeColor="text1"/>
          <w:highlight w:val="none"/>
          <w14:textFill>
            <w14:solidFill>
              <w14:schemeClr w14:val="tx1"/>
            </w14:solidFill>
          </w14:textFill>
        </w:rPr>
        <w:fldChar w:fldCharType="end"/>
      </w:r>
      <w:bookmarkEnd w:id="229"/>
      <w:r>
        <w:rPr>
          <w:rFonts w:hint="default" w:ascii="Times New Roman" w:hAnsi="Times New Roman" w:cs="Times New Roman"/>
          <w:color w:val="000000" w:themeColor="text1"/>
          <w:highlight w:val="none"/>
          <w14:textFill>
            <w14:solidFill>
              <w14:schemeClr w14:val="tx1"/>
            </w14:solidFill>
          </w14:textFill>
        </w:rPr>
        <w:t xml:space="preserve"> 场内土壤环境现状监测结果</w:t>
      </w:r>
    </w:p>
    <w:tbl>
      <w:tblPr>
        <w:tblStyle w:val="52"/>
        <w:tblW w:w="5000" w:type="pct"/>
        <w:jc w:val="center"/>
        <w:tblLayout w:type="autofit"/>
        <w:tblCellMar>
          <w:top w:w="0" w:type="dxa"/>
          <w:left w:w="0" w:type="dxa"/>
          <w:bottom w:w="0" w:type="dxa"/>
          <w:right w:w="0" w:type="dxa"/>
        </w:tblCellMar>
      </w:tblPr>
      <w:tblGrid>
        <w:gridCol w:w="1203"/>
        <w:gridCol w:w="824"/>
        <w:gridCol w:w="988"/>
        <w:gridCol w:w="849"/>
        <w:gridCol w:w="852"/>
        <w:gridCol w:w="864"/>
        <w:gridCol w:w="872"/>
        <w:gridCol w:w="978"/>
        <w:gridCol w:w="890"/>
      </w:tblGrid>
      <w:tr>
        <w:tblPrEx>
          <w:tblCellMar>
            <w:top w:w="0" w:type="dxa"/>
            <w:left w:w="0" w:type="dxa"/>
            <w:bottom w:w="0" w:type="dxa"/>
            <w:right w:w="0" w:type="dxa"/>
          </w:tblCellMar>
        </w:tblPrEx>
        <w:trPr>
          <w:trHeight w:val="234" w:hRule="atLeast"/>
          <w:tblHeader/>
          <w:jc w:val="center"/>
        </w:trPr>
        <w:tc>
          <w:tcPr>
            <w:tcW w:w="72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监测因子</w:t>
            </w:r>
          </w:p>
        </w:tc>
        <w:tc>
          <w:tcPr>
            <w:tcW w:w="495" w:type="pct"/>
            <w:vMerge w:val="restart"/>
            <w:tcBorders>
              <w:top w:val="single" w:color="auto" w:sz="4" w:space="0"/>
              <w:left w:val="nil"/>
              <w:right w:val="single" w:color="auto" w:sz="4" w:space="0"/>
            </w:tcBorders>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单位</w:t>
            </w: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1#土壤</w:t>
            </w:r>
          </w:p>
        </w:tc>
        <w:tc>
          <w:tcPr>
            <w:tcW w:w="510" w:type="pct"/>
            <w:vMerge w:val="restart"/>
            <w:tcBorders>
              <w:top w:val="single" w:color="auto" w:sz="4" w:space="0"/>
              <w:left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是否满足</w:t>
            </w:r>
          </w:p>
        </w:tc>
        <w:tc>
          <w:tcPr>
            <w:tcW w:w="1555"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3#土壤点</w:t>
            </w:r>
          </w:p>
        </w:tc>
        <w:tc>
          <w:tcPr>
            <w:tcW w:w="588" w:type="pct"/>
            <w:vMerge w:val="restart"/>
            <w:tcBorders>
              <w:top w:val="single" w:color="auto" w:sz="4" w:space="0"/>
              <w:left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是否满足</w:t>
            </w:r>
          </w:p>
        </w:tc>
        <w:tc>
          <w:tcPr>
            <w:tcW w:w="535" w:type="pct"/>
            <w:vMerge w:val="restart"/>
            <w:tcBorders>
              <w:top w:val="single" w:color="auto" w:sz="4" w:space="0"/>
              <w:left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标准值</w:t>
            </w:r>
          </w:p>
        </w:tc>
      </w:tr>
      <w:tr>
        <w:tblPrEx>
          <w:tblCellMar>
            <w:top w:w="0" w:type="dxa"/>
            <w:left w:w="0" w:type="dxa"/>
            <w:bottom w:w="0" w:type="dxa"/>
            <w:right w:w="0" w:type="dxa"/>
          </w:tblCellMar>
        </w:tblPrEx>
        <w:trPr>
          <w:trHeight w:val="667" w:hRule="atLeast"/>
          <w:tblHeader/>
          <w:jc w:val="center"/>
        </w:trPr>
        <w:tc>
          <w:tcPr>
            <w:tcW w:w="72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p>
        </w:tc>
        <w:tc>
          <w:tcPr>
            <w:tcW w:w="495" w:type="pct"/>
            <w:vMerge w:val="continue"/>
            <w:tcBorders>
              <w:top w:val="single" w:color="auto" w:sz="4" w:space="0"/>
              <w:left w:val="nil"/>
              <w:right w:val="single" w:color="auto" w:sz="4" w:space="0"/>
            </w:tcBorders>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50cm</w:t>
            </w:r>
          </w:p>
        </w:tc>
        <w:tc>
          <w:tcPr>
            <w:tcW w:w="510" w:type="pct"/>
            <w:vMerge w:val="continue"/>
            <w:tcBorders>
              <w:left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p>
        </w:tc>
        <w:tc>
          <w:tcPr>
            <w:tcW w:w="5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50cm</w:t>
            </w:r>
          </w:p>
        </w:tc>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150cm</w:t>
            </w:r>
          </w:p>
        </w:tc>
        <w:tc>
          <w:tcPr>
            <w:tcW w:w="52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300cm</w:t>
            </w:r>
          </w:p>
        </w:tc>
        <w:tc>
          <w:tcPr>
            <w:tcW w:w="588" w:type="pct"/>
            <w:vMerge w:val="continue"/>
            <w:tcBorders>
              <w:left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p>
        </w:tc>
        <w:tc>
          <w:tcPr>
            <w:tcW w:w="535" w:type="pct"/>
            <w:vMerge w:val="continue"/>
            <w:tcBorders>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p>
        </w:tc>
      </w:tr>
      <w:tr>
        <w:tblPrEx>
          <w:tblCellMar>
            <w:top w:w="0" w:type="dxa"/>
            <w:left w:w="0" w:type="dxa"/>
            <w:bottom w:w="0" w:type="dxa"/>
            <w:right w:w="0" w:type="dxa"/>
          </w:tblCellMar>
        </w:tblPrEx>
        <w:trPr>
          <w:trHeight w:val="454" w:hRule="atLeast"/>
          <w:tblHeader/>
          <w:jc w:val="center"/>
        </w:trPr>
        <w:tc>
          <w:tcPr>
            <w:tcW w:w="723"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p>
        </w:tc>
        <w:tc>
          <w:tcPr>
            <w:tcW w:w="495" w:type="pct"/>
            <w:vMerge w:val="continue"/>
            <w:tcBorders>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监测值</w:t>
            </w:r>
          </w:p>
        </w:tc>
        <w:tc>
          <w:tcPr>
            <w:tcW w:w="510" w:type="pct"/>
            <w:vMerge w:val="continue"/>
            <w:tcBorders>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监测值</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监测值</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r>
              <w:rPr>
                <w:rFonts w:hint="default" w:ascii="Times New Roman" w:hAnsi="Times New Roman" w:eastAsia="黑体" w:cs="Times New Roman"/>
                <w:b/>
                <w:bCs/>
                <w:color w:val="000000" w:themeColor="text1"/>
                <w:sz w:val="21"/>
                <w:szCs w:val="24"/>
                <w:highlight w:val="none"/>
                <w14:textFill>
                  <w14:solidFill>
                    <w14:schemeClr w14:val="tx1"/>
                  </w14:solidFill>
                </w14:textFill>
              </w:rPr>
              <w:t>监测值</w:t>
            </w:r>
          </w:p>
        </w:tc>
        <w:tc>
          <w:tcPr>
            <w:tcW w:w="588" w:type="pct"/>
            <w:vMerge w:val="continue"/>
            <w:tcBorders>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eastAsia="黑体" w:cs="Times New Roman"/>
                <w:b/>
                <w:bCs/>
                <w:color w:val="000000" w:themeColor="text1"/>
                <w:sz w:val="21"/>
                <w:szCs w:val="24"/>
                <w:highlight w:val="none"/>
                <w14:textFill>
                  <w14:solidFill>
                    <w14:schemeClr w14:val="tx1"/>
                  </w14:solidFill>
                </w14:textFill>
              </w:rPr>
            </w:pPr>
          </w:p>
        </w:tc>
        <w:tc>
          <w:tcPr>
            <w:tcW w:w="53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pH</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无量纲</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6.73</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2.64</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2.36</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4.21</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2.40</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60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镉</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0.46</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0.17</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0.20</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0.14</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65</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六价铬</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1.2</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1.4</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1.5</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1.7</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5.7</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铜</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12</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8</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10</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8</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18000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铅</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20.4</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19.1</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17.7</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16.3</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800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汞</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0.058</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0.047</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0.075</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0.053</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38</w:t>
            </w:r>
          </w:p>
        </w:tc>
      </w:tr>
      <w:tr>
        <w:tblPrEx>
          <w:tblCellMar>
            <w:top w:w="0" w:type="dxa"/>
            <w:left w:w="0" w:type="dxa"/>
            <w:bottom w:w="0" w:type="dxa"/>
            <w:right w:w="0" w:type="dxa"/>
          </w:tblCellMar>
        </w:tblPrEx>
        <w:trPr>
          <w:trHeight w:val="454" w:hRule="atLeast"/>
          <w:jc w:val="center"/>
        </w:trPr>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镍</w:t>
            </w:r>
          </w:p>
        </w:tc>
        <w:tc>
          <w:tcPr>
            <w:tcW w:w="49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19</w:t>
            </w:r>
          </w:p>
        </w:tc>
        <w:tc>
          <w:tcPr>
            <w:tcW w:w="510"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11</w:t>
            </w:r>
          </w:p>
        </w:tc>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8</w:t>
            </w:r>
          </w:p>
        </w:tc>
        <w:tc>
          <w:tcPr>
            <w:tcW w:w="52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11</w:t>
            </w:r>
          </w:p>
        </w:tc>
        <w:tc>
          <w:tcPr>
            <w:tcW w:w="588"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900</w:t>
            </w:r>
          </w:p>
        </w:tc>
      </w:tr>
      <w:tr>
        <w:tblPrEx>
          <w:tblCellMar>
            <w:top w:w="0" w:type="dxa"/>
            <w:left w:w="0" w:type="dxa"/>
            <w:bottom w:w="0" w:type="dxa"/>
            <w:right w:w="0" w:type="dxa"/>
          </w:tblCellMar>
        </w:tblPrEx>
        <w:trPr>
          <w:trHeight w:val="454" w:hRule="atLeast"/>
          <w:jc w:val="center"/>
        </w:trPr>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石油烃〔C10-C40〕</w:t>
            </w:r>
          </w:p>
        </w:tc>
        <w:tc>
          <w:tcPr>
            <w:tcW w:w="49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24</w:t>
            </w:r>
          </w:p>
        </w:tc>
        <w:tc>
          <w:tcPr>
            <w:tcW w:w="510"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23</w:t>
            </w:r>
          </w:p>
        </w:tc>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21</w:t>
            </w:r>
          </w:p>
        </w:tc>
        <w:tc>
          <w:tcPr>
            <w:tcW w:w="52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24</w:t>
            </w:r>
          </w:p>
        </w:tc>
        <w:tc>
          <w:tcPr>
            <w:tcW w:w="588"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4500</w:t>
            </w:r>
          </w:p>
        </w:tc>
      </w:tr>
      <w:tr>
        <w:tblPrEx>
          <w:tblCellMar>
            <w:top w:w="0" w:type="dxa"/>
            <w:left w:w="0" w:type="dxa"/>
            <w:bottom w:w="0" w:type="dxa"/>
            <w:right w:w="0" w:type="dxa"/>
          </w:tblCellMar>
        </w:tblPrEx>
        <w:trPr>
          <w:trHeight w:val="454" w:hRule="atLeast"/>
          <w:jc w:val="center"/>
        </w:trPr>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全盐量</w:t>
            </w:r>
          </w:p>
        </w:tc>
        <w:tc>
          <w:tcPr>
            <w:tcW w:w="49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g/kg</w:t>
            </w: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1.74</w:t>
            </w:r>
          </w:p>
        </w:tc>
        <w:tc>
          <w:tcPr>
            <w:tcW w:w="510"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w:t>
            </w:r>
          </w:p>
        </w:tc>
        <w:tc>
          <w:tcPr>
            <w:tcW w:w="5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kern w:val="21"/>
                <w:sz w:val="21"/>
                <w:szCs w:val="21"/>
                <w:highlight w:val="none"/>
                <w14:textFill>
                  <w14:solidFill>
                    <w14:schemeClr w14:val="tx1"/>
                  </w14:solidFill>
                </w14:textFill>
              </w:rPr>
              <w:t>0.98</w:t>
            </w:r>
          </w:p>
        </w:tc>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0.42</w:t>
            </w:r>
          </w:p>
        </w:tc>
        <w:tc>
          <w:tcPr>
            <w:tcW w:w="52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0.62</w:t>
            </w:r>
          </w:p>
        </w:tc>
        <w:tc>
          <w:tcPr>
            <w:tcW w:w="588"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四氯化碳</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2.8</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氯仿</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0.9</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氯甲烷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37</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1,1-二氯乙烷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9</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1,2-二氯乙烷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1,1-二氯乙烯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66</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顺-1,2 -二氯乙烯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596</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反-1,2 -二氯乙烯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54</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二氯甲烷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616</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1,2-二氯丙烷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1,1,1,2- 四氯乙烷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1,1,2,2-四氯乙烷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6.8</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四氯乙烯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53</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1,1,1 -三氯乙烷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840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1,1,2-三氯乙烷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2.8</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三氯乙烯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2.8</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1,2,3-三氯丙烷</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0.5</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氯乙烯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0.43</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4</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氯苯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270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1,2-二氯苯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560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1,4-二氯苯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乙苯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28</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苯乙烯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1290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甲苯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1200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间，对-二甲苯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570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邻-二甲苯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640</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硝基苯</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76</w:t>
            </w:r>
          </w:p>
        </w:tc>
      </w:tr>
      <w:tr>
        <w:tblPrEx>
          <w:tblCellMar>
            <w:top w:w="0" w:type="dxa"/>
            <w:left w:w="0" w:type="dxa"/>
            <w:bottom w:w="0" w:type="dxa"/>
            <w:right w:w="0" w:type="dxa"/>
          </w:tblCellMar>
        </w:tblPrEx>
        <w:trPr>
          <w:trHeight w:val="454" w:hRule="atLeast"/>
          <w:jc w:val="center"/>
        </w:trPr>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苯胺</w:t>
            </w:r>
          </w:p>
        </w:tc>
        <w:tc>
          <w:tcPr>
            <w:tcW w:w="49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260</w:t>
            </w:r>
          </w:p>
        </w:tc>
      </w:tr>
      <w:tr>
        <w:tblPrEx>
          <w:tblCellMar>
            <w:top w:w="0" w:type="dxa"/>
            <w:left w:w="0" w:type="dxa"/>
            <w:bottom w:w="0" w:type="dxa"/>
            <w:right w:w="0" w:type="dxa"/>
          </w:tblCellMar>
        </w:tblPrEx>
        <w:trPr>
          <w:trHeight w:val="454" w:hRule="atLeast"/>
          <w:jc w:val="center"/>
        </w:trPr>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2-氯酚</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single" w:color="auto" w:sz="4" w:space="0"/>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2256</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苯并（a）蒽</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15</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苯并（a）芘</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1.5</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苯并（b）荧蒽</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15</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苯并（k）荧蒽</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151</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䓛</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1293</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二苯并（a,h）蒽</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1.5</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茚并（1,2,3-c,d）芘</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15</w:t>
            </w:r>
          </w:p>
        </w:tc>
      </w:tr>
      <w:tr>
        <w:tblPrEx>
          <w:tblCellMar>
            <w:top w:w="0" w:type="dxa"/>
            <w:left w:w="0" w:type="dxa"/>
            <w:bottom w:w="0" w:type="dxa"/>
            <w:right w:w="0" w:type="dxa"/>
          </w:tblCellMar>
        </w:tblPrEx>
        <w:trPr>
          <w:trHeight w:val="454" w:hRule="atLeast"/>
          <w:jc w:val="center"/>
        </w:trPr>
        <w:tc>
          <w:tcPr>
            <w:tcW w:w="723"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萘</w:t>
            </w:r>
          </w:p>
        </w:tc>
        <w:tc>
          <w:tcPr>
            <w:tcW w:w="495"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mg/kg</w:t>
            </w:r>
          </w:p>
        </w:tc>
        <w:tc>
          <w:tcPr>
            <w:tcW w:w="594" w:type="pc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0"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12"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19"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24"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未检出</w:t>
            </w:r>
          </w:p>
        </w:tc>
        <w:tc>
          <w:tcPr>
            <w:tcW w:w="588" w:type="pct"/>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满足</w:t>
            </w:r>
          </w:p>
        </w:tc>
        <w:tc>
          <w:tcPr>
            <w:tcW w:w="535" w:type="pct"/>
            <w:tcBorders>
              <w:top w:val="nil"/>
              <w:left w:val="nil"/>
              <w:bottom w:val="single" w:color="auto" w:sz="4" w:space="0"/>
              <w:right w:val="single" w:color="auto" w:sz="4" w:space="0"/>
            </w:tcBorders>
            <w:shd w:val="clear" w:color="auto" w:fill="auto"/>
            <w:noWrap/>
            <w:vAlign w:val="center"/>
          </w:tcPr>
          <w:p>
            <w:pPr>
              <w:spacing w:line="240" w:lineRule="auto"/>
              <w:ind w:firstLine="0" w:firstLineChars="0"/>
              <w:jc w:val="center"/>
              <w:rPr>
                <w:rFonts w:hint="default" w:ascii="Times New Roman" w:hAnsi="Times New Roman" w:cs="Times New Roman"/>
                <w:color w:val="000000" w:themeColor="text1"/>
                <w:sz w:val="21"/>
                <w:szCs w:val="24"/>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70</w:t>
            </w:r>
          </w:p>
        </w:tc>
      </w:tr>
    </w:tbl>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由</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_Ref142600179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11</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_Ref142600183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12</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_Ref142600187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13</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可知，平台外土壤监测点监测值均低于《土壤环境质量 农用地土壤污染风险管控标准（试行）》（GB15618-2018）风险筛选值；平台内各土壤监测点监测因子均低于《土壤环境质量 建设用地土壤污染风险管控标准（试行）》（GB36600-2018）中的第二类用地筛选值。</w:t>
      </w:r>
    </w:p>
    <w:p>
      <w:pPr>
        <w:pStyle w:val="4"/>
        <w:pageBreakBefore w:val="0"/>
        <w:widowControl w:val="0"/>
        <w:kinsoku/>
        <w:wordWrap/>
        <w:overflowPunct/>
        <w:topLinePunct w:val="0"/>
        <w:autoSpaceDE/>
        <w:autoSpaceDN/>
        <w:bidi w:val="0"/>
        <w:adjustRightInd w:val="0"/>
        <w:snapToGrid w:val="0"/>
        <w:spacing w:before="0" w:beforeLines="0" w:after="0" w:line="360" w:lineRule="auto"/>
        <w:ind w:left="480" w:leftChars="0" w:firstLine="480" w:firstLineChars="0"/>
        <w:textAlignment w:val="auto"/>
        <w:rPr>
          <w:rFonts w:hint="default" w:ascii="Times New Roman" w:hAnsi="Times New Roman" w:eastAsia="黑体" w:cs="Times New Roman"/>
          <w:b w:val="0"/>
          <w:color w:val="000000" w:themeColor="text1"/>
          <w:sz w:val="24"/>
          <w:szCs w:val="24"/>
          <w:highlight w:val="none"/>
          <w:lang w:eastAsia="zh-CN"/>
          <w14:textFill>
            <w14:solidFill>
              <w14:schemeClr w14:val="tx1"/>
            </w14:solidFill>
          </w14:textFill>
        </w:rPr>
      </w:pPr>
      <w:bookmarkStart w:id="230" w:name="_Toc100100054"/>
      <w:bookmarkStart w:id="231" w:name="_Toc110440091"/>
      <w:r>
        <w:rPr>
          <w:rFonts w:hint="default" w:ascii="Times New Roman" w:hAnsi="Times New Roman" w:eastAsia="黑体" w:cs="Times New Roman"/>
          <w:b w:val="0"/>
          <w:color w:val="000000" w:themeColor="text1"/>
          <w:sz w:val="24"/>
          <w:szCs w:val="24"/>
          <w:highlight w:val="none"/>
          <w:lang w:eastAsia="zh-CN"/>
          <w14:textFill>
            <w14:solidFill>
              <w14:schemeClr w14:val="tx1"/>
            </w14:solidFill>
          </w14:textFill>
        </w:rPr>
        <w:t xml:space="preserve"> 包气带污染情况调查</w:t>
      </w:r>
      <w:bookmarkEnd w:id="230"/>
      <w:bookmarkEnd w:id="231"/>
    </w:p>
    <w:p>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为了解本项目所在区域包气带污染现状，本次评价委托四川华皓检测技术有限公司对</w:t>
      </w: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P106-2</w:t>
      </w: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井包气带</w:t>
      </w:r>
      <w:bookmarkStart w:id="232" w:name="_Hlk112011396"/>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现状进行了监测</w:t>
      </w:r>
      <w:bookmarkEnd w:id="232"/>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。监测布点见附图</w:t>
      </w:r>
      <w:r>
        <w:rPr>
          <w:rFonts w:hint="eastAsia" w:ascii="Times New Roman" w:hAnsi="Times New Roman" w:cs="Times New Roman"/>
          <w:bCs/>
          <w:color w:val="000000" w:themeColor="text1"/>
          <w:kern w:val="2"/>
          <w:sz w:val="24"/>
          <w:szCs w:val="24"/>
          <w:highlight w:val="none"/>
          <w:lang w:val="en-US" w:eastAsia="zh-CN"/>
          <w14:textFill>
            <w14:solidFill>
              <w14:schemeClr w14:val="tx1"/>
            </w14:solidFill>
          </w14:textFill>
        </w:rPr>
        <w:t>2</w:t>
      </w: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w:t>
      </w:r>
    </w:p>
    <w:p>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（1）监测布点</w:t>
      </w:r>
    </w:p>
    <w:p>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bookmarkStart w:id="233" w:name="_Hlk93351647"/>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共布设2个监测点，平台废水池地表径流下游设置一个点位，废水池地表径流上游（</w:t>
      </w: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井口南侧）</w:t>
      </w: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设置一个点位，分别在0~20cm和20～60cm处取样，进行浸溶试验，测试分析浸溶液成分。</w:t>
      </w:r>
    </w:p>
    <w:p>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（2）监测因子</w:t>
      </w:r>
    </w:p>
    <w:p>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pH、氨氮、挥发酚、石油类、六价铬、氯化物。</w:t>
      </w:r>
    </w:p>
    <w:p>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（3）监测时间与频率</w:t>
      </w:r>
    </w:p>
    <w:p>
      <w:pPr>
        <w:adjustRightInd w:val="0"/>
        <w:snapToGrid w:val="0"/>
        <w:spacing w:line="360" w:lineRule="auto"/>
        <w:ind w:firstLine="480" w:firstLineChars="200"/>
        <w:jc w:val="both"/>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202</w:t>
      </w: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3</w:t>
      </w: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年</w:t>
      </w: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10</w:t>
      </w: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月</w:t>
      </w: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26</w:t>
      </w: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日，监测一次。</w:t>
      </w:r>
    </w:p>
    <w:bookmarkEnd w:id="233"/>
    <w:p>
      <w:pPr>
        <w:adjustRightInd w:val="0"/>
        <w:snapToGrid w:val="0"/>
        <w:spacing w:line="360" w:lineRule="auto"/>
        <w:ind w:firstLine="480" w:firstLineChars="200"/>
        <w:jc w:val="both"/>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（4）监测结果及评价</w:t>
      </w:r>
    </w:p>
    <w:p>
      <w:pPr>
        <w:adjustRightInd w:val="0"/>
        <w:snapToGrid w:val="0"/>
        <w:spacing w:line="360" w:lineRule="auto"/>
        <w:ind w:firstLine="480" w:firstLineChars="200"/>
        <w:jc w:val="both"/>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本项目所在地周边包气带监测及评价结果见表4.2-</w:t>
      </w:r>
      <w:r>
        <w:rPr>
          <w:rFonts w:hint="default" w:ascii="Times New Roman" w:hAnsi="Times New Roman" w:cs="Times New Roman"/>
          <w:bCs/>
          <w:color w:val="000000" w:themeColor="text1"/>
          <w:kern w:val="2"/>
          <w:sz w:val="24"/>
          <w:szCs w:val="24"/>
          <w:highlight w:val="none"/>
          <w:lang w:val="en-US" w:eastAsia="zh-CN"/>
          <w14:textFill>
            <w14:solidFill>
              <w14:schemeClr w14:val="tx1"/>
            </w14:solidFill>
          </w14:textFill>
        </w:rPr>
        <w:t>14</w:t>
      </w: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w:t>
      </w:r>
    </w:p>
    <w:p>
      <w:pPr>
        <w:pStyle w:val="21"/>
        <w:tabs>
          <w:tab w:val="left" w:pos="863"/>
        </w:tabs>
        <w:spacing w:before="0"/>
        <w:ind w:left="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表4.2-1</w:t>
      </w:r>
      <w:r>
        <w:rPr>
          <w:rFonts w:hint="default" w:ascii="Times New Roman" w:hAnsi="Times New Roman" w:eastAsia="黑体"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 xml:space="preserve">  本项目包气带污染现状监测与评价表  单位：mg/L（pH除外）</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61"/>
        <w:gridCol w:w="1651"/>
        <w:gridCol w:w="890"/>
        <w:gridCol w:w="850"/>
        <w:gridCol w:w="902"/>
        <w:gridCol w:w="854"/>
        <w:gridCol w:w="872"/>
        <w:gridCol w:w="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pct"/>
            <w:shd w:val="clear" w:color="auto" w:fill="auto"/>
            <w:vAlign w:val="center"/>
          </w:tcPr>
          <w:p>
            <w:pPr>
              <w:pStyle w:val="262"/>
              <w:rPr>
                <w:rFonts w:hint="default" w:ascii="Times New Roman" w:hAnsi="Times New Roman" w:cs="Times New Roman"/>
                <w:color w:val="000000" w:themeColor="text1"/>
                <w:highlight w:val="none"/>
                <w14:textFill>
                  <w14:solidFill>
                    <w14:schemeClr w14:val="tx1"/>
                  </w14:solidFill>
                </w14:textFill>
              </w:rPr>
            </w:pPr>
            <w:bookmarkStart w:id="234" w:name="_Hlk93351731"/>
            <w:r>
              <w:rPr>
                <w:rFonts w:hint="default" w:ascii="Times New Roman" w:hAnsi="Times New Roman" w:cs="Times New Roman"/>
                <w:color w:val="000000" w:themeColor="text1"/>
                <w:highlight w:val="none"/>
                <w14:textFill>
                  <w14:solidFill>
                    <w14:schemeClr w14:val="tx1"/>
                  </w14:solidFill>
                </w14:textFill>
              </w:rPr>
              <w:t>点位</w:t>
            </w:r>
          </w:p>
        </w:tc>
        <w:tc>
          <w:tcPr>
            <w:tcW w:w="992" w:type="pct"/>
            <w:shd w:val="clear" w:color="auto" w:fill="auto"/>
            <w:vAlign w:val="center"/>
          </w:tcPr>
          <w:p>
            <w:pPr>
              <w:pStyle w:val="26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取样深度</w:t>
            </w:r>
          </w:p>
        </w:tc>
        <w:tc>
          <w:tcPr>
            <w:tcW w:w="535" w:type="pct"/>
            <w:shd w:val="clear" w:color="auto" w:fill="auto"/>
            <w:vAlign w:val="center"/>
          </w:tcPr>
          <w:p>
            <w:pPr>
              <w:pStyle w:val="26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pH</w:t>
            </w:r>
          </w:p>
        </w:tc>
        <w:tc>
          <w:tcPr>
            <w:tcW w:w="511" w:type="pct"/>
            <w:shd w:val="clear" w:color="auto" w:fill="auto"/>
            <w:vAlign w:val="center"/>
          </w:tcPr>
          <w:p>
            <w:pPr>
              <w:pStyle w:val="26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氨氮</w:t>
            </w:r>
          </w:p>
        </w:tc>
        <w:tc>
          <w:tcPr>
            <w:tcW w:w="542" w:type="pct"/>
            <w:shd w:val="clear" w:color="auto" w:fill="auto"/>
            <w:vAlign w:val="center"/>
          </w:tcPr>
          <w:p>
            <w:pPr>
              <w:pStyle w:val="26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挥发酚</w:t>
            </w:r>
          </w:p>
        </w:tc>
        <w:tc>
          <w:tcPr>
            <w:tcW w:w="513" w:type="pct"/>
            <w:shd w:val="clear" w:color="auto" w:fill="auto"/>
            <w:vAlign w:val="center"/>
          </w:tcPr>
          <w:p>
            <w:pPr>
              <w:pStyle w:val="26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石油类</w:t>
            </w:r>
          </w:p>
        </w:tc>
        <w:tc>
          <w:tcPr>
            <w:tcW w:w="524" w:type="pct"/>
            <w:vAlign w:val="center"/>
          </w:tcPr>
          <w:p>
            <w:pPr>
              <w:pStyle w:val="26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六价铬</w:t>
            </w:r>
          </w:p>
        </w:tc>
        <w:tc>
          <w:tcPr>
            <w:tcW w:w="505" w:type="pct"/>
            <w:vAlign w:val="center"/>
          </w:tcPr>
          <w:p>
            <w:pPr>
              <w:pStyle w:val="26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氯化物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pct"/>
            <w:vMerge w:val="restart"/>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毛坝1井废水池地表径流上游</w:t>
            </w:r>
          </w:p>
        </w:tc>
        <w:tc>
          <w:tcPr>
            <w:tcW w:w="992" w:type="pct"/>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0~20cm</w:t>
            </w:r>
          </w:p>
        </w:tc>
        <w:tc>
          <w:tcPr>
            <w:tcW w:w="535"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7.4</w:t>
            </w:r>
          </w:p>
        </w:tc>
        <w:tc>
          <w:tcPr>
            <w:tcW w:w="511"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0.090</w:t>
            </w:r>
          </w:p>
        </w:tc>
        <w:tc>
          <w:tcPr>
            <w:tcW w:w="542"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0.0005</w:t>
            </w:r>
          </w:p>
        </w:tc>
        <w:tc>
          <w:tcPr>
            <w:tcW w:w="513"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0.02</w:t>
            </w:r>
          </w:p>
        </w:tc>
        <w:tc>
          <w:tcPr>
            <w:tcW w:w="524" w:type="pct"/>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＜0.004</w:t>
            </w:r>
          </w:p>
        </w:tc>
        <w:tc>
          <w:tcPr>
            <w:tcW w:w="505" w:type="pct"/>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pct"/>
            <w:vMerge w:val="continue"/>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p>
        </w:tc>
        <w:tc>
          <w:tcPr>
            <w:tcW w:w="992" w:type="pct"/>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60cm</w:t>
            </w:r>
          </w:p>
        </w:tc>
        <w:tc>
          <w:tcPr>
            <w:tcW w:w="535"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7.32</w:t>
            </w:r>
          </w:p>
        </w:tc>
        <w:tc>
          <w:tcPr>
            <w:tcW w:w="511"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0.152</w:t>
            </w:r>
          </w:p>
        </w:tc>
        <w:tc>
          <w:tcPr>
            <w:tcW w:w="542" w:type="pct"/>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0.0005</w:t>
            </w:r>
          </w:p>
        </w:tc>
        <w:tc>
          <w:tcPr>
            <w:tcW w:w="513"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0.01</w:t>
            </w:r>
          </w:p>
        </w:tc>
        <w:tc>
          <w:tcPr>
            <w:tcW w:w="524" w:type="pct"/>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＜0.004</w:t>
            </w:r>
          </w:p>
        </w:tc>
        <w:tc>
          <w:tcPr>
            <w:tcW w:w="505" w:type="pct"/>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pct"/>
            <w:vMerge w:val="restart"/>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毛坝1井废水池地表径流下游</w:t>
            </w:r>
          </w:p>
        </w:tc>
        <w:tc>
          <w:tcPr>
            <w:tcW w:w="992" w:type="pct"/>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0~20cm</w:t>
            </w:r>
          </w:p>
        </w:tc>
        <w:tc>
          <w:tcPr>
            <w:tcW w:w="535"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7.00</w:t>
            </w:r>
          </w:p>
        </w:tc>
        <w:tc>
          <w:tcPr>
            <w:tcW w:w="511"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0.081</w:t>
            </w:r>
          </w:p>
        </w:tc>
        <w:tc>
          <w:tcPr>
            <w:tcW w:w="542" w:type="pct"/>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0.0004</w:t>
            </w:r>
          </w:p>
        </w:tc>
        <w:tc>
          <w:tcPr>
            <w:tcW w:w="513"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0.04</w:t>
            </w:r>
          </w:p>
        </w:tc>
        <w:tc>
          <w:tcPr>
            <w:tcW w:w="524" w:type="pct"/>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＜0.004</w:t>
            </w:r>
          </w:p>
        </w:tc>
        <w:tc>
          <w:tcPr>
            <w:tcW w:w="505" w:type="pct"/>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pct"/>
            <w:vMerge w:val="continue"/>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p>
        </w:tc>
        <w:tc>
          <w:tcPr>
            <w:tcW w:w="992" w:type="pct"/>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60cm</w:t>
            </w:r>
          </w:p>
        </w:tc>
        <w:tc>
          <w:tcPr>
            <w:tcW w:w="535"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7.22</w:t>
            </w:r>
          </w:p>
        </w:tc>
        <w:tc>
          <w:tcPr>
            <w:tcW w:w="511"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0.064</w:t>
            </w:r>
          </w:p>
        </w:tc>
        <w:tc>
          <w:tcPr>
            <w:tcW w:w="542" w:type="pct"/>
            <w:shd w:val="clear" w:color="auto" w:fill="auto"/>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0.0006</w:t>
            </w:r>
          </w:p>
        </w:tc>
        <w:tc>
          <w:tcPr>
            <w:tcW w:w="513" w:type="pct"/>
            <w:shd w:val="clear" w:color="auto" w:fill="auto"/>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0.03</w:t>
            </w:r>
          </w:p>
        </w:tc>
        <w:tc>
          <w:tcPr>
            <w:tcW w:w="524" w:type="pct"/>
            <w:vAlign w:val="center"/>
          </w:tcPr>
          <w:p>
            <w:pPr>
              <w:pStyle w:val="25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＜0.004</w:t>
            </w:r>
          </w:p>
        </w:tc>
        <w:tc>
          <w:tcPr>
            <w:tcW w:w="505" w:type="pct"/>
            <w:vAlign w:val="center"/>
          </w:tcPr>
          <w:p>
            <w:pPr>
              <w:pStyle w:val="253"/>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5.09</w:t>
            </w:r>
          </w:p>
        </w:tc>
      </w:tr>
      <w:bookmarkEnd w:id="234"/>
    </w:tbl>
    <w:p>
      <w:pPr>
        <w:spacing w:before="120" w:beforeLines="50"/>
        <w:ind w:firstLine="480"/>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pP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kern w:val="2"/>
          <w:sz w:val="24"/>
          <w:szCs w:val="24"/>
          <w:highlight w:val="none"/>
          <w:lang w:eastAsia="zh-CN"/>
          <w14:textFill>
            <w14:solidFill>
              <w14:schemeClr w14:val="tx1"/>
            </w14:solidFill>
          </w14:textFill>
        </w:rPr>
        <w:t>通过对比废水池上下游结果可知本项目用地内外包气带未受到污染。</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bookmarkStart w:id="235" w:name="_Toc123682539"/>
      <w:bookmarkStart w:id="236" w:name="_Toc1062"/>
      <w:r>
        <w:rPr>
          <w:rFonts w:hint="default" w:ascii="Times New Roman" w:hAnsi="Times New Roman" w:cs="Times New Roman"/>
          <w:color w:val="000000" w:themeColor="text1"/>
          <w:highlight w:val="none"/>
          <w:lang w:val="en-US" w:eastAsia="zh-CN"/>
          <w14:textFill>
            <w14:solidFill>
              <w14:schemeClr w14:val="tx1"/>
            </w14:solidFill>
          </w14:textFill>
        </w:rPr>
        <w:t>生态环境调查与评价</w:t>
      </w:r>
      <w:bookmarkEnd w:id="235"/>
      <w:bookmarkEnd w:id="236"/>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bookmarkStart w:id="237" w:name="_Toc120173135"/>
      <w:bookmarkStart w:id="238" w:name="_Hlk84604214"/>
      <w:r>
        <w:rPr>
          <w:rFonts w:hint="default" w:ascii="Times New Roman" w:hAnsi="Times New Roman" w:cs="Times New Roman"/>
          <w:color w:val="000000" w:themeColor="text1"/>
          <w:highlight w:val="none"/>
          <w:lang w:val="en-US" w:eastAsia="zh-CN"/>
          <w14:textFill>
            <w14:solidFill>
              <w14:schemeClr w14:val="tx1"/>
            </w14:solidFill>
          </w14:textFill>
        </w:rPr>
        <w:t>生态功能区划</w:t>
      </w:r>
      <w:bookmarkEnd w:id="237"/>
    </w:p>
    <w:p>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本项目位于四川盆地亚热带湿润气候生态区，属于大巴山水源涵养与土壤保持生态功能区（I-3-2），该生态功能区的主导功能是水源涵养功能，土壤保持功能。面临的主要环境问题是多洪灾，滑坡崩塌强烈发育，水土流失严重。项目区的生态功能区划见下表4.3-1。</w:t>
      </w:r>
    </w:p>
    <w:p>
      <w:pPr>
        <w:widowControl/>
        <w:tabs>
          <w:tab w:val="left" w:pos="863"/>
        </w:tabs>
        <w:spacing w:before="0"/>
        <w:ind w:left="0"/>
        <w:jc w:val="cente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 项目区生态功能区划及主要生态环境问题</w:t>
      </w:r>
    </w:p>
    <w:tbl>
      <w:tblPr>
        <w:tblStyle w:val="52"/>
        <w:tblW w:w="50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8"/>
        <w:gridCol w:w="1030"/>
        <w:gridCol w:w="1090"/>
        <w:gridCol w:w="1079"/>
        <w:gridCol w:w="786"/>
        <w:gridCol w:w="3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 w:hRule="atLeast"/>
          <w:jc w:val="center"/>
        </w:trPr>
        <w:tc>
          <w:tcPr>
            <w:tcW w:w="484"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生态区</w:t>
            </w:r>
          </w:p>
        </w:tc>
        <w:tc>
          <w:tcPr>
            <w:tcW w:w="617"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生态亚区</w:t>
            </w:r>
          </w:p>
        </w:tc>
        <w:tc>
          <w:tcPr>
            <w:tcW w:w="653"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生态功能区</w:t>
            </w:r>
          </w:p>
        </w:tc>
        <w:tc>
          <w:tcPr>
            <w:tcW w:w="646"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主要环境问题</w:t>
            </w:r>
          </w:p>
        </w:tc>
        <w:tc>
          <w:tcPr>
            <w:tcW w:w="471"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服务功能</w:t>
            </w:r>
          </w:p>
        </w:tc>
        <w:tc>
          <w:tcPr>
            <w:tcW w:w="2127"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保护与发展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84"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I四川盆地亚热带湿润气候生态区</w:t>
            </w:r>
          </w:p>
        </w:tc>
        <w:tc>
          <w:tcPr>
            <w:tcW w:w="617"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I-3盆北秦巴山地常绿阔叶林-针阔混交林生态亚区</w:t>
            </w:r>
          </w:p>
        </w:tc>
        <w:tc>
          <w:tcPr>
            <w:tcW w:w="653"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I-3-2大巴山水源涵养与土壤保持生态功能区</w:t>
            </w:r>
          </w:p>
        </w:tc>
        <w:tc>
          <w:tcPr>
            <w:tcW w:w="646"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多洪灾，滑坡崩塌强烈发育，水土流失严重</w:t>
            </w:r>
          </w:p>
        </w:tc>
        <w:tc>
          <w:tcPr>
            <w:tcW w:w="471"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水源涵养功能，土壤保持功能</w:t>
            </w:r>
          </w:p>
        </w:tc>
        <w:tc>
          <w:tcPr>
            <w:tcW w:w="2127" w:type="pc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p>
        </w:tc>
      </w:tr>
    </w:tbl>
    <w:p>
      <w:pPr>
        <w:pStyle w:val="65"/>
        <w:rPr>
          <w:rFonts w:hint="default"/>
          <w:color w:val="000000" w:themeColor="text1"/>
          <w:highlight w:val="none"/>
          <w:lang w:val="en-US" w:eastAsia="zh-CN"/>
          <w14:textFill>
            <w14:solidFill>
              <w14:schemeClr w14:val="tx1"/>
            </w14:solidFill>
          </w14:textFill>
        </w:rPr>
      </w:pPr>
    </w:p>
    <w:p>
      <w:pPr>
        <w:pStyle w:val="4"/>
        <w:spacing w:before="120"/>
        <w:ind w:left="480" w:leftChars="0" w:firstLineChars="0"/>
        <w:rPr>
          <w:rFonts w:hint="default" w:ascii="Times New Roman" w:hAnsi="Times New Roman" w:cs="Times New Roman"/>
          <w:color w:val="000000" w:themeColor="text1"/>
          <w:highlight w:val="none"/>
          <w:lang w:val="en-US" w:eastAsia="zh-CN"/>
          <w14:textFill>
            <w14:solidFill>
              <w14:schemeClr w14:val="tx1"/>
            </w14:solidFill>
          </w14:textFill>
        </w:rPr>
      </w:pPr>
      <w:bookmarkStart w:id="239" w:name="_Toc120173136"/>
      <w:r>
        <w:rPr>
          <w:rFonts w:hint="default" w:ascii="Times New Roman" w:hAnsi="Times New Roman" w:cs="Times New Roman"/>
          <w:color w:val="000000" w:themeColor="text1"/>
          <w:highlight w:val="none"/>
          <w:lang w:val="en-US" w:eastAsia="zh-CN"/>
          <w14:textFill>
            <w14:solidFill>
              <w14:schemeClr w14:val="tx1"/>
            </w14:solidFill>
          </w14:textFill>
        </w:rPr>
        <w:t>生态环境现状调查方法</w:t>
      </w:r>
      <w:bookmarkEnd w:id="239"/>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1、基础资料收集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收集整理项目涉及区域现有生物资料，包括市志、统计年鉴以及林业、环保、水利、农业、国土资源等部门提供的相关资料，并且参考《中国植物志</w:t>
      </w:r>
      <w:r>
        <w:rPr>
          <w:rFonts w:hint="default" w:ascii="Times New Roman" w:hAnsi="Times New Roman" w:cs="Times New Roman"/>
          <w:b w:val="0"/>
          <w:bCs/>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中国高等植物图鉴</w:t>
      </w:r>
      <w:r>
        <w:rPr>
          <w:rFonts w:hint="default" w:ascii="Times New Roman" w:hAnsi="Times New Roman" w:cs="Times New Roman"/>
          <w:b w:val="0"/>
          <w:bCs/>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四川植物志》和《四川资源动物志》系列等专著。</w:t>
      </w:r>
    </w:p>
    <w:p>
      <w:pPr>
        <w:keepNext w:val="0"/>
        <w:keepLines w:val="0"/>
        <w:pageBreakBefore w:val="0"/>
        <w:widowControl w:val="0"/>
        <w:numPr>
          <w:ilvl w:val="0"/>
          <w:numId w:val="11"/>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生物资源调查方法</w:t>
      </w:r>
    </w:p>
    <w:p>
      <w:pPr>
        <w:keepNext w:val="0"/>
        <w:keepLines w:val="0"/>
        <w:pageBreakBefore w:val="0"/>
        <w:widowControl w:val="0"/>
        <w:kinsoku/>
        <w:wordWrap/>
        <w:overflowPunct/>
        <w:topLinePunct w:val="0"/>
        <w:autoSpaceDE/>
        <w:autoSpaceDN/>
        <w:bidi w:val="0"/>
        <w:adjustRightInd w:val="0"/>
        <w:snapToGrid w:val="0"/>
        <w:spacing w:before="0" w:line="360" w:lineRule="auto"/>
        <w:ind w:firstLine="480" w:firstLineChars="200"/>
        <w:textAlignment w:val="auto"/>
        <w:outlineLvl w:val="9"/>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pPr>
      <w:bookmarkStart w:id="240" w:name="_Toc280781526"/>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）时间安排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0"/>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0"/>
          <w:highlight w:val="none"/>
          <w:lang w:val="en-US" w:eastAsia="zh-CN" w:bidi="ar-SA"/>
          <w14:textFill>
            <w14:solidFill>
              <w14:schemeClr w14:val="tx1"/>
            </w14:solidFill>
          </w14:textFill>
        </w:rPr>
        <w:t>本项目现场调查安排在2024年3月进行，可满足生态二级评价现状调查要求。</w:t>
      </w:r>
    </w:p>
    <w:p>
      <w:pPr>
        <w:keepNext w:val="0"/>
        <w:keepLines w:val="0"/>
        <w:pageBreakBefore w:val="0"/>
        <w:widowControl w:val="0"/>
        <w:kinsoku/>
        <w:wordWrap/>
        <w:overflowPunct/>
        <w:topLinePunct w:val="0"/>
        <w:autoSpaceDE/>
        <w:autoSpaceDN/>
        <w:bidi w:val="0"/>
        <w:adjustRightInd w:val="0"/>
        <w:snapToGrid w:val="0"/>
        <w:spacing w:before="0" w:beforeLines="50" w:line="360" w:lineRule="auto"/>
        <w:ind w:firstLine="480" w:firstLineChars="200"/>
        <w:textAlignment w:val="auto"/>
        <w:outlineLvl w:val="9"/>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highlight w:val="none"/>
          <w14:textFill>
            <w14:solidFill>
              <w14:schemeClr w14:val="tx1"/>
            </w14:solidFill>
          </w14:textFill>
        </w:rPr>
        <w:t>）野外生态信息数据的采集与处理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0"/>
          <w:highlight w:val="none"/>
          <w:lang w:val="en-US" w:eastAsia="zh-CN" w:bidi="ar-SA"/>
          <w14:textFill>
            <w14:solidFill>
              <w14:schemeClr w14:val="tx1"/>
            </w14:solidFill>
          </w14:textFill>
        </w:rPr>
        <w:t>野外生态信息数据的采集主要借助HOLUX M-241蓝牙GPS记录器获取及尼康单反数码相机。HOLUX M-241蓝牙GPS纪录器可以记录高达13万个位置，每个位置都含有经度、纬度、时间和高度资料；野外生态考察中开机让记</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录器始终处于运行状态，每5秒自动存储一个GPS点位，以保证野外考察中生态信息采集的完整性，同时于不同生态系统及重要生态考察点上采集照片。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将野外采集的GPS轨迹及照片导入电脑，运用GPicSync软件将航迹文件中各个记录点的时间信息与照片中exif信息中的时间信息进行匹配，当某个记录点的时间与某张照片中的时间匹配时（匹配的精度可以任意设置，软件默认300秒），即认为航迹文件中这个点的坐标即为照片拍摄地点的坐标，并将这个坐标写入照片的exif信息中并形成kml格式文件。最后可在ArcGIS及Google earth中调取相应生态考察点照片并结合卫片判读考察点生态现状，同时也为土地利用、水土流失、植被类型等生态图件的编绘提供依据并校正相应图件。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（3）GPS地面类型及植被调查取样</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GPS样点是卫星遥感影像判读各种景观类型的基础，根据室内判读的植被与土地利用类型图，现场核实判读的正误率，并对每个GPS取样点作如下记录：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1）GPS读出测点的海拔值和经纬度；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2）记录样点植被类型，以群系或群丛为单位，同时记录样点坡向、坡度；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3）记录样点优势植物以及观察动物活动的情况；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4）拍摄典型植被外貌与结构特征。</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（4）陆生植被调查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在调查过程中，确定评价范围内的植物种类及资源状况、经济植物种类及资源状况、珍稀濒危植物的种类及生存状况等。实地调查采取路线调查与重点调查相结合的方法，对于没有原生植被的区域采取路线调查，在项目占地范围以及植被状况良好的区域实行重点调查；重点调查采取样方调查方法，记录评价范围内的常见植物种类，同时记录坡向、坡度、土壤、岩石类型等环境特征，拍摄典型植被外貌与结构特征；对保护植物、古树名木调查采取现场调查和民间查访相结合的方法进行；对有疑问的植物和珍稀濒危植物采集凭证标本并拍摄照片。</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样方布点原则：</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植被调查取样的目的是要通过样地的研究准确地推测评价范围植被的总体情况，所选取的样地要具有代表性，能通过尽可能少的抽样获得较为准确的评价范围内植被总体的特征。按照如下原则：</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fldChar w:fldCharType="begin"/>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instrText xml:space="preserve"> = 1 \* GB3 </w:instrTex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t>①</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fldChar w:fldCharType="end"/>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尽量在对生态影响较大区域内设置样地，并考虑评价范围内布点的均匀性、不同植被类型的全面性等特点；②样方设置避免对同一种植被类型进行重复设点，特别是对植物变化较大的地段进行增加设点。</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样方调查方法：</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根据评价范围内不同植被类型设置调查样地，并对典型样地进行拍照，对评价范围植被类型、农业生态环境、野生动植物资源进行较为详细的勘察。</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t>乔木林样方面积为</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20</w:t>
      </w:r>
      <w:r>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t>×</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20</w:t>
      </w:r>
      <w:r>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t>m，灌</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草</w:t>
      </w:r>
      <w:r>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t>丛样方为</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5</w:t>
      </w:r>
      <w:r>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t>×</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5</w:t>
      </w:r>
      <w:r>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t>m，</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草丛</w:t>
      </w:r>
      <w:r>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t>样方</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设置为1×1m，</w:t>
      </w:r>
      <w:r>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t>根据实际情况可以略有改变。乔木林</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对乔木层进行全面调查，再设置小样方调查灌木层和草本层；灌草丛和草丛对样地内植物进行全面调查。本次调查根据群系分布特点共设置植被群落样地4个，每个样地设置样方3个，总共12个样方，涵盖乔灌草多种地类，样地布点情况</w:t>
      </w:r>
      <w:r>
        <w:rPr>
          <w:rFonts w:hint="default" w:ascii="Times New Roman" w:hAnsi="Times New Roman" w:eastAsia="宋体" w:cs="Times New Roman"/>
          <w:b w:val="0"/>
          <w:bCs/>
          <w:color w:val="000000" w:themeColor="text1"/>
          <w:kern w:val="2"/>
          <w:sz w:val="24"/>
          <w:szCs w:val="24"/>
          <w:highlight w:val="none"/>
          <w:lang w:val="zh-CN" w:eastAsia="zh-CN" w:bidi="ar-SA"/>
          <w14:textFill>
            <w14:solidFill>
              <w14:schemeClr w14:val="tx1"/>
            </w14:solidFill>
          </w14:textFill>
        </w:rPr>
        <w:t>详见表</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4.3-2。</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表4.3-2 项目评价范围内植被群系样方调查点分布情况</w:t>
      </w:r>
    </w:p>
    <w:tbl>
      <w:tblPr>
        <w:tblStyle w:val="90"/>
        <w:tblW w:w="872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75"/>
        <w:gridCol w:w="1050"/>
        <w:gridCol w:w="1889"/>
        <w:gridCol w:w="1507"/>
        <w:gridCol w:w="880"/>
        <w:gridCol w:w="1814"/>
        <w:gridCol w:w="9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3" w:hRule="atLeast"/>
          <w:jc w:val="center"/>
        </w:trPr>
        <w:tc>
          <w:tcPr>
            <w:tcW w:w="675" w:type="dxa"/>
            <w:tcBorders>
              <w:top w:val="single" w:color="000000" w:sz="2" w:space="0"/>
              <w:bottom w:val="single" w:color="000000" w:sz="2" w:space="0"/>
            </w:tcBorders>
            <w:textDirection w:val="tbRlV"/>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序号</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样方面积</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坐标</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群系名称</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关键种、建群种</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优势种</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海拔</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样地1</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20m×20m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107.8034,31.5579</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马尾松群系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马尾松</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马尾松</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2</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20m×20m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107.8100,31.5592</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马尾松群系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马尾松</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马尾松</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3</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20m×20m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107.8028,31.5573</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马尾松群系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马尾松</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马尾松</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4</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20m×20m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107.8045,31.5562</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麻栎、青冈、栓皮栎群系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麻栎</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青冈、栓皮栎、栓皮栎</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5</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20m×20m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107.8072,31.5579</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麻栎、青冈、栓皮栎群系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麻栎</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青冈、栓皮栎、栓皮栎</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6</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20m×20m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107.8096,31.5587</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麻栎、青冈、栓皮栎群系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麻栎</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青冈、栓皮栎、栓皮栎</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5m×5m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107.8092,31.5576</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马桑</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黄荆、火棘、荚蒾灌丛群系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马桑</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黄荆、火棘、荚蒾</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5m×5m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107.8043,31.5574</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马桑</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黄荆、火棘、荚蒾灌丛群系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马桑</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黄荆、火棘、荚蒾</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9</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5m×5m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107.8058,31.5589</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马桑</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黄荆、火棘、荚蒾灌丛群系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马桑</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黄荆、火棘、荚蒾</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10</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w:t>
            </w:r>
            <w:r>
              <w:rPr>
                <w:rFonts w:hint="default" w:ascii="Times New Roman" w:hAnsi="Times New Roman" w:eastAsia="宋体" w:cs="Times New Roman"/>
                <w:b w:val="0"/>
                <w:bCs/>
                <w:color w:val="000000" w:themeColor="text1"/>
                <w:kern w:val="0"/>
                <w:sz w:val="21"/>
                <w:szCs w:val="21"/>
                <w:highlight w:val="none"/>
                <w:lang w:val="zh-CN" w:eastAsia="zh-CN"/>
                <w14:textFill>
                  <w14:solidFill>
                    <w14:schemeClr w14:val="tx1"/>
                  </w14:solidFill>
                </w14:textFill>
              </w:rPr>
              <w:t>m</w:t>
            </w: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107.8046,31.5578</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芒、白茅草丛群系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芒</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白茅、五节芒</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11</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w:t>
            </w:r>
            <w:r>
              <w:rPr>
                <w:rFonts w:hint="default" w:ascii="Times New Roman" w:hAnsi="Times New Roman" w:eastAsia="宋体" w:cs="Times New Roman"/>
                <w:b w:val="0"/>
                <w:bCs/>
                <w:color w:val="000000" w:themeColor="text1"/>
                <w:kern w:val="0"/>
                <w:sz w:val="21"/>
                <w:szCs w:val="21"/>
                <w:highlight w:val="none"/>
                <w:lang w:val="zh-CN" w:eastAsia="zh-CN"/>
                <w14:textFill>
                  <w14:solidFill>
                    <w14:schemeClr w14:val="tx1"/>
                  </w14:solidFill>
                </w14:textFill>
              </w:rPr>
              <w:t>m</w:t>
            </w: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107.8084,31.5585</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芒、白茅草丛群系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芒</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白茅、五节芒</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jc w:val="center"/>
        </w:trPr>
        <w:tc>
          <w:tcPr>
            <w:tcW w:w="675"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样地</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12</w:t>
            </w:r>
          </w:p>
        </w:tc>
        <w:tc>
          <w:tcPr>
            <w:tcW w:w="105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w:t>
            </w:r>
            <w:r>
              <w:rPr>
                <w:rFonts w:hint="default" w:ascii="Times New Roman" w:hAnsi="Times New Roman" w:eastAsia="宋体" w:cs="Times New Roman"/>
                <w:b w:val="0"/>
                <w:bCs/>
                <w:color w:val="000000" w:themeColor="text1"/>
                <w:kern w:val="0"/>
                <w:sz w:val="21"/>
                <w:szCs w:val="21"/>
                <w:highlight w:val="none"/>
                <w:lang w:val="zh-CN" w:eastAsia="zh-CN"/>
                <w14:textFill>
                  <w14:solidFill>
                    <w14:schemeClr w14:val="tx1"/>
                  </w14:solidFill>
                </w14:textFill>
              </w:rPr>
              <w:t>m</w:t>
            </w: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×1m</w:t>
            </w:r>
          </w:p>
        </w:tc>
        <w:tc>
          <w:tcPr>
            <w:tcW w:w="1889"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107.8075,31.5594</w:t>
            </w:r>
          </w:p>
        </w:tc>
        <w:tc>
          <w:tcPr>
            <w:tcW w:w="1507"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芒、白茅草丛群系</w:t>
            </w:r>
          </w:p>
        </w:tc>
        <w:tc>
          <w:tcPr>
            <w:tcW w:w="88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芒</w:t>
            </w:r>
          </w:p>
        </w:tc>
        <w:tc>
          <w:tcPr>
            <w:tcW w:w="1814"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芒、白茅、五节芒</w:t>
            </w:r>
          </w:p>
        </w:tc>
        <w:tc>
          <w:tcPr>
            <w:tcW w:w="910" w:type="dxa"/>
            <w:tcBorders>
              <w:top w:val="single" w:color="000000" w:sz="2" w:space="0"/>
              <w:bottom w:val="single" w:color="000000" w:sz="2" w:space="0"/>
            </w:tcBorders>
            <w:vAlign w:val="center"/>
          </w:tcPr>
          <w:p>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829</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（5）景观生态和生态系统类型调查</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以能够获得的近期卫星影像图为工作用图，采用路线调查法和主要景观地段重点观测相结合，区划记录评价范围不同自然景观类型、范围、特征及生态系统类型，以此分析生态系统服务功能。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（6）陆生野生动物调查</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野生动物调查采用野外实地调查、访问、查阅相关文献资料等三种方式进行，记录到种。</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资料检索法：主要收集、查阅项目区域相关科学研究和野外调查资料以及其它专家、学者发表的涉及项目区域的学术论文。应用这些文献资料时，尤其是在动物物种多样性方面，属当时调查获得的资料，直接引用或应用；属查阅资料获得的信息，如有其它文献资料佐证的也应用，否则，不应用。</w:t>
      </w:r>
    </w:p>
    <w:p>
      <w:pPr>
        <w:keepNext w:val="0"/>
        <w:keepLines w:val="0"/>
        <w:pageBreakBefore w:val="0"/>
        <w:widowControl w:val="0"/>
        <w:kinsoku/>
        <w:wordWrap/>
        <w:overflowPunct/>
        <w:topLinePunct w:val="0"/>
        <w:autoSpaceDE/>
        <w:autoSpaceDN/>
        <w:bidi w:val="0"/>
        <w:spacing w:line="360" w:lineRule="auto"/>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访谈法：通过对当地林业及野生动物保护工作者、有野外经验的农民等进行访问和调查，与当地林业部门和林场的管理人员的有关同志进行交谈，了解当地动物的种类分布、数量情况。访谈时，先让访谈对象列举在当地见过哪些动物，再请其初步描述动物的形态特征和生活习性，最后提供动物图片供其辨认以确定具体种类。访谈时，调查人员避免诱导性提问，尽可能获得客观信息。调查人员对访谈对象提供的信息进行综合分析，确定物种的有无情况。访谈法可以快速了解野生动物在调查范围内的种类、分布情况及大致数量等信息，是对野外调查的重要补充，有利于了解整个评价区的动物资源状况。</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野外实地调查方法：主要为样线法，辅以样方法进行，具体如下：</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1）兽类</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在评价区内采用样线法进行调查，现场记录遇见的动物，并对粪便、毛发、脚印和其它痕迹进行采样及识别。小型兽类调查采用设置样方法，并在样方内用铗日法进行调查；调查主要哺乳动物的种类时，则以现地调查结合座谈访问为主，并参考《四川兽类原色图鉴》进行确认，同时结合文献资料进行整理和分析。</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2）鸟类</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在评价区内用样线法统计调查鸟类鸣声、羽毛和个体等行经，同时结合文献资料确定其种类组成及其种群数量。此外对珍稀鸟类或大型鸟类则进行访问调查，并参考《四川鸟类原色图鉴》进行确认，同时结合文献资料进行整理和分析。</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3）两栖、爬行类</w:t>
      </w:r>
    </w:p>
    <w:p>
      <w:pPr>
        <w:keepNext w:val="0"/>
        <w:keepLines w:val="0"/>
        <w:pageBreakBefore w:val="0"/>
        <w:widowControl w:val="0"/>
        <w:kinsoku/>
        <w:wordWrap/>
        <w:overflowPunct/>
        <w:topLinePunct w:val="0"/>
        <w:autoSpaceDE/>
        <w:autoSpaceDN/>
        <w:bidi w:val="0"/>
        <w:spacing w:line="360" w:lineRule="auto"/>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两栖、爬行动物行动慢，活动范围小，对水环境的依赖性强，采用沿评价区附近溪河布设样线，辅以足够数量的样方于傍晚进行调查，依据看到的动物实体或痕迹并结合访问、文献资料进行分析整理，并参考《四川两栖类原色图鉴</w:t>
      </w:r>
      <w:r>
        <w:rPr>
          <w:rFonts w:hint="default" w:ascii="Times New Roman" w:hAnsi="Times New Roman" w:cs="Times New Roman"/>
          <w:b w:val="0"/>
          <w:bCs/>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四川爬行类动物原色图鉴》确定其种类。</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综合实地调查、访问调查和资料查阅，通过分析归纳和总结，得出项目区及其周边地区动物物种、种群数量和分布资料，为评价和保护提供科学依据。</w:t>
      </w:r>
    </w:p>
    <w:p>
      <w:pPr>
        <w:keepNext w:val="0"/>
        <w:keepLines w:val="0"/>
        <w:pageBreakBefore w:val="0"/>
        <w:kinsoku/>
        <w:wordWrap/>
        <w:overflowPunct/>
        <w:topLinePunct w:val="0"/>
        <w:autoSpaceDE/>
        <w:autoSpaceDN/>
        <w:bidi w:val="0"/>
        <w:adjustRightInd/>
        <w:snapToGrid/>
        <w:spacing w:line="360" w:lineRule="auto"/>
        <w:ind w:firstLine="480" w:firstLineChars="200"/>
        <w:outlineLvl w:val="9"/>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3、生态制图</w:t>
      </w:r>
    </w:p>
    <w:p>
      <w:pPr>
        <w:keepNext w:val="0"/>
        <w:keepLines w:val="0"/>
        <w:pageBreakBefore w:val="0"/>
        <w:widowControl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在现场调查和群系样地调查的基础上，采用GPS、RS和GIS相结合的空间信息技术，进行地面类型的数字化判读，统计评价范围内各植被类型、面积、土地利用现状类型及数量。完成数字化的植被类型图和土地利用现状图及土壤侵蚀图，进行景观质量和生态环境质量的定性和定量评价。</w:t>
      </w:r>
    </w:p>
    <w:p>
      <w:pPr>
        <w:keepNext w:val="0"/>
        <w:keepLines w:val="0"/>
        <w:pageBreakBefore w:val="0"/>
        <w:widowControl w:val="0"/>
        <w:kinsoku/>
        <w:wordWrap/>
        <w:overflowPunct/>
        <w:topLinePunct w:val="0"/>
        <w:autoSpaceDE/>
        <w:autoSpaceDN/>
        <w:bidi w:val="0"/>
        <w:adjustRightInd w:val="0"/>
        <w:snapToGrid w:val="0"/>
        <w:spacing w:before="0" w:beforeLines="0"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本次研究选用国产资源卫星zy-3卫片，融合后地面精度为2.1m，采用地表植被特征的“近红外、红外、绿”三个波段，其中植被影响主要反映为红色。植被类型不同，色彩和色调都发生相应变化，因此可区分出植被亚型以上的植被类型以及农田、居民用地等地面类型。同时也参考了美国wordview卫片作为参考，分辨率1.24米能较好地满足调查需求，但是，植被类型的确定需结合不同植被类型分布的生态学特征，不能单纯依靠色彩进行划分，对监督分类产生的植被初图，结合路线调查记录和等高线、坡度、坡向等信息，对植被图进行目视解译校正，得到符合精度的植被图。在植被图的基础上，进一步合并有关地面类型，得到土地利用类型图。</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）评价范围植被资源现状</w:t>
      </w:r>
    </w:p>
    <w:p>
      <w:pPr>
        <w:keepNext w:val="0"/>
        <w:keepLines w:val="0"/>
        <w:pageBreakBefore w:val="0"/>
        <w:widowControl w:val="0"/>
        <w:kinsoku/>
        <w:wordWrap/>
        <w:overflowPunct/>
        <w:topLinePunct w:val="0"/>
        <w:autoSpaceDE/>
        <w:autoSpaceDN/>
        <w:bidi w:val="0"/>
        <w:adjustRightInd w:val="0"/>
        <w:snapToGrid w:val="0"/>
        <w:spacing w:before="0" w:beforeLines="0" w:line="360" w:lineRule="auto"/>
        <w:ind w:firstLine="480" w:firstLineChars="200"/>
        <w:jc w:val="both"/>
        <w:textAlignment w:val="auto"/>
        <w:outlineLvl w:val="9"/>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评价范围内植被概况见表4.3-3及《附图</w:t>
      </w:r>
      <w:r>
        <w:rPr>
          <w:rFonts w:hint="eastAsia" w:ascii="Times New Roman" w:hAnsi="Times New Roman" w:cs="Times New Roman"/>
          <w:b w:val="0"/>
          <w:bCs/>
          <w:color w:val="000000" w:themeColor="text1"/>
          <w:kern w:val="2"/>
          <w:sz w:val="24"/>
          <w:szCs w:val="24"/>
          <w:highlight w:val="none"/>
          <w:lang w:val="en-US" w:eastAsia="zh-CN" w:bidi="ar-SA"/>
          <w14:textFill>
            <w14:solidFill>
              <w14:schemeClr w14:val="tx1"/>
            </w14:solidFill>
          </w14:textFill>
        </w:rPr>
        <w:t>5</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评价区植被类型图》。</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表4.3-3 评价范围内主要植被类型面积统计表</w:t>
      </w:r>
    </w:p>
    <w:tbl>
      <w:tblPr>
        <w:tblStyle w:val="90"/>
        <w:tblW w:w="51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82"/>
        <w:gridCol w:w="848"/>
        <w:gridCol w:w="930"/>
        <w:gridCol w:w="1341"/>
        <w:gridCol w:w="1925"/>
        <w:gridCol w:w="1459"/>
        <w:gridCol w:w="13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400"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植被型组</w:t>
            </w:r>
          </w:p>
        </w:tc>
        <w:tc>
          <w:tcPr>
            <w:tcW w:w="497"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植被型</w:t>
            </w:r>
          </w:p>
        </w:tc>
        <w:tc>
          <w:tcPr>
            <w:tcW w:w="545"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植被</w:t>
            </w: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亚</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型</w:t>
            </w:r>
          </w:p>
        </w:tc>
        <w:tc>
          <w:tcPr>
            <w:tcW w:w="786"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t>群系组</w:t>
            </w:r>
          </w:p>
        </w:tc>
        <w:tc>
          <w:tcPr>
            <w:tcW w:w="1126"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lang w:eastAsia="en-US"/>
                <w14:textFill>
                  <w14:solidFill>
                    <w14:schemeClr w14:val="tx1"/>
                  </w14:solidFill>
                </w14:textFill>
              </w:rPr>
              <w:t>群</w:t>
            </w:r>
            <w:r>
              <w:rPr>
                <w:rFonts w:hint="default" w:ascii="Times New Roman" w:hAnsi="Times New Roman" w:eastAsia="宋体" w:cs="Times New Roman"/>
                <w:b w:val="0"/>
                <w:bCs/>
                <w:color w:val="000000" w:themeColor="text1"/>
                <w:spacing w:val="-2"/>
                <w:sz w:val="21"/>
                <w:szCs w:val="21"/>
                <w:highlight w:val="none"/>
                <w:lang w:eastAsia="en-US"/>
                <w14:textFill>
                  <w14:solidFill>
                    <w14:schemeClr w14:val="tx1"/>
                  </w14:solidFill>
                </w14:textFill>
              </w:rPr>
              <w:t>系</w:t>
            </w:r>
          </w:p>
        </w:tc>
        <w:tc>
          <w:tcPr>
            <w:tcW w:w="855"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面积</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hm²</w:t>
            </w:r>
            <w:r>
              <w:rPr>
                <w:rFonts w:hint="eastAsia" w:cs="Times New Roman"/>
                <w:b w:val="0"/>
                <w:bCs/>
                <w:color w:val="000000" w:themeColor="text1"/>
                <w:sz w:val="21"/>
                <w:szCs w:val="21"/>
                <w:highlight w:val="none"/>
                <w:lang w:eastAsia="zh-CN"/>
                <w14:textFill>
                  <w14:solidFill>
                    <w14:schemeClr w14:val="tx1"/>
                  </w14:solidFill>
                </w14:textFill>
              </w:rPr>
              <w:t>）</w:t>
            </w:r>
          </w:p>
        </w:tc>
        <w:tc>
          <w:tcPr>
            <w:tcW w:w="788"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比例</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w:t>
            </w:r>
            <w:r>
              <w:rPr>
                <w:rFonts w:hint="eastAsia" w:cs="Times New Roman"/>
                <w:b w:val="0"/>
                <w:bCs/>
                <w:color w:val="000000" w:themeColor="text1"/>
                <w:sz w:val="21"/>
                <w:szCs w:val="21"/>
                <w:highlight w:val="none"/>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400"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针叶林</w:t>
            </w:r>
          </w:p>
        </w:tc>
        <w:tc>
          <w:tcPr>
            <w:tcW w:w="497"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暖性</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针叶林</w:t>
            </w:r>
          </w:p>
        </w:tc>
        <w:tc>
          <w:tcPr>
            <w:tcW w:w="545"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12"/>
                <w:sz w:val="21"/>
                <w:szCs w:val="21"/>
                <w:highlight w:val="none"/>
                <w:lang w:eastAsia="en-US"/>
                <w14:textFill>
                  <w14:solidFill>
                    <w14:schemeClr w14:val="tx1"/>
                  </w14:solidFill>
                </w14:textFill>
              </w:rPr>
              <w:t>暖性常绿</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针叶林</w:t>
            </w:r>
          </w:p>
        </w:tc>
        <w:tc>
          <w:tcPr>
            <w:tcW w:w="786"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暖性松林</w:t>
            </w:r>
          </w:p>
        </w:tc>
        <w:tc>
          <w:tcPr>
            <w:tcW w:w="1126"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马尾松</w:t>
            </w:r>
            <w:r>
              <w:rPr>
                <w:rFonts w:hint="default" w:ascii="Times New Roman" w:hAnsi="Times New Roman" w:eastAsia="宋体" w:cs="Times New Roman"/>
                <w:b w:val="0"/>
                <w:bCs/>
                <w:color w:val="000000" w:themeColor="text1"/>
                <w:spacing w:val="-3"/>
                <w:sz w:val="21"/>
                <w:szCs w:val="21"/>
                <w:highlight w:val="none"/>
                <w:lang w:eastAsia="en-US"/>
                <w14:textFill>
                  <w14:solidFill>
                    <w14:schemeClr w14:val="tx1"/>
                  </w14:solidFill>
                </w14:textFill>
              </w:rPr>
              <w:t>群</w:t>
            </w:r>
            <w:r>
              <w:rPr>
                <w:rFonts w:hint="default" w:ascii="Times New Roman" w:hAnsi="Times New Roman" w:eastAsia="宋体" w:cs="Times New Roman"/>
                <w:b w:val="0"/>
                <w:bCs/>
                <w:color w:val="000000" w:themeColor="text1"/>
                <w:spacing w:val="-2"/>
                <w:sz w:val="21"/>
                <w:szCs w:val="21"/>
                <w:highlight w:val="none"/>
                <w:lang w:eastAsia="en-US"/>
                <w14:textFill>
                  <w14:solidFill>
                    <w14:schemeClr w14:val="tx1"/>
                  </w14:solidFill>
                </w14:textFill>
              </w:rPr>
              <w:t>系</w:t>
            </w:r>
          </w:p>
        </w:tc>
        <w:tc>
          <w:tcPr>
            <w:tcW w:w="14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12.20</w:t>
            </w:r>
          </w:p>
        </w:tc>
        <w:tc>
          <w:tcPr>
            <w:tcW w:w="13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 xml:space="preserve">32.08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9" w:hRule="atLeast"/>
          <w:jc w:val="center"/>
        </w:trPr>
        <w:tc>
          <w:tcPr>
            <w:tcW w:w="400"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阔叶林</w:t>
            </w:r>
          </w:p>
        </w:tc>
        <w:tc>
          <w:tcPr>
            <w:tcW w:w="497"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落叶</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阔叶林</w:t>
            </w:r>
          </w:p>
        </w:tc>
        <w:tc>
          <w:tcPr>
            <w:tcW w:w="545"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典型</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落叶阔叶林</w:t>
            </w:r>
          </w:p>
        </w:tc>
        <w:tc>
          <w:tcPr>
            <w:tcW w:w="786"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t>栎林</w:t>
            </w:r>
          </w:p>
        </w:tc>
        <w:tc>
          <w:tcPr>
            <w:tcW w:w="1126"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t>麻栎</w:t>
            </w: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t>青冈</w:t>
            </w: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+栓皮栎</w:t>
            </w:r>
            <w:r>
              <w:rPr>
                <w:rFonts w:hint="default" w:ascii="Times New Roman" w:hAnsi="Times New Roman" w:eastAsia="宋体" w:cs="Times New Roman"/>
                <w:b w:val="0"/>
                <w:bCs/>
                <w:color w:val="000000" w:themeColor="text1"/>
                <w:spacing w:val="15"/>
                <w:sz w:val="21"/>
                <w:szCs w:val="21"/>
                <w:highlight w:val="none"/>
                <w:lang w:eastAsia="en-US"/>
                <w14:textFill>
                  <w14:solidFill>
                    <w14:schemeClr w14:val="tx1"/>
                  </w14:solidFill>
                </w14:textFill>
              </w:rPr>
              <w:t>群系</w:t>
            </w:r>
          </w:p>
        </w:tc>
        <w:tc>
          <w:tcPr>
            <w:tcW w:w="14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13.45</w:t>
            </w:r>
          </w:p>
        </w:tc>
        <w:tc>
          <w:tcPr>
            <w:tcW w:w="13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 xml:space="preserve">35.35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00" w:type="pct"/>
            <w:vMerge w:val="restar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灌丛和灌 草丛</w:t>
            </w:r>
          </w:p>
        </w:tc>
        <w:tc>
          <w:tcPr>
            <w:tcW w:w="497"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落叶阔叶灌丛</w:t>
            </w:r>
          </w:p>
        </w:tc>
        <w:tc>
          <w:tcPr>
            <w:tcW w:w="545"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暖性落叶</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阔叶灌丛</w:t>
            </w:r>
          </w:p>
        </w:tc>
        <w:tc>
          <w:tcPr>
            <w:tcW w:w="786"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t>低山丘陵落叶</w:t>
            </w:r>
            <w:r>
              <w:rPr>
                <w:rFonts w:hint="default" w:ascii="Times New Roman" w:hAnsi="Times New Roman" w:eastAsia="宋体" w:cs="Times New Roman"/>
                <w:b w:val="0"/>
                <w:bCs/>
                <w:color w:val="000000" w:themeColor="text1"/>
                <w:spacing w:val="15"/>
                <w:sz w:val="21"/>
                <w:szCs w:val="21"/>
                <w:highlight w:val="none"/>
                <w:lang w:eastAsia="en-US"/>
                <w14:textFill>
                  <w14:solidFill>
                    <w14:schemeClr w14:val="tx1"/>
                  </w14:solidFill>
                </w14:textFill>
              </w:rPr>
              <w:t>阔叶灌丛</w:t>
            </w:r>
          </w:p>
        </w:tc>
        <w:tc>
          <w:tcPr>
            <w:tcW w:w="1126"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t>马桑+黄荆+火棘+荚蒾灌丛</w:t>
            </w:r>
          </w:p>
        </w:tc>
        <w:tc>
          <w:tcPr>
            <w:tcW w:w="14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3.09</w:t>
            </w:r>
          </w:p>
        </w:tc>
        <w:tc>
          <w:tcPr>
            <w:tcW w:w="13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 xml:space="preserve">8.12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400" w:type="pct"/>
            <w:vMerge w:val="continue"/>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pPr>
          </w:p>
        </w:tc>
        <w:tc>
          <w:tcPr>
            <w:tcW w:w="497"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灌草丛</w:t>
            </w:r>
          </w:p>
        </w:tc>
        <w:tc>
          <w:tcPr>
            <w:tcW w:w="545" w:type="pct"/>
            <w:vAlign w:val="center"/>
          </w:tcPr>
          <w:p>
            <w:pPr>
              <w:keepNext w:val="0"/>
              <w:keepLines w:val="0"/>
              <w:pageBreakBefore w:val="0"/>
              <w:kinsoku/>
              <w:wordWrap/>
              <w:overflowPunct/>
              <w:topLinePunct w:val="0"/>
              <w:autoSpaceDE/>
              <w:autoSpaceDN/>
              <w:bidi w:val="0"/>
              <w:adjustRightInd/>
              <w:snapToGrid/>
              <w:spacing w:before="51" w:line="214" w:lineRule="auto"/>
              <w:ind w:firstLine="0" w:firstLineChars="0"/>
              <w:jc w:val="center"/>
              <w:outlineLvl w:val="9"/>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暖热性灌</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草丛</w:t>
            </w:r>
          </w:p>
        </w:tc>
        <w:tc>
          <w:tcPr>
            <w:tcW w:w="786"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t>禾草灌草丛</w:t>
            </w:r>
          </w:p>
        </w:tc>
        <w:tc>
          <w:tcPr>
            <w:tcW w:w="1126"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t>芒</w:t>
            </w: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t>白茅草丛群系</w:t>
            </w:r>
          </w:p>
        </w:tc>
        <w:tc>
          <w:tcPr>
            <w:tcW w:w="14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4.36</w:t>
            </w:r>
          </w:p>
        </w:tc>
        <w:tc>
          <w:tcPr>
            <w:tcW w:w="13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 xml:space="preserve">11.45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6" w:type="pct"/>
            <w:gridSpan w:val="5"/>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玉米、红苕、棉花、花生、小麦、马铃薯、豌豆为主的旱地作物植被</w:t>
            </w:r>
          </w:p>
        </w:tc>
        <w:tc>
          <w:tcPr>
            <w:tcW w:w="14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2.34</w:t>
            </w:r>
          </w:p>
        </w:tc>
        <w:tc>
          <w:tcPr>
            <w:tcW w:w="13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 xml:space="preserve">6.14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6" w:type="pct"/>
            <w:gridSpan w:val="5"/>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水域</w:t>
            </w:r>
          </w:p>
        </w:tc>
        <w:tc>
          <w:tcPr>
            <w:tcW w:w="14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0.23</w:t>
            </w:r>
          </w:p>
        </w:tc>
        <w:tc>
          <w:tcPr>
            <w:tcW w:w="13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 xml:space="preserve">0.59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6" w:type="pct"/>
            <w:gridSpan w:val="5"/>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无植被</w:t>
            </w:r>
          </w:p>
        </w:tc>
        <w:tc>
          <w:tcPr>
            <w:tcW w:w="14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2.38</w:t>
            </w:r>
          </w:p>
        </w:tc>
        <w:tc>
          <w:tcPr>
            <w:tcW w:w="13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 xml:space="preserve">6.26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6" w:type="pct"/>
            <w:gridSpan w:val="5"/>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2"/>
                <w:szCs w:val="22"/>
                <w:highlight w:val="none"/>
                <w:u w:val="none"/>
                <w:lang w:val="en-US" w:eastAsia="zh-CN" w:bidi="ar"/>
                <w14:textFill>
                  <w14:solidFill>
                    <w14:schemeClr w14:val="tx1"/>
                  </w14:solidFill>
                </w14:textFill>
              </w:rPr>
              <w:t>合计</w:t>
            </w:r>
          </w:p>
        </w:tc>
        <w:tc>
          <w:tcPr>
            <w:tcW w:w="145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 xml:space="preserve">38.04 </w:t>
            </w:r>
          </w:p>
        </w:tc>
        <w:tc>
          <w:tcPr>
            <w:tcW w:w="134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bottom"/>
              <w:outlineLvl w:val="9"/>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 xml:space="preserve">100.00 </w:t>
            </w:r>
          </w:p>
        </w:tc>
      </w:tr>
    </w:tbl>
    <w:p>
      <w:pPr>
        <w:keepNext w:val="0"/>
        <w:keepLines w:val="0"/>
        <w:pageBreakBefore w:val="0"/>
        <w:kinsoku/>
        <w:wordWrap/>
        <w:overflowPunct/>
        <w:topLinePunct w:val="0"/>
        <w:autoSpaceDE/>
        <w:autoSpaceDN/>
        <w:bidi w:val="0"/>
        <w:adjustRightInd w:val="0"/>
        <w:snapToGrid w:val="0"/>
        <w:spacing w:line="360" w:lineRule="auto"/>
        <w:ind w:firstLine="480" w:firstLineChars="200"/>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由表4.3-3可看出，本次评价范围内以</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麻栎</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青冈</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+栓皮栎</w:t>
      </w:r>
      <w:r>
        <w:rPr>
          <w:rFonts w:hint="default" w:ascii="Times New Roman" w:hAnsi="Times New Roman" w:eastAsia="宋体" w:cs="Times New Roman"/>
          <w:b w:val="0"/>
          <w:bCs/>
          <w:color w:val="000000" w:themeColor="text1"/>
          <w:sz w:val="24"/>
          <w:szCs w:val="24"/>
          <w:highlight w:val="none"/>
          <w:lang w:eastAsia="en-US"/>
          <w14:textFill>
            <w14:solidFill>
              <w14:schemeClr w14:val="tx1"/>
            </w14:solidFill>
          </w14:textFill>
        </w:rPr>
        <w:t>群系</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占比最大，占评价面积的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35.35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%，其次为</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马尾松</w:t>
      </w:r>
      <w:r>
        <w:rPr>
          <w:rFonts w:hint="default" w:ascii="Times New Roman" w:hAnsi="Times New Roman" w:eastAsia="宋体" w:cs="Times New Roman"/>
          <w:b w:val="0"/>
          <w:bCs/>
          <w:color w:val="000000" w:themeColor="text1"/>
          <w:sz w:val="24"/>
          <w:szCs w:val="24"/>
          <w:highlight w:val="none"/>
          <w:lang w:eastAsia="en-US"/>
          <w14:textFill>
            <w14:solidFill>
              <w14:schemeClr w14:val="tx1"/>
            </w14:solidFill>
          </w14:textFill>
        </w:rPr>
        <w:t>群系</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，占评价面积的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32.08</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芒</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白茅草丛群系，</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占评价面积的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11.45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%，其他植被类型所占比例均低于</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%，综上，本项目评价范围植被类型主要以</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乔木林植被</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占优。</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）评价范围土地利用现状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评价范围内土地利用概况见表4.3-4及《附图</w:t>
      </w:r>
      <w:r>
        <w:rPr>
          <w:rFonts w:hint="eastAsia" w:ascii="Times New Roman" w:hAnsi="Times New Roman" w:cs="Times New Roman"/>
          <w:b w:val="0"/>
          <w:bCs/>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b w:val="0"/>
          <w:bCs/>
          <w:color w:val="000000" w:themeColor="text1"/>
          <w:sz w:val="24"/>
          <w:highlight w:val="none"/>
          <w14:textFill>
            <w14:solidFill>
              <w14:schemeClr w14:val="tx1"/>
            </w14:solidFill>
          </w14:textFill>
        </w:rPr>
        <w:t>评价区土地利用现状图》。</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表4.3-4 本次评价范围内土地利用现状情况</w:t>
      </w:r>
    </w:p>
    <w:tbl>
      <w:tblPr>
        <w:tblStyle w:val="5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30"/>
        <w:gridCol w:w="2576"/>
        <w:gridCol w:w="2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土地利用类型</w:t>
            </w:r>
          </w:p>
        </w:tc>
        <w:tc>
          <w:tcPr>
            <w:tcW w:w="151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面积</w:t>
            </w:r>
            <w:r>
              <w:rPr>
                <w:rFonts w:hint="default" w:ascii="Times New Roman" w:hAnsi="Times New Roman" w:cs="Times New Roman"/>
                <w:b w:val="0"/>
                <w:bCs/>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hm</w:t>
            </w:r>
            <w:r>
              <w:rPr>
                <w:rFonts w:hint="default" w:ascii="Times New Roman" w:hAnsi="Times New Roman" w:eastAsia="宋体" w:cs="Times New Roman"/>
                <w:b w:val="0"/>
                <w:bCs/>
                <w:color w:val="000000" w:themeColor="text1"/>
                <w:kern w:val="0"/>
                <w:sz w:val="21"/>
                <w:szCs w:val="21"/>
                <w:highlight w:val="none"/>
                <w:vertAlign w:val="superscript"/>
                <w14:textFill>
                  <w14:solidFill>
                    <w14:schemeClr w14:val="tx1"/>
                  </w14:solidFill>
                </w14:textFill>
              </w:rPr>
              <w:t>2</w:t>
            </w:r>
            <w:r>
              <w:rPr>
                <w:rFonts w:hint="eastAsia" w:cs="Times New Roman"/>
                <w:b w:val="0"/>
                <w:bCs/>
                <w:color w:val="000000" w:themeColor="text1"/>
                <w:kern w:val="0"/>
                <w:sz w:val="21"/>
                <w:szCs w:val="21"/>
                <w:highlight w:val="none"/>
                <w:vertAlign w:val="superscript"/>
                <w:lang w:eastAsia="zh-CN"/>
                <w14:textFill>
                  <w14:solidFill>
                    <w14:schemeClr w14:val="tx1"/>
                  </w14:solidFill>
                </w14:textFill>
              </w:rPr>
              <w:t>）</w:t>
            </w:r>
          </w:p>
        </w:tc>
        <w:tc>
          <w:tcPr>
            <w:tcW w:w="153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百分比</w:t>
            </w:r>
            <w:r>
              <w:rPr>
                <w:rFonts w:hint="default" w:ascii="Times New Roman" w:hAnsi="Times New Roman" w:cs="Times New Roman"/>
                <w:b w:val="0"/>
                <w:bCs/>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w:t>
            </w:r>
            <w:r>
              <w:rPr>
                <w:rFonts w:hint="eastAsia" w:cs="Times New Roman"/>
                <w:b w:val="0"/>
                <w:bCs/>
                <w:color w:val="000000" w:themeColor="text1"/>
                <w:kern w:val="0"/>
                <w:sz w:val="21"/>
                <w:szCs w:val="21"/>
                <w:highlight w:val="none"/>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旱地</w:t>
            </w:r>
          </w:p>
        </w:tc>
        <w:tc>
          <w:tcPr>
            <w:tcW w:w="151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2.34 </w:t>
            </w:r>
          </w:p>
        </w:tc>
        <w:tc>
          <w:tcPr>
            <w:tcW w:w="153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6.14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乔木林地</w:t>
            </w:r>
          </w:p>
        </w:tc>
        <w:tc>
          <w:tcPr>
            <w:tcW w:w="151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25.65 </w:t>
            </w:r>
          </w:p>
        </w:tc>
        <w:tc>
          <w:tcPr>
            <w:tcW w:w="153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67.44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灌木林地</w:t>
            </w:r>
          </w:p>
        </w:tc>
        <w:tc>
          <w:tcPr>
            <w:tcW w:w="151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3.09 </w:t>
            </w:r>
          </w:p>
        </w:tc>
        <w:tc>
          <w:tcPr>
            <w:tcW w:w="153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8.12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其他草地</w:t>
            </w:r>
          </w:p>
        </w:tc>
        <w:tc>
          <w:tcPr>
            <w:tcW w:w="151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4.36 </w:t>
            </w:r>
          </w:p>
        </w:tc>
        <w:tc>
          <w:tcPr>
            <w:tcW w:w="153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11.45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公路用地</w:t>
            </w:r>
          </w:p>
        </w:tc>
        <w:tc>
          <w:tcPr>
            <w:tcW w:w="151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0.93 </w:t>
            </w:r>
          </w:p>
        </w:tc>
        <w:tc>
          <w:tcPr>
            <w:tcW w:w="153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2.44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工业用地</w:t>
            </w:r>
          </w:p>
        </w:tc>
        <w:tc>
          <w:tcPr>
            <w:tcW w:w="151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1.35 </w:t>
            </w:r>
          </w:p>
        </w:tc>
        <w:tc>
          <w:tcPr>
            <w:tcW w:w="153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3.54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农村宅基地</w:t>
            </w:r>
          </w:p>
        </w:tc>
        <w:tc>
          <w:tcPr>
            <w:tcW w:w="151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0.10 </w:t>
            </w:r>
          </w:p>
        </w:tc>
        <w:tc>
          <w:tcPr>
            <w:tcW w:w="153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0.27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坑塘水面</w:t>
            </w:r>
          </w:p>
        </w:tc>
        <w:tc>
          <w:tcPr>
            <w:tcW w:w="151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0.23 </w:t>
            </w:r>
          </w:p>
        </w:tc>
        <w:tc>
          <w:tcPr>
            <w:tcW w:w="153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0.59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合计</w:t>
            </w:r>
          </w:p>
        </w:tc>
        <w:tc>
          <w:tcPr>
            <w:tcW w:w="151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38.04 </w:t>
            </w:r>
          </w:p>
        </w:tc>
        <w:tc>
          <w:tcPr>
            <w:tcW w:w="153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outlineLvl w:val="9"/>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100.00 </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由表4.3-4看出，本次评价范围内乔木林地</w:t>
      </w:r>
      <w:r>
        <w:rPr>
          <w:rFonts w:hint="default" w:ascii="Times New Roman" w:hAnsi="Times New Roman" w:eastAsia="宋体" w:cs="Times New Roman"/>
          <w:b w:val="0"/>
          <w:bCs/>
          <w:i w:val="0"/>
          <w:iCs w:val="0"/>
          <w:color w:val="000000" w:themeColor="text1"/>
          <w:kern w:val="0"/>
          <w:sz w:val="24"/>
          <w:szCs w:val="24"/>
          <w:highlight w:val="none"/>
          <w:u w:val="none"/>
          <w:lang w:val="en-US" w:eastAsia="zh-CN" w:bidi="ar"/>
          <w14:textFill>
            <w14:solidFill>
              <w14:schemeClr w14:val="tx1"/>
            </w14:solidFill>
          </w14:textFill>
        </w:rPr>
        <w:t>25.65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，占评价范围的</w:t>
      </w:r>
      <w:r>
        <w:rPr>
          <w:rFonts w:hint="default" w:ascii="Times New Roman" w:hAnsi="Times New Roman" w:eastAsia="宋体" w:cs="Times New Roman"/>
          <w:b w:val="0"/>
          <w:bCs/>
          <w:i w:val="0"/>
          <w:iCs w:val="0"/>
          <w:color w:val="000000" w:themeColor="text1"/>
          <w:kern w:val="0"/>
          <w:sz w:val="24"/>
          <w:szCs w:val="24"/>
          <w:highlight w:val="none"/>
          <w:u w:val="none"/>
          <w:lang w:val="en-US" w:eastAsia="zh-CN" w:bidi="ar"/>
          <w14:textFill>
            <w14:solidFill>
              <w14:schemeClr w14:val="tx1"/>
            </w14:solidFill>
          </w14:textFill>
        </w:rPr>
        <w:t>67.44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14:textFill>
            <w14:solidFill>
              <w14:schemeClr w14:val="tx1"/>
            </w14:solidFill>
          </w14:textFill>
        </w:rPr>
        <w:t>其他草地</w:t>
      </w:r>
      <w:r>
        <w:rPr>
          <w:rFonts w:hint="default" w:ascii="Times New Roman" w:hAnsi="Times New Roman" w:eastAsia="宋体" w:cs="Times New Roman"/>
          <w:b w:val="0"/>
          <w:bCs/>
          <w:i w:val="0"/>
          <w:iCs w:val="0"/>
          <w:color w:val="000000" w:themeColor="text1"/>
          <w:kern w:val="0"/>
          <w:sz w:val="24"/>
          <w:szCs w:val="24"/>
          <w:highlight w:val="none"/>
          <w:u w:val="none"/>
          <w:lang w:val="en-US" w:eastAsia="zh-CN" w:bidi="ar"/>
          <w14:textFill>
            <w14:solidFill>
              <w14:schemeClr w14:val="tx1"/>
            </w14:solidFill>
          </w14:textFill>
        </w:rPr>
        <w:t>4.36</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，占评价范围的</w:t>
      </w:r>
      <w:r>
        <w:rPr>
          <w:rFonts w:hint="default" w:ascii="Times New Roman" w:hAnsi="Times New Roman" w:eastAsia="宋体" w:cs="Times New Roman"/>
          <w:b w:val="0"/>
          <w:bCs/>
          <w:i w:val="0"/>
          <w:iCs w:val="0"/>
          <w:color w:val="000000" w:themeColor="text1"/>
          <w:kern w:val="0"/>
          <w:sz w:val="24"/>
          <w:szCs w:val="24"/>
          <w:highlight w:val="none"/>
          <w:u w:val="none"/>
          <w:lang w:val="en-US" w:eastAsia="zh-CN" w:bidi="ar"/>
          <w14:textFill>
            <w14:solidFill>
              <w14:schemeClr w14:val="tx1"/>
            </w14:solidFill>
          </w14:textFill>
        </w:rPr>
        <w:t>11.45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%，其余地类均低于</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%。综上，本次评价范围内土地类型以乔木林地</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和草地</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为主。</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）植被覆盖度分布特征</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0"/>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植被覆盖度分析采用基于NDVI的像元二分模型法反演植被覆盖度。根据象元二分模型原理，可以将每个象元的NDVI值表示为植被覆盖部分和无植被覆盖部分组</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成的形式，用公式可表示为：</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0"/>
        <w:jc w:val="center"/>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NDVI= NDVI</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veg</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×f</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c</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NDVI</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soil</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 f</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c</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（a）</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0"/>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式中：NDVI</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veg</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代表完全由植被覆盖的象元的NDVI值；NDVI</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soil</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代表完全无植被覆盖的象元NDVI值；f</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c</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代表植被覆盖度。</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0"/>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公式（a）经变换即可得到植被覆盖度的计算公式：</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0"/>
        <w:jc w:val="center"/>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f</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c</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xml:space="preserve"> =（NDVI-NDVI</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soil</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）/（NDVI</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veg</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-NDVI</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soil</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根据公式（b），利用ERDAS IMAGINE中的Modeler模块建模编写程序来计算覆盖度，得到了评价区的植被覆盖度图。</w:t>
      </w:r>
      <w:r>
        <w:rPr>
          <w:rFonts w:hint="default" w:ascii="Times New Roman" w:hAnsi="Times New Roman" w:eastAsia="宋体" w:cs="Times New Roman"/>
          <w:b w:val="0"/>
          <w:bCs/>
          <w:color w:val="000000" w:themeColor="text1"/>
          <w:sz w:val="24"/>
          <w:highlight w:val="none"/>
          <w14:textFill>
            <w14:solidFill>
              <w14:schemeClr w14:val="tx1"/>
            </w14:solidFill>
          </w14:textFill>
        </w:rPr>
        <w:t>根据遥感解译结果，参照《生态环境状况评价技术规范》（HJ192-2015，2015-03-13）、《土壤侵蚀分类分级标准》（SL190-2007，2008-01-04），评价区植被覆盖度划分为高覆盖度（&gt;70%）、中高覆盖度（50%～70%）、中覆盖度（30%～50%）、中低覆盖度（10%-30%）、极低覆盖度（&lt;10%）五个级别</w:t>
      </w:r>
      <w:bookmarkStart w:id="241" w:name="_Toc25682918"/>
      <w:r>
        <w:rPr>
          <w:rFonts w:hint="default" w:ascii="Times New Roman" w:hAnsi="Times New Roman" w:eastAsia="宋体" w:cs="Times New Roman"/>
          <w:b w:val="0"/>
          <w:bCs/>
          <w:color w:val="000000" w:themeColor="text1"/>
          <w:sz w:val="24"/>
          <w:highlight w:val="none"/>
          <w14:textFill>
            <w14:solidFill>
              <w14:schemeClr w14:val="tx1"/>
            </w14:solidFill>
          </w14:textFill>
        </w:rPr>
        <w:t>，植被覆盖度分布特征及解译结果</w:t>
      </w:r>
      <w:bookmarkEnd w:id="241"/>
      <w:r>
        <w:rPr>
          <w:rFonts w:hint="default" w:ascii="Times New Roman" w:hAnsi="Times New Roman" w:eastAsia="宋体" w:cs="Times New Roman"/>
          <w:b w:val="0"/>
          <w:bCs/>
          <w:color w:val="000000" w:themeColor="text1"/>
          <w:sz w:val="24"/>
          <w:highlight w:val="none"/>
          <w14:textFill>
            <w14:solidFill>
              <w14:schemeClr w14:val="tx1"/>
            </w14:solidFill>
          </w14:textFill>
        </w:rPr>
        <w:t>见下表。</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表4.3-5  植被覆盖度分布面积统计表</w:t>
      </w:r>
    </w:p>
    <w:tbl>
      <w:tblPr>
        <w:tblStyle w:val="5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1"/>
        <w:gridCol w:w="3410"/>
        <w:gridCol w:w="1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4" w:type="pct"/>
            <w:vMerge w:val="restart"/>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植被覆盖度类型</w:t>
            </w:r>
          </w:p>
        </w:tc>
        <w:tc>
          <w:tcPr>
            <w:tcW w:w="3075" w:type="pct"/>
            <w:gridSpan w:val="2"/>
            <w:shd w:val="clear" w:color="000000"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评价区范围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4" w:type="pct"/>
            <w:vMerge w:val="continue"/>
            <w:shd w:val="clear" w:color="auto" w:fill="auto"/>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00" w:type="pct"/>
            <w:shd w:val="clear" w:color="000000"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面积（hm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1075" w:type="pct"/>
            <w:shd w:val="clear" w:color="000000"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4"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极低覆盖度&lt;10%</w:t>
            </w:r>
          </w:p>
        </w:tc>
        <w:tc>
          <w:tcPr>
            <w:tcW w:w="2000"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2.61 </w:t>
            </w:r>
          </w:p>
        </w:tc>
        <w:tc>
          <w:tcPr>
            <w:tcW w:w="1075"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6.85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4"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中低覆盖度10%-30%</w:t>
            </w:r>
          </w:p>
        </w:tc>
        <w:tc>
          <w:tcPr>
            <w:tcW w:w="2000"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4.36 </w:t>
            </w:r>
          </w:p>
        </w:tc>
        <w:tc>
          <w:tcPr>
            <w:tcW w:w="1075"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11.45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4"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中覆盖度30%-50%</w:t>
            </w:r>
          </w:p>
        </w:tc>
        <w:tc>
          <w:tcPr>
            <w:tcW w:w="2000"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2.34 </w:t>
            </w:r>
          </w:p>
        </w:tc>
        <w:tc>
          <w:tcPr>
            <w:tcW w:w="1075"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4"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中高覆盖度50%-70%</w:t>
            </w:r>
          </w:p>
        </w:tc>
        <w:tc>
          <w:tcPr>
            <w:tcW w:w="2000"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3.09 </w:t>
            </w:r>
          </w:p>
        </w:tc>
        <w:tc>
          <w:tcPr>
            <w:tcW w:w="1075"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8.12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4"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高覆盖度&gt;70%</w:t>
            </w:r>
          </w:p>
        </w:tc>
        <w:tc>
          <w:tcPr>
            <w:tcW w:w="2000"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25.65 </w:t>
            </w:r>
          </w:p>
        </w:tc>
        <w:tc>
          <w:tcPr>
            <w:tcW w:w="1075"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67.44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4"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合计</w:t>
            </w:r>
          </w:p>
        </w:tc>
        <w:tc>
          <w:tcPr>
            <w:tcW w:w="2000"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38.04 </w:t>
            </w:r>
          </w:p>
        </w:tc>
        <w:tc>
          <w:tcPr>
            <w:tcW w:w="1075" w:type="pct"/>
            <w:shd w:val="clear" w:color="auto" w:fill="FFFFFF"/>
            <w:noWrap/>
            <w:vAlign w:val="center"/>
          </w:tcPr>
          <w:p>
            <w:pPr>
              <w:keepNext w:val="0"/>
              <w:keepLines w:val="0"/>
              <w:pageBreakBefore w:val="0"/>
              <w:kinsoku/>
              <w:wordWrap/>
              <w:overflowPunct/>
              <w:topLinePunct w:val="0"/>
              <w:autoSpaceDE/>
              <w:autoSpaceDN/>
              <w:bidi w:val="0"/>
              <w:adjustRightInd w:val="0"/>
              <w:snapToGrid w:val="0"/>
              <w:spacing w:line="260" w:lineRule="exact"/>
              <w:ind w:firstLine="0" w:firstLineChars="0"/>
              <w:jc w:val="center"/>
              <w:outlineLvl w:val="9"/>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100.00 </w:t>
            </w:r>
          </w:p>
        </w:tc>
      </w:tr>
    </w:tbl>
    <w:p>
      <w:pPr>
        <w:keepNext w:val="0"/>
        <w:keepLines w:val="0"/>
        <w:pageBreakBefore w:val="0"/>
        <w:kinsoku/>
        <w:wordWrap/>
        <w:overflowPunct/>
        <w:topLinePunct w:val="0"/>
        <w:autoSpaceDE/>
        <w:autoSpaceDN/>
        <w:bidi w:val="0"/>
        <w:adjustRightInd w:val="0"/>
        <w:snapToGrid w:val="0"/>
        <w:spacing w:before="120" w:beforeLines="50" w:line="360" w:lineRule="auto"/>
        <w:ind w:firstLine="480" w:firstLineChars="200"/>
        <w:outlineLvl w:val="9"/>
        <w:rPr>
          <w:rFonts w:hint="default" w:ascii="Times New Roman" w:hAnsi="Times New Roman" w:eastAsia="宋体" w:cs="Times New Roman"/>
          <w:b w:val="0"/>
          <w:bCs/>
          <w:color w:val="000000" w:themeColor="text1"/>
          <w:sz w:val="24"/>
          <w:highlight w:val="none"/>
          <w14:textFill>
            <w14:solidFill>
              <w14:schemeClr w14:val="tx1"/>
            </w14:solidFill>
          </w14:textFill>
        </w:rPr>
      </w:pPr>
    </w:p>
    <w:p>
      <w:pPr>
        <w:keepNext w:val="0"/>
        <w:keepLines w:val="0"/>
        <w:pageBreakBefore w:val="0"/>
        <w:kinsoku/>
        <w:wordWrap/>
        <w:overflowPunct/>
        <w:topLinePunct w:val="0"/>
        <w:autoSpaceDE/>
        <w:autoSpaceDN/>
        <w:bidi w:val="0"/>
        <w:adjustRightInd w:val="0"/>
        <w:snapToGrid w:val="0"/>
        <w:spacing w:before="120" w:beforeLines="50" w:line="360" w:lineRule="auto"/>
        <w:ind w:firstLine="480" w:firstLineChars="200"/>
        <w:outlineLvl w:val="9"/>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区属中亚热带湿润季风气候区，植被区划处于亚热带常绿阔叶林区域，水热条件较好，植被总体覆盖度较高。从解译结果看，评价区范围内，高覆盖度植被主要分布在针叶林及阔叶林区，群落多为乔灌草三层，综合覆盖度较高；中高覆盖度植被主要为稀疏乔木林及灌丛植被分布区，群落结构多为灌草两层；中覆盖度多为草丛植被分布区。</w:t>
      </w:r>
    </w:p>
    <w:bookmarkEnd w:id="240"/>
    <w:p>
      <w:pPr>
        <w:pStyle w:val="4"/>
        <w:spacing w:before="120"/>
        <w:ind w:left="480" w:leftChars="0" w:firstLineChars="0"/>
        <w:rPr>
          <w:rFonts w:hint="default" w:ascii="Times New Roman" w:hAnsi="Times New Roman" w:cs="Times New Roman"/>
          <w:color w:val="000000" w:themeColor="text1"/>
          <w:highlight w:val="none"/>
          <w:lang w:val="en-US" w:eastAsia="zh-CN"/>
          <w14:textFill>
            <w14:solidFill>
              <w14:schemeClr w14:val="tx1"/>
            </w14:solidFill>
          </w14:textFill>
        </w:rPr>
      </w:pPr>
      <w:bookmarkStart w:id="242" w:name="_Toc120173137"/>
      <w:bookmarkStart w:id="243" w:name="_Toc280781527"/>
      <w:r>
        <w:rPr>
          <w:rFonts w:hint="default" w:ascii="Times New Roman" w:hAnsi="Times New Roman" w:cs="Times New Roman"/>
          <w:color w:val="000000" w:themeColor="text1"/>
          <w:highlight w:val="none"/>
          <w:lang w:val="en-US" w:eastAsia="zh-CN"/>
          <w14:textFill>
            <w14:solidFill>
              <w14:schemeClr w14:val="tx1"/>
            </w14:solidFill>
          </w14:textFill>
        </w:rPr>
        <w:t>项目区域植被概况</w:t>
      </w:r>
      <w:bookmarkEnd w:id="242"/>
    </w:p>
    <w:p>
      <w:pPr>
        <w:widowControl w:val="0"/>
        <w:adjustRightInd w:val="0"/>
        <w:snapToGrid w:val="0"/>
        <w:spacing w:line="360" w:lineRule="auto"/>
        <w:ind w:firstLine="480" w:firstLineChars="200"/>
        <w:jc w:val="both"/>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（1）区系分布</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评价范围</w:t>
      </w:r>
      <w:r>
        <w:rPr>
          <w:rFonts w:hint="default" w:ascii="Times New Roman" w:hAnsi="Times New Roman" w:eastAsia="宋体" w:cs="Times New Roman"/>
          <w:b w:val="0"/>
          <w:bCs/>
          <w:color w:val="000000" w:themeColor="text1"/>
          <w:sz w:val="24"/>
          <w:highlight w:val="none"/>
          <w14:textFill>
            <w14:solidFill>
              <w14:schemeClr w14:val="tx1"/>
            </w14:solidFill>
          </w14:textFill>
        </w:rPr>
        <w:t>位于四川省达州市宣汉县。根据《四川植被》中关于四川省内植被区划的描述，项目所在区域属IA3</w:t>
      </w:r>
      <w:r>
        <w:rPr>
          <w:rFonts w:hint="eastAsia"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14:textFill>
            <w14:solidFill>
              <w14:schemeClr w14:val="tx1"/>
            </w14:solidFill>
          </w14:textFill>
        </w:rPr>
        <w:t>6</w:t>
      </w:r>
      <w:r>
        <w:rPr>
          <w:rFonts w:hint="default" w:ascii="Times New Roman" w:hAnsi="Times New Roman"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14:textFill>
            <w14:solidFill>
              <w14:schemeClr w14:val="tx1"/>
            </w14:solidFill>
          </w14:textFill>
        </w:rPr>
        <w:t>川北深丘植被小区。</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该小区位于盆地中部北侧，是大巴山地区向盆地内部方山丘陵过渡的地带，境内主要属单斜丘陵，海拔高度一般为800m，相对高度100</w:t>
      </w:r>
      <w:r>
        <w:rPr>
          <w:rFonts w:hint="default" w:ascii="Times New Roman" w:hAnsi="Times New Roman"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14:textFill>
            <w14:solidFill>
              <w14:schemeClr w14:val="tx1"/>
            </w14:solidFill>
          </w14:textFill>
        </w:rPr>
        <w:t>200m，地层多属白垩纪紫色砂岩与页岩互层，在此母质上发育的为紫色土，海拔1000m以上地区以黄壤为主。年平均温16~17℃，1月平均温5~6℃，比川中方山丘陵区气温低，而年温差较大。年降水量在1000毫米以上，比川中方山丘陵区多，但季节分配不均匀，雾日较少，无霜期约为290天，有春早秋千、日照时数较多的特点。</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自然植被主要为马尾松林、柏木林、栎类灌丛、亚热带草丛及其各种过渡类型。在个别海拔1200m左右的地方有石栎林、刺叶栎林、青㭎林。马尾松林多分布在深丘顶部砂页岩发育的黄壤地段上，灌木有米饭花、映山红、米碎花、铁仔，而在干燥生境下，则以映山红、火棘、栎类为主。柏木林多分布在深丘下部的紫色页岩地段上，形成疏林，混有化香、黄连木、油桐。栎类灌丛多分布在山项，由麻栎、青冈、栓皮栎、烟管</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荚蒾</w:t>
      </w:r>
      <w:r>
        <w:rPr>
          <w:rFonts w:hint="default" w:ascii="Times New Roman" w:hAnsi="Times New Roman" w:eastAsia="宋体" w:cs="Times New Roman"/>
          <w:b w:val="0"/>
          <w:bCs/>
          <w:color w:val="000000" w:themeColor="text1"/>
          <w:sz w:val="24"/>
          <w:highlight w:val="none"/>
          <w14:textFill>
            <w14:solidFill>
              <w14:schemeClr w14:val="tx1"/>
            </w14:solidFill>
          </w14:textFill>
        </w:rPr>
        <w:t>、火棘、蔷薇、盐肤木、映山红、铁仔、毛黄栌组成，为马尾松林和落叶栎林砍伐后形成的灌丛类型。柏木林再度砍伐后形成以黄茅、白茅、香茅为主的亚热带草丛，并散生着黄荆、牡荆、马桑、铁仔、短柄枹栎等植物。另外，本小区各地还有黑壳楠、红果钓樟、云南樟、宜昌润楠、山合欢、灯台树等植物。</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栽培植被中大春作物本田以中稻为主，早地以玉米、红苕、棉花、花生、小麦、马铃薯、豌豆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可以提高复种指数，做到高产稳产。在“以粮为纲，全面发展”方针指导下，要因地制宜地发展棉花、花生等经济作物。经济林水中梨、核桃产量大、质量好、栽培历史长，如苍溪雪梨和薄壳核桃都很著名，宜于大量发展。另外桑、油桐也是本小区重要经济林木，发展潜力很大。丘陵荒山要开展植树造林，种植黄荆、马桑、紫穗槐、马尾松、柏木等，增加植被覆盖率。</w:t>
      </w:r>
    </w:p>
    <w:p>
      <w:pPr>
        <w:widowControl w:val="0"/>
        <w:adjustRightInd w:val="0"/>
        <w:snapToGrid w:val="0"/>
        <w:spacing w:line="360" w:lineRule="auto"/>
        <w:ind w:firstLine="480" w:firstLineChars="200"/>
        <w:jc w:val="both"/>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（2）维管束植物组成情况</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项目区域</w:t>
      </w:r>
      <w:r>
        <w:rPr>
          <w:rFonts w:hint="default" w:ascii="Times New Roman" w:hAnsi="Times New Roman" w:eastAsia="宋体" w:cs="Times New Roman"/>
          <w:b w:val="0"/>
          <w:bCs/>
          <w:color w:val="000000" w:themeColor="text1"/>
          <w:sz w:val="24"/>
          <w:highlight w:val="none"/>
          <w14:textFill>
            <w14:solidFill>
              <w14:schemeClr w14:val="tx1"/>
            </w14:solidFill>
          </w14:textFill>
        </w:rPr>
        <w:t>共有维管束植物有</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35目，78</w:t>
      </w:r>
      <w:r>
        <w:rPr>
          <w:rFonts w:hint="default" w:ascii="Times New Roman" w:hAnsi="Times New Roman" w:eastAsia="宋体" w:cs="Times New Roman"/>
          <w:b w:val="0"/>
          <w:bCs/>
          <w:color w:val="000000" w:themeColor="text1"/>
          <w:sz w:val="24"/>
          <w:highlight w:val="none"/>
          <w14:textFill>
            <w14:solidFill>
              <w14:schemeClr w14:val="tx1"/>
            </w14:solidFill>
          </w14:textFill>
        </w:rPr>
        <w:t>科，</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170</w:t>
      </w:r>
      <w:r>
        <w:rPr>
          <w:rFonts w:hint="default" w:ascii="Times New Roman" w:hAnsi="Times New Roman" w:eastAsia="宋体" w:cs="Times New Roman"/>
          <w:b w:val="0"/>
          <w:bCs/>
          <w:color w:val="000000" w:themeColor="text1"/>
          <w:sz w:val="24"/>
          <w:highlight w:val="none"/>
          <w14:textFill>
            <w14:solidFill>
              <w14:schemeClr w14:val="tx1"/>
            </w14:solidFill>
          </w14:textFill>
        </w:rPr>
        <w:t>属，</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231</w:t>
      </w:r>
      <w:r>
        <w:rPr>
          <w:rFonts w:hint="default" w:ascii="Times New Roman" w:hAnsi="Times New Roman" w:eastAsia="宋体" w:cs="Times New Roman"/>
          <w:b w:val="0"/>
          <w:bCs/>
          <w:color w:val="000000" w:themeColor="text1"/>
          <w:sz w:val="24"/>
          <w:highlight w:val="none"/>
          <w14:textFill>
            <w14:solidFill>
              <w14:schemeClr w14:val="tx1"/>
            </w14:solidFill>
          </w14:textFill>
        </w:rPr>
        <w:t>种</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。项目区域维管植物科属种情况如下表</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表4.3-6 评价范围维管植物科属种统计表</w:t>
      </w:r>
    </w:p>
    <w:tbl>
      <w:tblPr>
        <w:tblStyle w:val="9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41"/>
        <w:gridCol w:w="1275"/>
        <w:gridCol w:w="794"/>
        <w:gridCol w:w="1431"/>
        <w:gridCol w:w="791"/>
        <w:gridCol w:w="1358"/>
        <w:gridCol w:w="754"/>
        <w:gridCol w:w="11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4" w:hRule="atLeast"/>
          <w:jc w:val="center"/>
        </w:trPr>
        <w:tc>
          <w:tcPr>
            <w:tcW w:w="1211"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6"/>
                <w:sz w:val="21"/>
                <w:szCs w:val="21"/>
                <w:highlight w:val="none"/>
                <w14:textFill>
                  <w14:solidFill>
                    <w14:schemeClr w14:val="tx1"/>
                  </w14:solidFill>
                </w14:textFill>
              </w:rPr>
              <w:t>门类</w:t>
            </w:r>
          </w:p>
        </w:tc>
        <w:tc>
          <w:tcPr>
            <w:tcW w:w="47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6"/>
                <w:sz w:val="21"/>
                <w:szCs w:val="21"/>
                <w:highlight w:val="none"/>
                <w14:textFill>
                  <w14:solidFill>
                    <w14:schemeClr w14:val="tx1"/>
                  </w14:solidFill>
                </w14:textFill>
              </w:rPr>
              <w:t>科数</w:t>
            </w:r>
          </w:p>
        </w:tc>
        <w:tc>
          <w:tcPr>
            <w:tcW w:w="860"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9"/>
                <w:sz w:val="21"/>
                <w:szCs w:val="21"/>
                <w:highlight w:val="none"/>
                <w14:textFill>
                  <w14:solidFill>
                    <w14:schemeClr w14:val="tx1"/>
                  </w14:solidFill>
                </w14:textFill>
              </w:rPr>
              <w:t>所占</w:t>
            </w: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比例</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position w:val="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pacing w:val="1"/>
                <w:position w:val="1"/>
                <w:sz w:val="21"/>
                <w:szCs w:val="21"/>
                <w:highlight w:val="none"/>
                <w14:textFill>
                  <w14:solidFill>
                    <w14:schemeClr w14:val="tx1"/>
                  </w14:solidFill>
                </w14:textFill>
              </w:rPr>
              <w:t>）</w:t>
            </w:r>
          </w:p>
        </w:tc>
        <w:tc>
          <w:tcPr>
            <w:tcW w:w="47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5"/>
                <w:sz w:val="21"/>
                <w:szCs w:val="21"/>
                <w:highlight w:val="none"/>
                <w14:textFill>
                  <w14:solidFill>
                    <w14:schemeClr w14:val="tx1"/>
                  </w14:solidFill>
                </w14:textFill>
              </w:rPr>
              <w:t>属数</w:t>
            </w:r>
          </w:p>
        </w:tc>
        <w:tc>
          <w:tcPr>
            <w:tcW w:w="816"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9"/>
                <w:sz w:val="21"/>
                <w:szCs w:val="21"/>
                <w:highlight w:val="none"/>
                <w14:textFill>
                  <w14:solidFill>
                    <w14:schemeClr w14:val="tx1"/>
                  </w14:solidFill>
                </w14:textFill>
              </w:rPr>
              <w:t>所占</w:t>
            </w: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比例</w:t>
            </w:r>
          </w:p>
          <w:p>
            <w:pPr>
              <w:keepNext w:val="0"/>
              <w:keepLines w:val="0"/>
              <w:pageBreakBefore w:val="0"/>
              <w:kinsoku/>
              <w:wordWrap/>
              <w:overflowPunct/>
              <w:topLinePunct w:val="0"/>
              <w:autoSpaceDE/>
              <w:autoSpaceDN/>
              <w:bidi w:val="0"/>
              <w:adjustRightInd w:val="0"/>
              <w:snapToGrid w:val="0"/>
              <w:spacing w:line="240" w:lineRule="auto"/>
              <w:ind w:firstLine="332"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position w:val="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pacing w:val="1"/>
                <w:position w:val="1"/>
                <w:sz w:val="21"/>
                <w:szCs w:val="21"/>
                <w:highlight w:val="none"/>
                <w14:textFill>
                  <w14:solidFill>
                    <w14:schemeClr w14:val="tx1"/>
                  </w14:solidFill>
                </w14:textFill>
              </w:rPr>
              <w:t>）</w:t>
            </w:r>
          </w:p>
        </w:tc>
        <w:tc>
          <w:tcPr>
            <w:tcW w:w="453"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6"/>
                <w:sz w:val="21"/>
                <w:szCs w:val="21"/>
                <w:highlight w:val="none"/>
                <w14:textFill>
                  <w14:solidFill>
                    <w14:schemeClr w14:val="tx1"/>
                  </w14:solidFill>
                </w14:textFill>
              </w:rPr>
              <w:t>种数</w:t>
            </w:r>
          </w:p>
        </w:tc>
        <w:tc>
          <w:tcPr>
            <w:tcW w:w="70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9"/>
                <w:sz w:val="21"/>
                <w:szCs w:val="21"/>
                <w:highlight w:val="none"/>
                <w14:textFill>
                  <w14:solidFill>
                    <w14:schemeClr w14:val="tx1"/>
                  </w14:solidFill>
                </w14:textFill>
              </w:rPr>
              <w:t>所占</w:t>
            </w: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比例</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position w:val="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pacing w:val="-1"/>
                <w:position w:val="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4" w:hRule="atLeast"/>
          <w:jc w:val="center"/>
        </w:trPr>
        <w:tc>
          <w:tcPr>
            <w:tcW w:w="1211"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554" w:firstLineChar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9"/>
                <w:sz w:val="21"/>
                <w:szCs w:val="21"/>
                <w:highlight w:val="none"/>
                <w14:textFill>
                  <w14:solidFill>
                    <w14:schemeClr w14:val="tx1"/>
                  </w14:solidFill>
                </w14:textFill>
              </w:rPr>
              <w:t>蕨类</w:t>
            </w: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植物</w:t>
            </w:r>
          </w:p>
        </w:tc>
        <w:tc>
          <w:tcPr>
            <w:tcW w:w="47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12</w:t>
            </w:r>
          </w:p>
        </w:tc>
        <w:tc>
          <w:tcPr>
            <w:tcW w:w="8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15.38 </w:t>
            </w:r>
          </w:p>
        </w:tc>
        <w:tc>
          <w:tcPr>
            <w:tcW w:w="4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14</w:t>
            </w:r>
          </w:p>
        </w:tc>
        <w:tc>
          <w:tcPr>
            <w:tcW w:w="81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8.24 </w:t>
            </w:r>
          </w:p>
        </w:tc>
        <w:tc>
          <w:tcPr>
            <w:tcW w:w="4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20</w:t>
            </w:r>
          </w:p>
        </w:tc>
        <w:tc>
          <w:tcPr>
            <w:tcW w:w="7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8.66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0" w:hRule="atLeast"/>
          <w:jc w:val="center"/>
        </w:trPr>
        <w:tc>
          <w:tcPr>
            <w:tcW w:w="445"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170" w:firstLineChars="0"/>
              <w:jc w:val="both"/>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6"/>
                <w:position w:val="15"/>
                <w:sz w:val="21"/>
                <w:szCs w:val="21"/>
                <w:highlight w:val="none"/>
                <w14:textFill>
                  <w14:solidFill>
                    <w14:schemeClr w14:val="tx1"/>
                  </w14:solidFill>
                </w14:textFill>
              </w:rPr>
              <w:t>种子</w:t>
            </w:r>
          </w:p>
          <w:p>
            <w:pPr>
              <w:keepNext w:val="0"/>
              <w:keepLines w:val="0"/>
              <w:pageBreakBefore w:val="0"/>
              <w:kinsoku/>
              <w:wordWrap/>
              <w:overflowPunct/>
              <w:topLinePunct w:val="0"/>
              <w:autoSpaceDE/>
              <w:autoSpaceDN/>
              <w:bidi w:val="0"/>
              <w:adjustRightInd w:val="0"/>
              <w:snapToGrid w:val="0"/>
              <w:spacing w:line="240" w:lineRule="auto"/>
              <w:ind w:firstLine="170" w:firstLineChars="0"/>
              <w:jc w:val="both"/>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6"/>
                <w:sz w:val="21"/>
                <w:szCs w:val="21"/>
                <w:highlight w:val="none"/>
                <w14:textFill>
                  <w14:solidFill>
                    <w14:schemeClr w14:val="tx1"/>
                  </w14:solidFill>
                </w14:textFill>
              </w:rPr>
              <w:t>植</w:t>
            </w:r>
            <w:r>
              <w:rPr>
                <w:rFonts w:hint="default" w:ascii="Times New Roman" w:hAnsi="Times New Roman" w:eastAsia="宋体" w:cs="Times New Roman"/>
                <w:b w:val="0"/>
                <w:bCs/>
                <w:color w:val="000000" w:themeColor="text1"/>
                <w:spacing w:val="5"/>
                <w:sz w:val="21"/>
                <w:szCs w:val="21"/>
                <w:highlight w:val="none"/>
                <w14:textFill>
                  <w14:solidFill>
                    <w14:schemeClr w14:val="tx1"/>
                  </w14:solidFill>
                </w14:textFill>
              </w:rPr>
              <w:t>物</w:t>
            </w:r>
          </w:p>
        </w:tc>
        <w:tc>
          <w:tcPr>
            <w:tcW w:w="76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176" w:firstLineChar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9"/>
                <w:sz w:val="21"/>
                <w:szCs w:val="21"/>
                <w:highlight w:val="none"/>
                <w14:textFill>
                  <w14:solidFill>
                    <w14:schemeClr w14:val="tx1"/>
                  </w14:solidFill>
                </w14:textFill>
              </w:rPr>
              <w:t>裸子</w:t>
            </w: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植物</w:t>
            </w:r>
          </w:p>
        </w:tc>
        <w:tc>
          <w:tcPr>
            <w:tcW w:w="47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3</w:t>
            </w:r>
          </w:p>
        </w:tc>
        <w:tc>
          <w:tcPr>
            <w:tcW w:w="8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3.85 </w:t>
            </w:r>
          </w:p>
        </w:tc>
        <w:tc>
          <w:tcPr>
            <w:tcW w:w="4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4</w:t>
            </w:r>
          </w:p>
        </w:tc>
        <w:tc>
          <w:tcPr>
            <w:tcW w:w="81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2.35 </w:t>
            </w:r>
          </w:p>
        </w:tc>
        <w:tc>
          <w:tcPr>
            <w:tcW w:w="4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4</w:t>
            </w:r>
          </w:p>
        </w:tc>
        <w:tc>
          <w:tcPr>
            <w:tcW w:w="7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1.73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0" w:hRule="atLeast"/>
          <w:jc w:val="center"/>
        </w:trPr>
        <w:tc>
          <w:tcPr>
            <w:tcW w:w="445"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76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176" w:firstLineChar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9"/>
                <w:sz w:val="21"/>
                <w:szCs w:val="21"/>
                <w:highlight w:val="none"/>
                <w14:textFill>
                  <w14:solidFill>
                    <w14:schemeClr w14:val="tx1"/>
                  </w14:solidFill>
                </w14:textFill>
              </w:rPr>
              <w:t>被子</w:t>
            </w: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植物</w:t>
            </w:r>
          </w:p>
        </w:tc>
        <w:tc>
          <w:tcPr>
            <w:tcW w:w="47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63</w:t>
            </w:r>
          </w:p>
        </w:tc>
        <w:tc>
          <w:tcPr>
            <w:tcW w:w="8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80.77 </w:t>
            </w:r>
          </w:p>
        </w:tc>
        <w:tc>
          <w:tcPr>
            <w:tcW w:w="4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152</w:t>
            </w:r>
          </w:p>
        </w:tc>
        <w:tc>
          <w:tcPr>
            <w:tcW w:w="81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89.41 </w:t>
            </w:r>
          </w:p>
        </w:tc>
        <w:tc>
          <w:tcPr>
            <w:tcW w:w="4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207</w:t>
            </w:r>
          </w:p>
        </w:tc>
        <w:tc>
          <w:tcPr>
            <w:tcW w:w="7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89.61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44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765"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21"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6"/>
                <w:sz w:val="21"/>
                <w:szCs w:val="21"/>
                <w:highlight w:val="none"/>
                <w14:textFill>
                  <w14:solidFill>
                    <w14:schemeClr w14:val="tx1"/>
                  </w14:solidFill>
                </w14:textFill>
              </w:rPr>
              <w:t>合</w:t>
            </w:r>
            <w:r>
              <w:rPr>
                <w:rFonts w:hint="default" w:ascii="Times New Roman" w:hAnsi="Times New Roman" w:eastAsia="宋体" w:cs="Times New Roman"/>
                <w:b w:val="0"/>
                <w:bCs/>
                <w:color w:val="000000" w:themeColor="text1"/>
                <w:spacing w:val="5"/>
                <w:sz w:val="21"/>
                <w:szCs w:val="21"/>
                <w:highlight w:val="none"/>
                <w14:textFill>
                  <w14:solidFill>
                    <w14:schemeClr w14:val="tx1"/>
                  </w14:solidFill>
                </w14:textFill>
              </w:rPr>
              <w:t>计</w:t>
            </w:r>
          </w:p>
        </w:tc>
        <w:tc>
          <w:tcPr>
            <w:tcW w:w="47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78</w:t>
            </w:r>
          </w:p>
        </w:tc>
        <w:tc>
          <w:tcPr>
            <w:tcW w:w="8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100.00 </w:t>
            </w:r>
          </w:p>
        </w:tc>
        <w:tc>
          <w:tcPr>
            <w:tcW w:w="4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170</w:t>
            </w:r>
          </w:p>
        </w:tc>
        <w:tc>
          <w:tcPr>
            <w:tcW w:w="81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100.00 </w:t>
            </w:r>
          </w:p>
        </w:tc>
        <w:tc>
          <w:tcPr>
            <w:tcW w:w="4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231</w:t>
            </w:r>
          </w:p>
        </w:tc>
        <w:tc>
          <w:tcPr>
            <w:tcW w:w="7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100.00 </w:t>
            </w:r>
          </w:p>
        </w:tc>
      </w:tr>
    </w:tbl>
    <w:p>
      <w:pPr>
        <w:adjustRightInd w:val="0"/>
        <w:snapToGrid w:val="0"/>
        <w:spacing w:before="120" w:beforeLines="50" w:line="360" w:lineRule="auto"/>
        <w:ind w:firstLine="540" w:firstLineChars="200"/>
        <w:rPr>
          <w:rFonts w:hint="default" w:ascii="Times New Roman" w:hAnsi="Times New Roman" w:eastAsia="宋体" w:cs="Times New Roman"/>
          <w:b w:val="0"/>
          <w:bCs/>
          <w:color w:val="000000" w:themeColor="text1"/>
          <w:spacing w:val="15"/>
          <w:sz w:val="24"/>
          <w:szCs w:val="24"/>
          <w:highlight w:val="none"/>
          <w:lang w:eastAsia="zh-CN"/>
          <w14:textFill>
            <w14:solidFill>
              <w14:schemeClr w14:val="tx1"/>
            </w14:solidFill>
          </w14:textFill>
        </w:rPr>
      </w:pPr>
    </w:p>
    <w:p>
      <w:pPr>
        <w:adjustRightInd w:val="0"/>
        <w:snapToGrid w:val="0"/>
        <w:spacing w:before="120" w:beforeLines="50" w:line="360" w:lineRule="auto"/>
        <w:ind w:firstLine="540" w:firstLineChars="200"/>
        <w:rPr>
          <w:rFonts w:hint="default" w:ascii="Times New Roman" w:hAnsi="Times New Roman" w:eastAsia="宋体" w:cs="Times New Roman"/>
          <w:b w:val="0"/>
          <w:bCs/>
          <w:color w:val="000000" w:themeColor="text1"/>
          <w:spacing w:val="-5"/>
          <w:sz w:val="27"/>
          <w:szCs w:val="27"/>
          <w:highlight w:val="none"/>
          <w14:textFill>
            <w14:solidFill>
              <w14:schemeClr w14:val="tx1"/>
            </w14:solidFill>
          </w14:textFill>
        </w:rPr>
      </w:pPr>
      <w:r>
        <w:rPr>
          <w:rFonts w:hint="default" w:ascii="Times New Roman" w:hAnsi="Times New Roman" w:eastAsia="宋体" w:cs="Times New Roman"/>
          <w:b w:val="0"/>
          <w:bCs/>
          <w:color w:val="000000" w:themeColor="text1"/>
          <w:spacing w:val="15"/>
          <w:sz w:val="24"/>
          <w:szCs w:val="24"/>
          <w:highlight w:val="none"/>
          <w:lang w:eastAsia="zh-CN"/>
          <w14:textFill>
            <w14:solidFill>
              <w14:schemeClr w14:val="tx1"/>
            </w14:solidFill>
          </w14:textFill>
        </w:rPr>
        <w:t>项目区域</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维管</w:t>
      </w:r>
      <w:r>
        <w:rPr>
          <w:rFonts w:hint="default" w:ascii="Times New Roman" w:hAnsi="Times New Roman" w:eastAsia="宋体" w:cs="Times New Roman"/>
          <w:b w:val="0"/>
          <w:bCs/>
          <w:color w:val="000000" w:themeColor="text1"/>
          <w:spacing w:val="15"/>
          <w:sz w:val="24"/>
          <w:szCs w:val="24"/>
          <w:highlight w:val="none"/>
          <w14:textFill>
            <w14:solidFill>
              <w14:schemeClr w14:val="tx1"/>
            </w14:solidFill>
          </w14:textFill>
        </w:rPr>
        <w:t>植物</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组成以被子植物为优势，分别占</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项目区域</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维管植物科属种总数的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80.77</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89.41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%和</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89.61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%。常见的优势物种有马尾松</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P.massoniana</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、杉木</w:t>
      </w:r>
      <w:r>
        <w:rPr>
          <w:rFonts w:hint="default" w:ascii="Times New Roman" w:hAnsi="Times New Roman" w:eastAsia="宋体" w:cs="Times New Roman"/>
          <w:b w:val="0"/>
          <w:bCs/>
          <w:color w:val="000000" w:themeColor="text1"/>
          <w:sz w:val="24"/>
          <w:highlight w:val="none"/>
          <w14:textFill>
            <w14:solidFill>
              <w14:schemeClr w14:val="tx1"/>
            </w14:solidFill>
          </w14:textFill>
        </w:rPr>
        <w:t xml:space="preserve">Cunninghamia </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lanceolata</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5"/>
          <w:szCs w:val="25"/>
          <w:highlight w:val="none"/>
          <w14:textFill>
            <w14:solidFill>
              <w14:schemeClr w14:val="tx1"/>
            </w14:solidFill>
          </w14:textFill>
        </w:rPr>
        <w:t>(</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Lamb.</w:t>
      </w:r>
      <w:r>
        <w:rPr>
          <w:rFonts w:hint="default" w:ascii="Times New Roman" w:hAnsi="Times New Roman" w:eastAsia="宋体" w:cs="Times New Roman"/>
          <w:b w:val="0"/>
          <w:bCs/>
          <w:i/>
          <w:iCs/>
          <w:color w:val="000000" w:themeColor="text1"/>
          <w:spacing w:val="-2"/>
          <w:sz w:val="25"/>
          <w:szCs w:val="25"/>
          <w:highlight w:val="none"/>
          <w14:textFill>
            <w14:solidFill>
              <w14:schemeClr w14:val="tx1"/>
            </w14:solidFill>
          </w14:textFill>
        </w:rPr>
        <w:t>)</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Hook</w:t>
      </w:r>
      <w:r>
        <w:rPr>
          <w:rFonts w:hint="default" w:ascii="Times New Roman" w:hAnsi="Times New Roman" w:cs="Times New Roman"/>
          <w:b w:val="0"/>
          <w:bCs/>
          <w:i/>
          <w:iCs/>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柏木</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Cupressu</w:t>
      </w:r>
      <w:r>
        <w:rPr>
          <w:rFonts w:hint="default" w:ascii="Times New Roman" w:hAnsi="Times New Roman" w:eastAsia="宋体" w:cs="Times New Roman"/>
          <w:b w:val="0"/>
          <w:bCs/>
          <w:i/>
          <w:iCs/>
          <w:color w:val="000000" w:themeColor="text1"/>
          <w:spacing w:val="-1"/>
          <w:sz w:val="24"/>
          <w:szCs w:val="24"/>
          <w:highlight w:val="none"/>
          <w14:textFill>
            <w14:solidFill>
              <w14:schemeClr w14:val="tx1"/>
            </w14:solidFill>
          </w14:textFill>
        </w:rPr>
        <w:t>s</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1"/>
          <w:sz w:val="24"/>
          <w:szCs w:val="24"/>
          <w:highlight w:val="none"/>
          <w14:textFill>
            <w14:solidFill>
              <w14:schemeClr w14:val="tx1"/>
            </w14:solidFill>
          </w14:textFill>
        </w:rPr>
        <w:t>funebris</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1"/>
          <w:sz w:val="24"/>
          <w:szCs w:val="24"/>
          <w:highlight w:val="none"/>
          <w14:textFill>
            <w14:solidFill>
              <w14:schemeClr w14:val="tx1"/>
            </w14:solidFill>
          </w14:textFill>
        </w:rPr>
        <w:t>Endl</w:t>
      </w:r>
      <w:r>
        <w:rPr>
          <w:rFonts w:hint="default" w:ascii="Times New Roman" w:hAnsi="Times New Roman" w:cs="Times New Roman"/>
          <w:b w:val="0"/>
          <w:bCs/>
          <w:i/>
          <w:iCs/>
          <w:color w:val="000000" w:themeColor="text1"/>
          <w:spacing w:val="-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蔷薇</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Rosa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sp</w:t>
      </w:r>
      <w:r>
        <w:rPr>
          <w:rFonts w:hint="default" w:ascii="Times New Roman" w:hAnsi="Times New Roman" w:cs="Times New Roman"/>
          <w:b w:val="0"/>
          <w:bCs/>
          <w:i/>
          <w:i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白茅</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mperata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cylindri</w:t>
      </w:r>
      <w:r>
        <w:rPr>
          <w:rFonts w:hint="default" w:ascii="Times New Roman" w:hAnsi="Times New Roman" w:eastAsia="宋体" w:cs="Times New Roman"/>
          <w:b w:val="0"/>
          <w:bCs/>
          <w:i/>
          <w:iCs/>
          <w:color w:val="000000" w:themeColor="text1"/>
          <w:spacing w:val="-4"/>
          <w:sz w:val="24"/>
          <w:szCs w:val="24"/>
          <w:highlight w:val="none"/>
          <w14:textFill>
            <w14:solidFill>
              <w14:schemeClr w14:val="tx1"/>
            </w14:solidFill>
          </w14:textFill>
        </w:rPr>
        <w:t>c</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等</w:t>
      </w:r>
      <w:r>
        <w:rPr>
          <w:rFonts w:hint="default" w:ascii="Times New Roman" w:hAnsi="Times New Roman" w:eastAsia="宋体" w:cs="Times New Roman"/>
          <w:b w:val="0"/>
          <w:bCs/>
          <w:color w:val="000000" w:themeColor="text1"/>
          <w:spacing w:val="-5"/>
          <w:sz w:val="27"/>
          <w:szCs w:val="27"/>
          <w:highlight w:val="none"/>
          <w14:textFill>
            <w14:solidFill>
              <w14:schemeClr w14:val="tx1"/>
            </w14:solidFill>
          </w14:textFill>
        </w:rPr>
        <w:t>。</w:t>
      </w:r>
    </w:p>
    <w:p>
      <w:pPr>
        <w:widowControl w:val="0"/>
        <w:adjustRightInd w:val="0"/>
        <w:snapToGrid w:val="0"/>
        <w:spacing w:line="360" w:lineRule="auto"/>
        <w:ind w:firstLine="480" w:firstLineChars="200"/>
        <w:jc w:val="both"/>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（3）种子植物按属分类</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根据吴征镒对中国种子植物属的分布区类型划分方案，对</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项目区域</w:t>
      </w:r>
      <w:r>
        <w:rPr>
          <w:rFonts w:hint="default" w:ascii="Times New Roman" w:hAnsi="Times New Roman" w:eastAsia="宋体" w:cs="Times New Roman"/>
          <w:b w:val="0"/>
          <w:bCs/>
          <w:color w:val="000000" w:themeColor="text1"/>
          <w:sz w:val="24"/>
          <w:highlight w:val="none"/>
          <w14:textFill>
            <w14:solidFill>
              <w14:schemeClr w14:val="tx1"/>
            </w14:solidFill>
          </w14:textFill>
        </w:rPr>
        <w:t>种子植物属进行归类统计，见表4.3-</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b w:val="0"/>
          <w:bCs/>
          <w:color w:val="000000" w:themeColor="text1"/>
          <w:sz w:val="24"/>
          <w:highlight w:val="none"/>
          <w14:textFill>
            <w14:solidFill>
              <w14:schemeClr w14:val="tx1"/>
            </w14:solidFill>
          </w14:textFill>
        </w:rPr>
        <w:t>。</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表4.3-7  项目区域种子植物属的分布区类型统计</w:t>
      </w:r>
    </w:p>
    <w:tbl>
      <w:tblPr>
        <w:tblStyle w:val="90"/>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179"/>
        <w:gridCol w:w="1592"/>
        <w:gridCol w:w="254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jc w:val="center"/>
        </w:trPr>
        <w:tc>
          <w:tcPr>
            <w:tcW w:w="2513" w:type="pct"/>
            <w:vAlign w:val="center"/>
          </w:tcPr>
          <w:p>
            <w:pPr>
              <w:adjustRightInd/>
              <w:snapToGrid/>
              <w:spacing w:before="56" w:line="217" w:lineRule="auto"/>
              <w:ind w:left="1116"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2"/>
                <w:sz w:val="21"/>
                <w:szCs w:val="21"/>
                <w:highlight w:val="none"/>
                <w:lang w:eastAsia="en-US"/>
                <w14:textFill>
                  <w14:solidFill>
                    <w14:schemeClr w14:val="tx1"/>
                  </w14:solidFill>
                </w14:textFill>
              </w:rPr>
              <w:t>分</w:t>
            </w:r>
            <w:r>
              <w:rPr>
                <w:rFonts w:hint="default" w:ascii="Times New Roman" w:hAnsi="Times New Roman" w:eastAsia="宋体" w:cs="Times New Roman"/>
                <w:b w:val="0"/>
                <w:bCs/>
                <w:color w:val="000000" w:themeColor="text1"/>
                <w:spacing w:val="-1"/>
                <w:sz w:val="21"/>
                <w:szCs w:val="21"/>
                <w:highlight w:val="none"/>
                <w:lang w:eastAsia="en-US"/>
                <w14:textFill>
                  <w14:solidFill>
                    <w14:schemeClr w14:val="tx1"/>
                  </w14:solidFill>
                </w14:textFill>
              </w:rPr>
              <w:t>布区类型及其变型</w:t>
            </w:r>
          </w:p>
        </w:tc>
        <w:tc>
          <w:tcPr>
            <w:tcW w:w="957" w:type="pct"/>
            <w:vAlign w:val="center"/>
          </w:tcPr>
          <w:p>
            <w:pPr>
              <w:adjustRightInd/>
              <w:snapToGrid/>
              <w:spacing w:before="55" w:line="220" w:lineRule="auto"/>
              <w:ind w:left="559"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lang w:eastAsia="en-US"/>
                <w14:textFill>
                  <w14:solidFill>
                    <w14:schemeClr w14:val="tx1"/>
                  </w14:solidFill>
                </w14:textFill>
              </w:rPr>
              <w:t>属</w:t>
            </w:r>
            <w:r>
              <w:rPr>
                <w:rFonts w:hint="default" w:ascii="Times New Roman" w:hAnsi="Times New Roman" w:eastAsia="宋体" w:cs="Times New Roman"/>
                <w:b w:val="0"/>
                <w:bCs/>
                <w:color w:val="000000" w:themeColor="text1"/>
                <w:spacing w:val="-2"/>
                <w:sz w:val="21"/>
                <w:szCs w:val="21"/>
                <w:highlight w:val="none"/>
                <w:lang w:eastAsia="en-US"/>
                <w14:textFill>
                  <w14:solidFill>
                    <w14:schemeClr w14:val="tx1"/>
                  </w14:solidFill>
                </w14:textFill>
              </w:rPr>
              <w:t>数</w:t>
            </w:r>
          </w:p>
        </w:tc>
        <w:tc>
          <w:tcPr>
            <w:tcW w:w="1530" w:type="pct"/>
            <w:vAlign w:val="center"/>
          </w:tcPr>
          <w:p>
            <w:pPr>
              <w:adjustRightInd/>
              <w:snapToGrid/>
              <w:spacing w:before="55" w:line="223" w:lineRule="auto"/>
              <w:ind w:left="473"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lang w:eastAsia="en-US"/>
                <w14:textFill>
                  <w14:solidFill>
                    <w14:schemeClr w14:val="tx1"/>
                  </w14:solidFill>
                </w14:textFill>
              </w:rPr>
              <w:t>所占比例%(</w:t>
            </w: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jc w:val="center"/>
        </w:trPr>
        <w:tc>
          <w:tcPr>
            <w:tcW w:w="2513" w:type="pct"/>
            <w:vAlign w:val="center"/>
          </w:tcPr>
          <w:p>
            <w:pPr>
              <w:adjustRightInd/>
              <w:snapToGrid/>
              <w:spacing w:before="45" w:line="217" w:lineRule="auto"/>
              <w:ind w:left="1523"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1.</w:t>
            </w:r>
            <w:r>
              <w:rPr>
                <w:rFonts w:hint="default" w:ascii="Times New Roman" w:hAnsi="Times New Roman" w:eastAsia="宋体" w:cs="Times New Roman"/>
                <w:b w:val="0"/>
                <w:bCs/>
                <w:color w:val="000000" w:themeColor="text1"/>
                <w:spacing w:val="-2"/>
                <w:sz w:val="21"/>
                <w:szCs w:val="21"/>
                <w:highlight w:val="none"/>
                <w:lang w:eastAsia="en-US"/>
                <w14:textFill>
                  <w14:solidFill>
                    <w14:schemeClr w14:val="tx1"/>
                  </w14:solidFill>
                </w14:textFill>
              </w:rPr>
              <w:t>世界分布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en-US"/>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14</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513" w:type="pct"/>
            <w:vAlign w:val="center"/>
          </w:tcPr>
          <w:p>
            <w:pPr>
              <w:adjustRightInd/>
              <w:snapToGrid/>
              <w:spacing w:before="51" w:line="220" w:lineRule="auto"/>
              <w:ind w:left="1607"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lang w:eastAsia="en-US"/>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.泛热带</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28</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17.95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jc w:val="center"/>
        </w:trPr>
        <w:tc>
          <w:tcPr>
            <w:tcW w:w="2513" w:type="pct"/>
            <w:vAlign w:val="center"/>
          </w:tcPr>
          <w:p>
            <w:pPr>
              <w:adjustRightInd/>
              <w:snapToGrid/>
              <w:spacing w:before="53" w:line="219" w:lineRule="auto"/>
              <w:ind w:left="614" w:firstLine="0" w:firstLineChars="0"/>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lang w:eastAsia="zh-CN"/>
                <w14:textFill>
                  <w14:solidFill>
                    <w14:schemeClr w14:val="tx1"/>
                  </w14:solidFill>
                </w14:textFill>
              </w:rPr>
              <w:t>3.热带亚洲和热带</w:t>
            </w: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美洲间断分布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6</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3.85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513" w:type="pct"/>
            <w:vAlign w:val="center"/>
          </w:tcPr>
          <w:p>
            <w:pPr>
              <w:adjustRightInd/>
              <w:snapToGrid/>
              <w:spacing w:before="52" w:line="219" w:lineRule="auto"/>
              <w:ind w:left="1239"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lang w:eastAsia="en-US"/>
                <w14:textFill>
                  <w14:solidFill>
                    <w14:schemeClr w14:val="tx1"/>
                  </w14:solidFill>
                </w14:textFill>
              </w:rPr>
              <w:t>4.旧世</w:t>
            </w: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界热带分布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6</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3.85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513" w:type="pct"/>
            <w:vAlign w:val="center"/>
          </w:tcPr>
          <w:p>
            <w:pPr>
              <w:adjustRightInd/>
              <w:snapToGrid/>
              <w:spacing w:before="52" w:line="219" w:lineRule="auto"/>
              <w:ind w:left="721" w:firstLine="0" w:firstLineChars="0"/>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lang w:eastAsia="zh-CN"/>
                <w14:textFill>
                  <w14:solidFill>
                    <w14:schemeClr w14:val="tx1"/>
                  </w14:solidFill>
                </w14:textFill>
              </w:rPr>
              <w:t>5.热带亚洲至热带大洋</w:t>
            </w: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洲分布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5</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3.21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jc w:val="center"/>
        </w:trPr>
        <w:tc>
          <w:tcPr>
            <w:tcW w:w="2513" w:type="pct"/>
            <w:vAlign w:val="center"/>
          </w:tcPr>
          <w:p>
            <w:pPr>
              <w:adjustRightInd/>
              <w:snapToGrid/>
              <w:spacing w:before="54" w:line="219" w:lineRule="auto"/>
              <w:ind w:left="825" w:firstLine="0" w:firstLineChars="0"/>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lang w:eastAsia="zh-CN"/>
                <w14:textFill>
                  <w14:solidFill>
                    <w14:schemeClr w14:val="tx1"/>
                  </w14:solidFill>
                </w14:textFill>
              </w:rPr>
              <w:t>6.热带亚洲至热带非</w:t>
            </w: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洲分布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9</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5.77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513" w:type="pct"/>
            <w:vAlign w:val="center"/>
          </w:tcPr>
          <w:p>
            <w:pPr>
              <w:adjustRightInd/>
              <w:snapToGrid/>
              <w:spacing w:before="52" w:line="220" w:lineRule="auto"/>
              <w:ind w:left="684" w:firstLine="0" w:firstLineChars="0"/>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highlight w:val="none"/>
                <w:lang w:eastAsia="zh-CN"/>
                <w14:textFill>
                  <w14:solidFill>
                    <w14:schemeClr w14:val="tx1"/>
                  </w14:solidFill>
                </w14:textFill>
              </w:rPr>
              <w:t>7.</w:t>
            </w:r>
            <w:r>
              <w:rPr>
                <w:rFonts w:hint="default" w:ascii="Times New Roman" w:hAnsi="Times New Roman" w:eastAsia="宋体" w:cs="Times New Roman"/>
                <w:b w:val="0"/>
                <w:bCs/>
                <w:color w:val="000000" w:themeColor="text1"/>
                <w:spacing w:val="5"/>
                <w:sz w:val="21"/>
                <w:szCs w:val="21"/>
                <w:highlight w:val="none"/>
                <w:lang w:eastAsia="zh-CN"/>
                <w14:textFill>
                  <w14:solidFill>
                    <w14:schemeClr w14:val="tx1"/>
                  </w14:solidFill>
                </w14:textFill>
              </w:rPr>
              <w:t>热带亚洲</w:t>
            </w:r>
            <w:r>
              <w:rPr>
                <w:rFonts w:hint="default" w:ascii="Times New Roman" w:hAnsi="Times New Roman" w:cs="Times New Roman"/>
                <w:b w:val="0"/>
                <w:bCs/>
                <w:color w:val="000000" w:themeColor="text1"/>
                <w:spacing w:val="5"/>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1"/>
                <w:szCs w:val="21"/>
                <w:highlight w:val="none"/>
                <w:lang w:eastAsia="zh-CN"/>
                <w14:textFill>
                  <w14:solidFill>
                    <w14:schemeClr w14:val="tx1"/>
                  </w14:solidFill>
                </w14:textFill>
              </w:rPr>
              <w:t>印度-马来西亚</w:t>
            </w:r>
            <w:r>
              <w:rPr>
                <w:rFonts w:hint="default" w:ascii="Times New Roman" w:hAnsi="Times New Roman" w:cs="Times New Roman"/>
                <w:b w:val="0"/>
                <w:bCs/>
                <w:color w:val="000000" w:themeColor="text1"/>
                <w:spacing w:val="5"/>
                <w:sz w:val="21"/>
                <w:szCs w:val="21"/>
                <w:highlight w:val="none"/>
                <w:lang w:eastAsia="zh-CN"/>
                <w14:textFill>
                  <w14:solidFill>
                    <w14:schemeClr w14:val="tx1"/>
                  </w14:solidFill>
                </w14:textFill>
              </w:rPr>
              <w:t>）</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15</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9.62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513" w:type="pct"/>
            <w:vAlign w:val="center"/>
          </w:tcPr>
          <w:p>
            <w:pPr>
              <w:adjustRightInd/>
              <w:snapToGrid/>
              <w:spacing w:before="53" w:line="220" w:lineRule="auto"/>
              <w:ind w:left="1616"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2"/>
                <w:sz w:val="21"/>
                <w:szCs w:val="21"/>
                <w:highlight w:val="none"/>
                <w:lang w:eastAsia="en-US"/>
                <w14:textFill>
                  <w14:solidFill>
                    <w14:schemeClr w14:val="tx1"/>
                  </w14:solidFill>
                </w14:textFill>
              </w:rPr>
              <w:t>8</w:t>
            </w:r>
            <w:r>
              <w:rPr>
                <w:rFonts w:hint="default" w:ascii="Times New Roman" w:hAnsi="Times New Roman" w:eastAsia="宋体" w:cs="Times New Roman"/>
                <w:b w:val="0"/>
                <w:bCs/>
                <w:color w:val="000000" w:themeColor="text1"/>
                <w:spacing w:val="-1"/>
                <w:sz w:val="21"/>
                <w:szCs w:val="21"/>
                <w:highlight w:val="none"/>
                <w:lang w:eastAsia="en-US"/>
                <w14:textFill>
                  <w14:solidFill>
                    <w14:schemeClr w14:val="tx1"/>
                  </w14:solidFill>
                </w14:textFill>
              </w:rPr>
              <w:t>.北温带</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31</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19.87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jc w:val="center"/>
        </w:trPr>
        <w:tc>
          <w:tcPr>
            <w:tcW w:w="2513" w:type="pct"/>
            <w:vAlign w:val="center"/>
          </w:tcPr>
          <w:p>
            <w:pPr>
              <w:adjustRightInd/>
              <w:snapToGrid/>
              <w:spacing w:before="55" w:line="219" w:lineRule="auto"/>
              <w:ind w:left="930" w:firstLine="0" w:firstLineChars="0"/>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lang w:eastAsia="zh-CN"/>
                <w14:textFill>
                  <w14:solidFill>
                    <w14:schemeClr w14:val="tx1"/>
                  </w14:solidFill>
                </w14:textFill>
              </w:rPr>
              <w:t>9.东亚和北美洲间</w:t>
            </w: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断分布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11</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7.05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513" w:type="pct"/>
            <w:vAlign w:val="center"/>
          </w:tcPr>
          <w:p>
            <w:pPr>
              <w:adjustRightInd/>
              <w:snapToGrid/>
              <w:spacing w:before="54" w:line="219" w:lineRule="auto"/>
              <w:ind w:left="1366"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10</w:t>
            </w:r>
            <w:r>
              <w:rPr>
                <w:rFonts w:hint="default" w:ascii="Times New Roman" w:hAnsi="Times New Roman" w:eastAsia="宋体" w:cs="Times New Roman"/>
                <w:b w:val="0"/>
                <w:bCs/>
                <w:color w:val="000000" w:themeColor="text1"/>
                <w:spacing w:val="-2"/>
                <w:sz w:val="21"/>
                <w:szCs w:val="21"/>
                <w:highlight w:val="none"/>
                <w:lang w:eastAsia="en-US"/>
                <w14:textFill>
                  <w14:solidFill>
                    <w14:schemeClr w14:val="tx1"/>
                  </w14:solidFill>
                </w14:textFill>
              </w:rPr>
              <w:t>.旧世界温带</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12</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7.69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513" w:type="pct"/>
            <w:vAlign w:val="center"/>
          </w:tcPr>
          <w:p>
            <w:pPr>
              <w:adjustRightInd/>
              <w:snapToGrid/>
              <w:spacing w:before="54" w:line="219" w:lineRule="auto"/>
              <w:ind w:left="1264"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lang w:eastAsia="en-US"/>
                <w14:textFill>
                  <w14:solidFill>
                    <w14:schemeClr w14:val="tx1"/>
                  </w14:solidFill>
                </w14:textFill>
              </w:rPr>
              <w:t>11.温带亚洲分</w:t>
            </w:r>
            <w:r>
              <w:rPr>
                <w:rFonts w:hint="default" w:ascii="Times New Roman" w:hAnsi="Times New Roman" w:eastAsia="宋体" w:cs="Times New Roman"/>
                <w:b w:val="0"/>
                <w:bCs/>
                <w:color w:val="000000" w:themeColor="text1"/>
                <w:spacing w:val="-2"/>
                <w:sz w:val="21"/>
                <w:szCs w:val="21"/>
                <w:highlight w:val="none"/>
                <w:lang w:eastAsia="en-US"/>
                <w14:textFill>
                  <w14:solidFill>
                    <w14:schemeClr w14:val="tx1"/>
                  </w14:solidFill>
                </w14:textFill>
              </w:rPr>
              <w:t>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3</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1.92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jc w:val="center"/>
        </w:trPr>
        <w:tc>
          <w:tcPr>
            <w:tcW w:w="2513" w:type="pct"/>
            <w:vAlign w:val="center"/>
          </w:tcPr>
          <w:p>
            <w:pPr>
              <w:adjustRightInd/>
              <w:snapToGrid/>
              <w:spacing w:before="56" w:line="219" w:lineRule="auto"/>
              <w:ind w:left="630" w:firstLine="0" w:firstLineChars="0"/>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t>1</w:t>
            </w:r>
            <w:r>
              <w:rPr>
                <w:rFonts w:hint="default" w:ascii="Times New Roman" w:hAnsi="Times New Roman" w:eastAsia="宋体" w:cs="Times New Roman"/>
                <w:b w:val="0"/>
                <w:bCs/>
                <w:color w:val="000000" w:themeColor="text1"/>
                <w:spacing w:val="-2"/>
                <w:sz w:val="21"/>
                <w:szCs w:val="21"/>
                <w:highlight w:val="none"/>
                <w:lang w:eastAsia="zh-CN"/>
                <w14:textFill>
                  <w14:solidFill>
                    <w14:schemeClr w14:val="tx1"/>
                  </w14:solidFill>
                </w14:textFill>
              </w:rPr>
              <w:t>2.地中海区、西亚至中亚分布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2</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1.28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2513" w:type="pct"/>
            <w:vAlign w:val="center"/>
          </w:tcPr>
          <w:p>
            <w:pPr>
              <w:adjustRightInd/>
              <w:snapToGrid/>
              <w:spacing w:before="54" w:line="219" w:lineRule="auto"/>
              <w:ind w:left="1523"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6"/>
                <w:sz w:val="21"/>
                <w:szCs w:val="21"/>
                <w:highlight w:val="none"/>
                <w:lang w:eastAsia="en-US"/>
                <w14:textFill>
                  <w14:solidFill>
                    <w14:schemeClr w14:val="tx1"/>
                  </w14:solidFill>
                </w14:textFill>
              </w:rPr>
              <w:t>1</w:t>
            </w:r>
            <w:r>
              <w:rPr>
                <w:rFonts w:hint="default" w:ascii="Times New Roman" w:hAnsi="Times New Roman" w:eastAsia="宋体" w:cs="Times New Roman"/>
                <w:b w:val="0"/>
                <w:bCs/>
                <w:color w:val="000000" w:themeColor="text1"/>
                <w:spacing w:val="-3"/>
                <w:sz w:val="21"/>
                <w:szCs w:val="21"/>
                <w:highlight w:val="none"/>
                <w:lang w:eastAsia="en-US"/>
                <w14:textFill>
                  <w14:solidFill>
                    <w14:schemeClr w14:val="tx1"/>
                  </w14:solidFill>
                </w14:textFill>
              </w:rPr>
              <w:t>3.中亚分布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0.64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jc w:val="center"/>
        </w:trPr>
        <w:tc>
          <w:tcPr>
            <w:tcW w:w="2513" w:type="pct"/>
            <w:vAlign w:val="center"/>
          </w:tcPr>
          <w:p>
            <w:pPr>
              <w:adjustRightInd/>
              <w:snapToGrid/>
              <w:spacing w:before="55" w:line="219" w:lineRule="auto"/>
              <w:ind w:left="1523"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6"/>
                <w:sz w:val="21"/>
                <w:szCs w:val="21"/>
                <w:highlight w:val="none"/>
                <w:lang w:eastAsia="en-US"/>
                <w14:textFill>
                  <w14:solidFill>
                    <w14:schemeClr w14:val="tx1"/>
                  </w14:solidFill>
                </w14:textFill>
              </w:rPr>
              <w:t>1</w:t>
            </w:r>
            <w:r>
              <w:rPr>
                <w:rFonts w:hint="default" w:ascii="Times New Roman" w:hAnsi="Times New Roman" w:eastAsia="宋体" w:cs="Times New Roman"/>
                <w:b w:val="0"/>
                <w:bCs/>
                <w:color w:val="000000" w:themeColor="text1"/>
                <w:spacing w:val="-3"/>
                <w:sz w:val="21"/>
                <w:szCs w:val="21"/>
                <w:highlight w:val="none"/>
                <w:lang w:eastAsia="en-US"/>
                <w14:textFill>
                  <w14:solidFill>
                    <w14:schemeClr w14:val="tx1"/>
                  </w14:solidFill>
                </w14:textFill>
              </w:rPr>
              <w:t>4.东亚分布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21</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13.46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jc w:val="center"/>
        </w:trPr>
        <w:tc>
          <w:tcPr>
            <w:tcW w:w="2513" w:type="pct"/>
            <w:vAlign w:val="center"/>
          </w:tcPr>
          <w:p>
            <w:pPr>
              <w:adjustRightInd/>
              <w:snapToGrid/>
              <w:spacing w:before="56" w:line="219" w:lineRule="auto"/>
              <w:ind w:left="1523"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6"/>
                <w:sz w:val="21"/>
                <w:szCs w:val="21"/>
                <w:highlight w:val="none"/>
                <w:lang w:eastAsia="en-US"/>
                <w14:textFill>
                  <w14:solidFill>
                    <w14:schemeClr w14:val="tx1"/>
                  </w14:solidFill>
                </w14:textFill>
              </w:rPr>
              <w:t>1</w:t>
            </w:r>
            <w:r>
              <w:rPr>
                <w:rFonts w:hint="default" w:ascii="Times New Roman" w:hAnsi="Times New Roman" w:eastAsia="宋体" w:cs="Times New Roman"/>
                <w:b w:val="0"/>
                <w:bCs/>
                <w:color w:val="000000" w:themeColor="text1"/>
                <w:spacing w:val="-3"/>
                <w:sz w:val="21"/>
                <w:szCs w:val="21"/>
                <w:highlight w:val="none"/>
                <w:lang w:eastAsia="en-US"/>
                <w14:textFill>
                  <w14:solidFill>
                    <w14:schemeClr w14:val="tx1"/>
                  </w14:solidFill>
                </w14:textFill>
              </w:rPr>
              <w:t>5.中国特有</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6</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 xml:space="preserve">3.85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jc w:val="center"/>
        </w:trPr>
        <w:tc>
          <w:tcPr>
            <w:tcW w:w="2513" w:type="pct"/>
            <w:vAlign w:val="center"/>
          </w:tcPr>
          <w:p>
            <w:pPr>
              <w:adjustRightInd/>
              <w:snapToGrid/>
              <w:spacing w:before="55" w:line="221" w:lineRule="auto"/>
              <w:ind w:left="1691"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lang w:eastAsia="en-US"/>
                <w14:textFill>
                  <w14:solidFill>
                    <w14:schemeClr w14:val="tx1"/>
                  </w14:solidFill>
                </w14:textFill>
              </w:rPr>
              <w:t>合</w:t>
            </w: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计</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170</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jc w:val="center"/>
        </w:trPr>
        <w:tc>
          <w:tcPr>
            <w:tcW w:w="2513" w:type="pct"/>
            <w:vAlign w:val="center"/>
          </w:tcPr>
          <w:p>
            <w:pPr>
              <w:adjustRightInd/>
              <w:snapToGrid/>
              <w:spacing w:before="55" w:line="221" w:lineRule="auto"/>
              <w:ind w:left="1691" w:firstLine="0" w:firstLineChars="0"/>
              <w:rPr>
                <w:rFonts w:hint="default" w:ascii="Times New Roman" w:hAnsi="Times New Roman" w:eastAsia="宋体" w:cs="Times New Roman"/>
                <w:b w:val="0"/>
                <w:bCs/>
                <w:color w:val="000000" w:themeColor="text1"/>
                <w:spacing w:val="-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
                <w:sz w:val="21"/>
                <w:szCs w:val="21"/>
                <w:highlight w:val="none"/>
                <w:lang w:eastAsia="zh-CN"/>
                <w14:textFill>
                  <w14:solidFill>
                    <w14:schemeClr w14:val="tx1"/>
                  </w14:solidFill>
                </w14:textFill>
              </w:rPr>
              <w:t>其中，非世界分布</w:t>
            </w:r>
          </w:p>
        </w:tc>
        <w:tc>
          <w:tcPr>
            <w:tcW w:w="1592"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156</w:t>
            </w:r>
          </w:p>
        </w:tc>
        <w:tc>
          <w:tcPr>
            <w:tcW w:w="2545" w:type="dxa"/>
            <w:vAlign w:val="center"/>
          </w:tcPr>
          <w:p>
            <w:pPr>
              <w:keepNext w:val="0"/>
              <w:keepLines w:val="0"/>
              <w:widowControl/>
              <w:suppressLineNumbers w:val="0"/>
              <w:adjustRightInd/>
              <w:snapToGrid/>
              <w:spacing w:line="240" w:lineRule="auto"/>
              <w:ind w:firstLine="0" w:firstLineChars="0"/>
              <w:jc w:val="center"/>
              <w:textAlignment w:val="top"/>
              <w:rPr>
                <w:rFonts w:hint="default" w:ascii="Times New Roman" w:hAnsi="Times New Roman" w:eastAsia="宋体" w:cs="Times New Roman"/>
                <w:b w:val="0"/>
                <w:bCs/>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b w:val="0"/>
                <w:bCs/>
                <w:i w:val="0"/>
                <w:iCs w:val="0"/>
                <w:color w:val="000000" w:themeColor="text1"/>
                <w:kern w:val="0"/>
                <w:sz w:val="21"/>
                <w:szCs w:val="21"/>
                <w:highlight w:val="none"/>
                <w:u w:val="none"/>
                <w:lang w:val="en-US" w:eastAsia="zh-CN" w:bidi="ar"/>
                <w14:textFill>
                  <w14:solidFill>
                    <w14:schemeClr w14:val="tx1"/>
                  </w14:solidFill>
                </w14:textFill>
              </w:rPr>
              <w:t>100</w:t>
            </w:r>
          </w:p>
        </w:tc>
      </w:tr>
    </w:tbl>
    <w:p>
      <w:pPr>
        <w:adjustRightInd/>
        <w:snapToGrid/>
        <w:spacing w:before="29" w:line="233" w:lineRule="auto"/>
        <w:ind w:left="458" w:firstLine="0" w:firstLineChar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23"/>
          <w:sz w:val="21"/>
          <w:szCs w:val="21"/>
          <w:highlight w:val="none"/>
          <w14:textFill>
            <w14:solidFill>
              <w14:schemeClr w14:val="tx1"/>
            </w14:solidFill>
          </w14:textFill>
        </w:rPr>
        <w:t>注：</w:t>
      </w:r>
      <w:r>
        <w:rPr>
          <w:rFonts w:hint="default" w:ascii="Times New Roman" w:hAnsi="Times New Roman" w:eastAsia="宋体" w:cs="Times New Roman"/>
          <w:b w:val="0"/>
          <w:bCs/>
          <w:color w:val="000000" w:themeColor="text1"/>
          <w:spacing w:val="-14"/>
          <w:sz w:val="21"/>
          <w:szCs w:val="21"/>
          <w:highlight w:val="none"/>
          <w14:textFill>
            <w14:solidFill>
              <w14:schemeClr w14:val="tx1"/>
            </w14:solidFill>
          </w14:textFill>
        </w:rPr>
        <w:t>“*”不含世界广布类型</w:t>
      </w:r>
    </w:p>
    <w:p>
      <w:pPr>
        <w:adjustRightInd w:val="0"/>
        <w:snapToGrid w:val="0"/>
        <w:spacing w:line="360" w:lineRule="auto"/>
        <w:ind w:firstLine="500" w:firstLineChars="200"/>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pPr>
    </w:p>
    <w:p>
      <w:pPr>
        <w:adjustRightInd w:val="0"/>
        <w:snapToGrid w:val="0"/>
        <w:spacing w:line="360" w:lineRule="auto"/>
        <w:ind w:firstLine="500" w:firstLineChars="200"/>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上表的统计结果来看，项目区域热带分布区类型属</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2-7</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含有</w:t>
      </w:r>
      <w:r>
        <w:rPr>
          <w:rFonts w:hint="default" w:ascii="Times New Roman" w:hAnsi="Times New Roman" w:eastAsia="宋体" w:cs="Times New Roman"/>
          <w:b w:val="0"/>
          <w:bCs/>
          <w:color w:val="000000" w:themeColor="text1"/>
          <w:spacing w:val="5"/>
          <w:sz w:val="24"/>
          <w:szCs w:val="24"/>
          <w:highlight w:val="none"/>
          <w:lang w:val="en-US" w:eastAsia="zh-CN"/>
          <w14:textFill>
            <w14:solidFill>
              <w14:schemeClr w14:val="tx1"/>
            </w14:solidFill>
          </w14:textFill>
        </w:rPr>
        <w:t>69</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属，占项目区域非世界分布种子植物总属数的</w:t>
      </w:r>
      <w:r>
        <w:rPr>
          <w:rFonts w:hint="default" w:ascii="Times New Roman" w:hAnsi="Times New Roman" w:eastAsia="宋体" w:cs="Times New Roman"/>
          <w:b w:val="0"/>
          <w:bCs/>
          <w:color w:val="000000" w:themeColor="text1"/>
          <w:spacing w:val="5"/>
          <w:sz w:val="24"/>
          <w:szCs w:val="24"/>
          <w:highlight w:val="none"/>
          <w:lang w:val="en-US" w:eastAsia="zh-CN"/>
          <w14:textFill>
            <w14:solidFill>
              <w14:schemeClr w14:val="tx1"/>
            </w14:solidFill>
          </w14:textFill>
        </w:rPr>
        <w:t>44.23</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%，具有代表性的属有冬青属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Ilex</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、柃木属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Eurya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、凤仙花属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Impatiens</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、醉鱼草属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Buddleja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等；温带分布区类型</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8-14</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含有</w:t>
      </w:r>
      <w:r>
        <w:rPr>
          <w:rFonts w:hint="default" w:ascii="Times New Roman" w:hAnsi="Times New Roman" w:eastAsia="宋体" w:cs="Times New Roman"/>
          <w:b w:val="0"/>
          <w:bCs/>
          <w:color w:val="000000" w:themeColor="text1"/>
          <w:spacing w:val="5"/>
          <w:sz w:val="24"/>
          <w:szCs w:val="24"/>
          <w:highlight w:val="none"/>
          <w:lang w:val="en-US" w:eastAsia="zh-CN"/>
          <w14:textFill>
            <w14:solidFill>
              <w14:schemeClr w14:val="tx1"/>
            </w14:solidFill>
          </w14:textFill>
        </w:rPr>
        <w:t>81</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属，占评价区非世界分布种子植物总属数的</w:t>
      </w:r>
      <w:r>
        <w:rPr>
          <w:rFonts w:hint="default" w:ascii="Times New Roman" w:hAnsi="Times New Roman" w:eastAsia="宋体" w:cs="Times New Roman"/>
          <w:b w:val="0"/>
          <w:bCs/>
          <w:color w:val="000000" w:themeColor="text1"/>
          <w:spacing w:val="5"/>
          <w:sz w:val="24"/>
          <w:szCs w:val="24"/>
          <w:highlight w:val="none"/>
          <w:lang w:val="en-US" w:eastAsia="zh-CN"/>
          <w14:textFill>
            <w14:solidFill>
              <w14:schemeClr w14:val="tx1"/>
            </w14:solidFill>
          </w14:textFill>
        </w:rPr>
        <w:t>51.92</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%，具有代表性的有胡颓子属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Elaeagnus</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、胡桃属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Juglans</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、报春花属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Primula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、杜鹃属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Rhododendron</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、胡枝子属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Lespedeza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、接骨木属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Sambucus</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、楤木属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Aralia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、马桑属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Coriaria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、荚蒾属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Viburnum</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、栎属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Quercus</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、蔷薇属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Rosa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、忍冬属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Lonicera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、香青属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Anaphalis</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等；中国特有植物属6属，占</w:t>
      </w:r>
      <w:r>
        <w:rPr>
          <w:rFonts w:hint="default" w:ascii="Times New Roman" w:hAnsi="Times New Roman" w:eastAsia="宋体" w:cs="Times New Roman"/>
          <w:b w:val="0"/>
          <w:bCs/>
          <w:color w:val="000000" w:themeColor="text1"/>
          <w:spacing w:val="5"/>
          <w:sz w:val="24"/>
          <w:szCs w:val="24"/>
          <w:highlight w:val="none"/>
          <w:lang w:val="en-US" w:eastAsia="zh-CN"/>
          <w14:textFill>
            <w14:solidFill>
              <w14:schemeClr w14:val="tx1"/>
            </w14:solidFill>
          </w14:textFill>
        </w:rPr>
        <w:t>3.85</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%，分别是喜树属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Camptotheca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、杉木属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Cunninghamia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、银杏属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Ginkgo</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、水杉属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Metasequoia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、慈竹属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Neosinocalamus</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、通脱木属</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Tetrapanax</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从属的分布区类型来看，区域内种子植物区系成分以北温带分布、东亚分布、泛热带分布、东亚和北美洲间断分布、旧世界温带所代表的温带成分为主，同时热带成分也有近四成的比例，反映出项目区域种子植物在属级水平上区系性质的复杂性，种子植物温带分布属显著多于其他区系成分，因此项目区域种子植物带有极其明显的温带成分性质，这与项目区域所处的“亚热带常绿阔叶林区域—川东盆地及川西南山地常绿阔叶林地带</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东部常绿阔叶林亚区域</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—川东盆地偏湿性常绿阔叶林亚带—盆边北部中山植被地区</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北亚热带常绿、落叶阔叶混交林地带</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—大巴山植被小区</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秦、巴山地丘陵，栎类林、巴山松、马尾松林区</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”气候条件相符。</w:t>
      </w:r>
    </w:p>
    <w:p>
      <w:pPr>
        <w:adjustRightInd w:val="0"/>
        <w:snapToGrid w:val="0"/>
        <w:spacing w:line="360" w:lineRule="auto"/>
        <w:ind w:firstLine="500" w:firstLineChars="200"/>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（4）存在的主要生态问题</w:t>
      </w:r>
    </w:p>
    <w:p>
      <w:pPr>
        <w:adjustRightInd w:val="0"/>
        <w:snapToGrid w:val="0"/>
        <w:spacing w:line="360" w:lineRule="auto"/>
        <w:ind w:firstLine="500" w:firstLineChars="200"/>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项目所在区域宣汉县现有植被以次生性森林为主。过去由于人们对生态效益认识不足，在经济建设过程中对阔叶林资源进行掠夺式的开发利用，经历上50年代“大跃进”式的毁林开荒，以及80年代初期的“分林到户”而引发的乱砍滥伐，宣汉县境内天然阔叶林资源遭到严重破坏，许多天然阔叶林由于强度砍伐目前只留下灌草丛，有的甚至已退化成坡耕地，虽然目前经过退耕还林封山育林，不删区域已经变为乔木林，但多为次生人工幼林，生态效益不高。项目区域周边人口较多，日益增长的人口压力将对山地森林生态系统及其物种资源构成极大的威胁。一旦遭受破坏，极容易引起水土流失，造成生态环境的恶化。生态系统要想恢复到破坏前的状态，至少也要几十年，乃至上百年的时间。若不采取措施，及时保护，若干年后，将不复存在。由此可见，评价范围的森林生态系统和物种资源是非常脆弱的。</w:t>
      </w:r>
    </w:p>
    <w:p>
      <w:pPr>
        <w:keepNext/>
        <w:keepLines/>
        <w:widowControl/>
        <w:adjustRightInd w:val="0"/>
        <w:snapToGrid w:val="0"/>
        <w:spacing w:before="0" w:after="0" w:line="360" w:lineRule="auto"/>
        <w:ind w:firstLine="480" w:firstLineChars="200"/>
        <w:jc w:val="left"/>
        <w:outlineLvl w:val="2"/>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pPr>
      <w:bookmarkStart w:id="244" w:name="_Toc120173138"/>
      <w:r>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t>4.3.4评价范围陆生植被现状</w:t>
      </w:r>
      <w:bookmarkEnd w:id="243"/>
      <w:r>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t>调查</w:t>
      </w:r>
      <w:bookmarkEnd w:id="244"/>
    </w:p>
    <w:p>
      <w:pPr>
        <w:widowControl w:val="0"/>
        <w:adjustRightInd w:val="0"/>
        <w:snapToGrid w:val="0"/>
        <w:spacing w:line="360" w:lineRule="auto"/>
        <w:ind w:firstLine="480" w:firstLineChars="200"/>
        <w:jc w:val="both"/>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1、评价范围内植被概况</w:t>
      </w:r>
    </w:p>
    <w:p>
      <w:pPr>
        <w:adjustRightInd w:val="0"/>
        <w:snapToGrid w:val="0"/>
        <w:spacing w:line="360" w:lineRule="auto"/>
        <w:ind w:firstLine="472" w:firstLineChars="200"/>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现场调查情况，评价区地带性植物为亚热带常绿阔叶林，植被覆盖度较高，亚热带针叶林、阔叶林植被，亚热带灌丛、热性草丛植被较常见，有明显的热带特征，评价区内天然植被和人工栽植植被均广泛分布。</w:t>
      </w:r>
    </w:p>
    <w:p>
      <w:pPr>
        <w:widowControl w:val="0"/>
        <w:numPr>
          <w:ilvl w:val="0"/>
          <w:numId w:val="12"/>
        </w:numPr>
        <w:adjustRightInd w:val="0"/>
        <w:snapToGrid w:val="0"/>
        <w:spacing w:line="360" w:lineRule="auto"/>
        <w:ind w:firstLine="480" w:firstLineChars="200"/>
        <w:jc w:val="both"/>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植物群落结构及演替规律</w:t>
      </w:r>
    </w:p>
    <w:p>
      <w:pPr>
        <w:widowControl w:val="0"/>
        <w:adjustRightInd w:val="0"/>
        <w:snapToGrid w:val="0"/>
        <w:spacing w:line="360" w:lineRule="auto"/>
        <w:ind w:firstLine="480" w:firstLineChars="200"/>
        <w:jc w:val="both"/>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评价区植物群落主要为乔木、灌木、草本为主的结构特征，其中乔木群落结构多为乔灌草三层植被，灌木群落结构多为灌草双层植被，草本群落则多为草丛单层植被。群落自然演替规律总体呈现草本-灌丛-乔木方向演替。同时，随着近年退耕还林等人为活动影响，还存在草本-园地、草本-乔木、灌丛-乔木、旱地-园地、旱地-乔木等结构演替，总之，项目区植物群落总体朝向生物多样性更加复杂、生产力和生物量更加丰富、生态系统结构更加稳定的方向演变。</w:t>
      </w:r>
    </w:p>
    <w:p>
      <w:pPr>
        <w:widowControl w:val="0"/>
        <w:adjustRightInd w:val="0"/>
        <w:snapToGrid w:val="0"/>
        <w:spacing w:line="360" w:lineRule="auto"/>
        <w:ind w:firstLine="480" w:firstLineChars="200"/>
        <w:jc w:val="both"/>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3、评价范围内维管束植物组成</w:t>
      </w:r>
    </w:p>
    <w:p>
      <w:pPr>
        <w:keepNext w:val="0"/>
        <w:keepLines w:val="0"/>
        <w:pageBreakBefore w:val="0"/>
        <w:widowControl w:val="0"/>
        <w:kinsoku/>
        <w:wordWrap/>
        <w:overflowPunct/>
        <w:topLinePunct w:val="0"/>
        <w:autoSpaceDE/>
        <w:autoSpaceDN/>
        <w:bidi w:val="0"/>
        <w:adjustRightInd/>
        <w:snapToGrid/>
        <w:spacing w:line="360" w:lineRule="auto"/>
        <w:ind w:left="0" w:right="0" w:firstLine="479" w:firstLineChars="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7"/>
          <w:sz w:val="24"/>
          <w:szCs w:val="24"/>
          <w:highlight w:val="none"/>
          <w14:textFill>
            <w14:solidFill>
              <w14:schemeClr w14:val="tx1"/>
            </w14:solidFill>
          </w14:textFill>
        </w:rPr>
        <w:t>评价区共有维管束植物有</w:t>
      </w:r>
      <w:r>
        <w:rPr>
          <w:rFonts w:hint="default" w:ascii="Times New Roman" w:hAnsi="Times New Roman" w:eastAsia="宋体" w:cs="Times New Roman"/>
          <w:b w:val="0"/>
          <w:bCs/>
          <w:color w:val="000000" w:themeColor="text1"/>
          <w:spacing w:val="7"/>
          <w:sz w:val="24"/>
          <w:szCs w:val="24"/>
          <w:highlight w:val="none"/>
          <w:lang w:val="en-US" w:eastAsia="zh-CN"/>
          <w14:textFill>
            <w14:solidFill>
              <w14:schemeClr w14:val="tx1"/>
            </w14:solidFill>
          </w14:textFill>
        </w:rPr>
        <w:t>35目，</w:t>
      </w:r>
      <w:r>
        <w:rPr>
          <w:rFonts w:hint="default" w:ascii="Times New Roman" w:hAnsi="Times New Roman" w:eastAsia="宋体" w:cs="Times New Roman"/>
          <w:b w:val="0"/>
          <w:bCs/>
          <w:color w:val="000000" w:themeColor="text1"/>
          <w:spacing w:val="4"/>
          <w:sz w:val="24"/>
          <w:szCs w:val="24"/>
          <w:highlight w:val="none"/>
          <w:lang w:val="en-US" w:eastAsia="zh-CN"/>
          <w14:textFill>
            <w14:solidFill>
              <w14:schemeClr w14:val="tx1"/>
            </w14:solidFill>
          </w14:textFill>
        </w:rPr>
        <w:t>78</w:t>
      </w:r>
      <w:r>
        <w:rPr>
          <w:rFonts w:hint="default" w:ascii="Times New Roman" w:hAnsi="Times New Roman" w:eastAsia="宋体" w:cs="Times New Roman"/>
          <w:b w:val="0"/>
          <w:bCs/>
          <w:color w:val="000000" w:themeColor="text1"/>
          <w:spacing w:val="7"/>
          <w:sz w:val="24"/>
          <w:szCs w:val="24"/>
          <w:highlight w:val="none"/>
          <w14:textFill>
            <w14:solidFill>
              <w14:schemeClr w14:val="tx1"/>
            </w14:solidFill>
          </w14:textFill>
        </w:rPr>
        <w:t>科，</w:t>
      </w:r>
      <w:r>
        <w:rPr>
          <w:rFonts w:hint="default" w:ascii="Times New Roman" w:hAnsi="Times New Roman" w:eastAsia="宋体" w:cs="Times New Roman"/>
          <w:b w:val="0"/>
          <w:bCs/>
          <w:color w:val="000000" w:themeColor="text1"/>
          <w:spacing w:val="4"/>
          <w:sz w:val="24"/>
          <w:szCs w:val="24"/>
          <w:highlight w:val="none"/>
          <w:lang w:val="en-US" w:eastAsia="zh-CN"/>
          <w14:textFill>
            <w14:solidFill>
              <w14:schemeClr w14:val="tx1"/>
            </w14:solidFill>
          </w14:textFill>
        </w:rPr>
        <w:t>170</w:t>
      </w:r>
      <w:r>
        <w:rPr>
          <w:rFonts w:hint="default" w:ascii="Times New Roman" w:hAnsi="Times New Roman" w:eastAsia="宋体" w:cs="Times New Roman"/>
          <w:b w:val="0"/>
          <w:bCs/>
          <w:color w:val="000000" w:themeColor="text1"/>
          <w:spacing w:val="7"/>
          <w:sz w:val="24"/>
          <w:szCs w:val="24"/>
          <w:highlight w:val="none"/>
          <w14:textFill>
            <w14:solidFill>
              <w14:schemeClr w14:val="tx1"/>
            </w14:solidFill>
          </w14:textFill>
        </w:rPr>
        <w:t>属，</w:t>
      </w:r>
      <w:r>
        <w:rPr>
          <w:rFonts w:hint="default" w:ascii="Times New Roman" w:hAnsi="Times New Roman" w:eastAsia="宋体" w:cs="Times New Roman"/>
          <w:b w:val="0"/>
          <w:bCs/>
          <w:color w:val="000000" w:themeColor="text1"/>
          <w:spacing w:val="4"/>
          <w:sz w:val="24"/>
          <w:szCs w:val="24"/>
          <w:highlight w:val="none"/>
          <w:lang w:val="en-US" w:eastAsia="zh-CN"/>
          <w14:textFill>
            <w14:solidFill>
              <w14:schemeClr w14:val="tx1"/>
            </w14:solidFill>
          </w14:textFill>
        </w:rPr>
        <w:t>231</w:t>
      </w:r>
      <w:r>
        <w:rPr>
          <w:rFonts w:hint="default" w:ascii="Times New Roman" w:hAnsi="Times New Roman" w:eastAsia="宋体" w:cs="Times New Roman"/>
          <w:b w:val="0"/>
          <w:bCs/>
          <w:color w:val="000000" w:themeColor="text1"/>
          <w:spacing w:val="7"/>
          <w:sz w:val="24"/>
          <w:szCs w:val="24"/>
          <w:highlight w:val="none"/>
          <w14:textFill>
            <w14:solidFill>
              <w14:schemeClr w14:val="tx1"/>
            </w14:solidFill>
          </w14:textFill>
        </w:rPr>
        <w:t>种：其中蕨类植物共有</w:t>
      </w:r>
      <w:r>
        <w:rPr>
          <w:rFonts w:hint="default" w:ascii="Times New Roman" w:hAnsi="Times New Roman" w:eastAsia="宋体" w:cs="Times New Roman"/>
          <w:b w:val="0"/>
          <w:bCs/>
          <w:color w:val="000000" w:themeColor="text1"/>
          <w:spacing w:val="3"/>
          <w:sz w:val="24"/>
          <w:szCs w:val="24"/>
          <w:highlight w:val="none"/>
          <w:lang w:val="en-US" w:eastAsia="zh-CN"/>
          <w14:textFill>
            <w14:solidFill>
              <w14:schemeClr w14:val="tx1"/>
            </w14:solidFill>
          </w14:textFill>
        </w:rPr>
        <w:t>12</w:t>
      </w:r>
      <w:r>
        <w:rPr>
          <w:rFonts w:hint="default" w:ascii="Times New Roman" w:hAnsi="Times New Roman" w:eastAsia="宋体" w:cs="Times New Roman"/>
          <w:b w:val="0"/>
          <w:bCs/>
          <w:color w:val="000000" w:themeColor="text1"/>
          <w:spacing w:val="6"/>
          <w:sz w:val="24"/>
          <w:szCs w:val="24"/>
          <w:highlight w:val="none"/>
          <w14:textFill>
            <w14:solidFill>
              <w14:schemeClr w14:val="tx1"/>
            </w14:solidFill>
          </w14:textFill>
        </w:rPr>
        <w:t>科</w:t>
      </w:r>
      <w:r>
        <w:rPr>
          <w:rFonts w:hint="default" w:ascii="Times New Roman" w:hAnsi="Times New Roman" w:eastAsia="宋体" w:cs="Times New Roman"/>
          <w:b w:val="0"/>
          <w:bCs/>
          <w:color w:val="000000" w:themeColor="text1"/>
          <w:spacing w:val="3"/>
          <w:sz w:val="24"/>
          <w:szCs w:val="24"/>
          <w:highlight w:val="none"/>
          <w:lang w:val="en-US" w:eastAsia="zh-CN"/>
          <w14:textFill>
            <w14:solidFill>
              <w14:schemeClr w14:val="tx1"/>
            </w14:solidFill>
          </w14:textFill>
        </w:rPr>
        <w:t>14</w:t>
      </w:r>
      <w:r>
        <w:rPr>
          <w:rFonts w:hint="default" w:ascii="Times New Roman" w:hAnsi="Times New Roman" w:eastAsia="宋体" w:cs="Times New Roman"/>
          <w:b w:val="0"/>
          <w:bCs/>
          <w:color w:val="000000" w:themeColor="text1"/>
          <w:spacing w:val="6"/>
          <w:sz w:val="24"/>
          <w:szCs w:val="24"/>
          <w:highlight w:val="none"/>
          <w14:textFill>
            <w14:solidFill>
              <w14:schemeClr w14:val="tx1"/>
            </w14:solidFill>
          </w14:textFill>
        </w:rPr>
        <w:t>属</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20</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w:t>
      </w:r>
      <w:r>
        <w:rPr>
          <w:rFonts w:hint="default" w:ascii="Times New Roman" w:hAnsi="Times New Roman" w:eastAsia="宋体" w:cs="Times New Roman"/>
          <w:b w:val="0"/>
          <w:bCs/>
          <w:color w:val="000000" w:themeColor="text1"/>
          <w:spacing w:val="-59"/>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占总科数的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15.38</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59"/>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总属数的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8.24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59"/>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总种数的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8.66</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59"/>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裸子植3科4属4种</w:t>
      </w:r>
      <w:r>
        <w:rPr>
          <w:rFonts w:hint="default" w:ascii="Times New Roman" w:hAnsi="Times New Roman" w:eastAsia="宋体" w:cs="Times New Roman"/>
          <w:b w:val="0"/>
          <w:bCs/>
          <w:color w:val="000000" w:themeColor="text1"/>
          <w:spacing w:val="-59"/>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1"/>
          <w:sz w:val="24"/>
          <w:szCs w:val="24"/>
          <w:highlight w:val="none"/>
          <w14:textFill>
            <w14:solidFill>
              <w14:schemeClr w14:val="tx1"/>
            </w14:solidFill>
          </w14:textFill>
        </w:rPr>
        <w:t>占评价区总科数的</w:t>
      </w:r>
      <w:r>
        <w:rPr>
          <w:rFonts w:hint="default" w:ascii="Times New Roman" w:hAnsi="Times New Roman" w:eastAsia="宋体" w:cs="Times New Roman"/>
          <w:b w:val="0"/>
          <w:bCs/>
          <w:color w:val="000000" w:themeColor="text1"/>
          <w:spacing w:val="1"/>
          <w:sz w:val="24"/>
          <w:szCs w:val="24"/>
          <w:highlight w:val="none"/>
          <w:lang w:val="en-US" w:eastAsia="zh-CN"/>
          <w14:textFill>
            <w14:solidFill>
              <w14:schemeClr w14:val="tx1"/>
            </w14:solidFill>
          </w14:textFill>
        </w:rPr>
        <w:t>3.85</w:t>
      </w:r>
      <w:r>
        <w:rPr>
          <w:rFonts w:hint="default" w:ascii="Times New Roman" w:hAnsi="Times New Roman" w:eastAsia="宋体" w:cs="Times New Roman"/>
          <w:b w:val="0"/>
          <w:bCs/>
          <w:color w:val="000000" w:themeColor="text1"/>
          <w:spacing w:val="1"/>
          <w:sz w:val="24"/>
          <w:szCs w:val="24"/>
          <w:highlight w:val="none"/>
          <w14:textFill>
            <w14:solidFill>
              <w14:schemeClr w14:val="tx1"/>
            </w14:solidFill>
          </w14:textFill>
        </w:rPr>
        <w:t>%，总属数的</w:t>
      </w:r>
      <w:r>
        <w:rPr>
          <w:rFonts w:hint="default" w:ascii="Times New Roman" w:hAnsi="Times New Roman" w:eastAsia="宋体" w:cs="Times New Roman"/>
          <w:b w:val="0"/>
          <w:bCs/>
          <w:color w:val="000000" w:themeColor="text1"/>
          <w:spacing w:val="1"/>
          <w:sz w:val="24"/>
          <w:szCs w:val="24"/>
          <w:highlight w:val="none"/>
          <w:lang w:val="en-US" w:eastAsia="zh-CN"/>
          <w14:textFill>
            <w14:solidFill>
              <w14:schemeClr w14:val="tx1"/>
            </w14:solidFill>
          </w14:textFill>
        </w:rPr>
        <w:t>2.35</w:t>
      </w:r>
      <w:r>
        <w:rPr>
          <w:rFonts w:hint="default" w:ascii="Times New Roman" w:hAnsi="Times New Roman" w:eastAsia="宋体" w:cs="Times New Roman"/>
          <w:b w:val="0"/>
          <w:bCs/>
          <w:color w:val="000000" w:themeColor="text1"/>
          <w:spacing w:val="1"/>
          <w:sz w:val="24"/>
          <w:szCs w:val="24"/>
          <w:highlight w:val="none"/>
          <w14:textFill>
            <w14:solidFill>
              <w14:schemeClr w14:val="tx1"/>
            </w14:solidFill>
          </w14:textFill>
        </w:rPr>
        <w:t>%，总种数的</w:t>
      </w:r>
      <w:r>
        <w:rPr>
          <w:rFonts w:hint="default" w:ascii="Times New Roman" w:hAnsi="Times New Roman" w:eastAsia="宋体" w:cs="Times New Roman"/>
          <w:b w:val="0"/>
          <w:bCs/>
          <w:color w:val="000000" w:themeColor="text1"/>
          <w:spacing w:val="1"/>
          <w:sz w:val="24"/>
          <w:szCs w:val="24"/>
          <w:highlight w:val="none"/>
          <w:lang w:val="en-US" w:eastAsia="zh-CN"/>
          <w14:textFill>
            <w14:solidFill>
              <w14:schemeClr w14:val="tx1"/>
            </w14:solidFill>
          </w14:textFill>
        </w:rPr>
        <w:t>1.73</w:t>
      </w:r>
      <w:r>
        <w:rPr>
          <w:rFonts w:hint="default" w:ascii="Times New Roman" w:hAnsi="Times New Roman" w:eastAsia="宋体" w:cs="Times New Roman"/>
          <w:b w:val="0"/>
          <w:bCs/>
          <w:color w:val="000000" w:themeColor="text1"/>
          <w:spacing w:val="1"/>
          <w:sz w:val="24"/>
          <w:szCs w:val="24"/>
          <w:highlight w:val="none"/>
          <w14:textFill>
            <w14:solidFill>
              <w14:schemeClr w14:val="tx1"/>
            </w14:solidFill>
          </w14:textFill>
        </w:rPr>
        <w:t>%；被子植物</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物种数最多</w:t>
      </w:r>
      <w:r>
        <w:rPr>
          <w:rFonts w:hint="default" w:ascii="Times New Roman" w:hAnsi="Times New Roman" w:eastAsia="宋体" w:cs="Times New Roman"/>
          <w:b w:val="0"/>
          <w:bCs/>
          <w:color w:val="000000" w:themeColor="text1"/>
          <w:spacing w:val="-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共有</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63</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科</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152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属</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207</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种，占评价区总科数的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80.77</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%，总属数的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89.41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%，总种数的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89.61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3"/>
          <w:sz w:val="24"/>
          <w:szCs w:val="24"/>
          <w:highlight w:val="none"/>
          <w:lang w:eastAsia="zh-CN"/>
          <w14:textFill>
            <w14:solidFill>
              <w14:schemeClr w14:val="tx1"/>
            </w14:solidFill>
          </w14:textFill>
        </w:rPr>
        <w:t>具体名录见附表</w:t>
      </w:r>
      <w:r>
        <w:rPr>
          <w:rFonts w:hint="default" w:ascii="Times New Roman" w:hAnsi="Times New Roman" w:eastAsia="宋体" w:cs="Times New Roman"/>
          <w:b w:val="0"/>
          <w:bCs/>
          <w:color w:val="000000" w:themeColor="text1"/>
          <w:spacing w:val="-3"/>
          <w:sz w:val="24"/>
          <w:szCs w:val="24"/>
          <w:highlight w:val="none"/>
          <w:lang w:val="en-US" w:eastAsia="zh-CN"/>
          <w14:textFill>
            <w14:solidFill>
              <w14:schemeClr w14:val="tx1"/>
            </w14:solidFill>
          </w14:textFill>
        </w:rPr>
        <w:t>1。</w:t>
      </w:r>
    </w:p>
    <w:p>
      <w:pPr>
        <w:widowControl w:val="0"/>
        <w:adjustRightInd w:val="0"/>
        <w:snapToGrid w:val="0"/>
        <w:spacing w:line="360" w:lineRule="auto"/>
        <w:ind w:firstLine="480" w:firstLineChars="200"/>
        <w:jc w:val="both"/>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4、项目评价范围内主要植被类型</w:t>
      </w:r>
    </w:p>
    <w:p>
      <w:pPr>
        <w:widowControl w:val="0"/>
        <w:adjustRightInd w:val="0"/>
        <w:snapToGrid w:val="0"/>
        <w:spacing w:line="360" w:lineRule="auto"/>
        <w:ind w:firstLine="480" w:firstLineChars="200"/>
        <w:jc w:val="both"/>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采用实地踏勘和样方调查相结合的方法对评价范围内植被进行实地调查，结合卫星影像解译成果，参考现有的资料和文献，根据各类群落的特征，按照吴征镒等《中国植物志</w:t>
      </w:r>
      <w:r>
        <w:rPr>
          <w:rFonts w:hint="default" w:ascii="Times New Roman" w:hAnsi="Times New Roman" w:cs="Times New Roman"/>
          <w:b w:val="0"/>
          <w:bCs/>
          <w:color w:val="000000" w:themeColor="text1"/>
          <w:kern w:val="2"/>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四川植物志》中对四川的自然、人工植被的分类系统，划分出评价范围内不同的植被类型，形成植被分类系统。评价区自然植被涉及3种植被型组，4种植被型和4种群系，自然植被分类见表4.3-8。</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表4.3-8 工程评价区自然植被分类系统</w:t>
      </w:r>
    </w:p>
    <w:tbl>
      <w:tblPr>
        <w:tblStyle w:val="9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8"/>
        <w:gridCol w:w="639"/>
        <w:gridCol w:w="1053"/>
        <w:gridCol w:w="2070"/>
        <w:gridCol w:w="1810"/>
        <w:gridCol w:w="1098"/>
        <w:gridCol w:w="1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269" w:type="pct"/>
            <w:vMerge w:val="restar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植被型组</w:t>
            </w:r>
          </w:p>
        </w:tc>
        <w:tc>
          <w:tcPr>
            <w:tcW w:w="384" w:type="pct"/>
            <w:vMerge w:val="restar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植被型</w:t>
            </w:r>
          </w:p>
        </w:tc>
        <w:tc>
          <w:tcPr>
            <w:tcW w:w="633" w:type="pct"/>
            <w:vMerge w:val="restar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植被</w:t>
            </w: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亚</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型</w:t>
            </w:r>
          </w:p>
        </w:tc>
        <w:tc>
          <w:tcPr>
            <w:tcW w:w="1244" w:type="pct"/>
            <w:vMerge w:val="restar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lang w:eastAsia="en-US"/>
                <w14:textFill>
                  <w14:solidFill>
                    <w14:schemeClr w14:val="tx1"/>
                  </w14:solidFill>
                </w14:textFill>
              </w:rPr>
              <w:t>群</w:t>
            </w:r>
            <w:r>
              <w:rPr>
                <w:rFonts w:hint="default" w:ascii="Times New Roman" w:hAnsi="Times New Roman" w:eastAsia="宋体" w:cs="Times New Roman"/>
                <w:b w:val="0"/>
                <w:bCs/>
                <w:color w:val="000000" w:themeColor="text1"/>
                <w:spacing w:val="-2"/>
                <w:sz w:val="21"/>
                <w:szCs w:val="21"/>
                <w:highlight w:val="none"/>
                <w:lang w:eastAsia="en-US"/>
                <w14:textFill>
                  <w14:solidFill>
                    <w14:schemeClr w14:val="tx1"/>
                  </w14:solidFill>
                </w14:textFill>
              </w:rPr>
              <w:t>系</w:t>
            </w:r>
          </w:p>
        </w:tc>
        <w:tc>
          <w:tcPr>
            <w:tcW w:w="1088" w:type="pct"/>
            <w:vMerge w:val="restart"/>
            <w:vAlign w:val="center"/>
          </w:tcPr>
          <w:p>
            <w:pPr>
              <w:adjustRightInd/>
              <w:snapToGrid/>
              <w:spacing w:before="53" w:line="217"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2"/>
                <w:sz w:val="21"/>
                <w:szCs w:val="21"/>
                <w:highlight w:val="none"/>
                <w:lang w:eastAsia="zh-CN"/>
                <w14:textFill>
                  <w14:solidFill>
                    <w14:schemeClr w14:val="tx1"/>
                  </w14:solidFill>
                </w14:textFill>
              </w:rPr>
              <w:t>分布区域</w:t>
            </w:r>
          </w:p>
        </w:tc>
        <w:tc>
          <w:tcPr>
            <w:tcW w:w="1380"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项目</w:t>
            </w: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占用情况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269" w:type="pct"/>
            <w:vMerge w:val="continue"/>
            <w:vAlign w:val="center"/>
          </w:tcPr>
          <w:p>
            <w:pPr>
              <w:adjustRightInd/>
              <w:snapToGrid/>
              <w:spacing w:before="53" w:line="217" w:lineRule="auto"/>
              <w:ind w:left="1176"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p>
        </w:tc>
        <w:tc>
          <w:tcPr>
            <w:tcW w:w="384" w:type="pct"/>
            <w:vMerge w:val="continue"/>
            <w:vAlign w:val="center"/>
          </w:tcPr>
          <w:p>
            <w:pPr>
              <w:adjustRightInd/>
              <w:snapToGrid/>
              <w:spacing w:before="53" w:line="217" w:lineRule="auto"/>
              <w:ind w:left="1176"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p>
        </w:tc>
        <w:tc>
          <w:tcPr>
            <w:tcW w:w="633" w:type="pct"/>
            <w:vMerge w:val="continue"/>
            <w:vAlign w:val="center"/>
          </w:tcPr>
          <w:p>
            <w:pPr>
              <w:adjustRightInd/>
              <w:snapToGrid/>
              <w:spacing w:before="53" w:line="217" w:lineRule="auto"/>
              <w:ind w:left="1176"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p>
        </w:tc>
        <w:tc>
          <w:tcPr>
            <w:tcW w:w="1244" w:type="pct"/>
            <w:vMerge w:val="continue"/>
            <w:vAlign w:val="center"/>
          </w:tcPr>
          <w:p>
            <w:pPr>
              <w:adjustRightInd/>
              <w:snapToGrid/>
              <w:spacing w:before="53" w:line="217" w:lineRule="auto"/>
              <w:ind w:left="1176"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p>
        </w:tc>
        <w:tc>
          <w:tcPr>
            <w:tcW w:w="1088" w:type="pct"/>
            <w:vMerge w:val="continue"/>
            <w:vAlign w:val="center"/>
          </w:tcPr>
          <w:p>
            <w:pPr>
              <w:adjustRightInd/>
              <w:snapToGrid/>
              <w:spacing w:before="53" w:line="217" w:lineRule="auto"/>
              <w:ind w:left="1176" w:firstLine="0" w:firstLineChars="0"/>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pPr>
          </w:p>
        </w:tc>
        <w:tc>
          <w:tcPr>
            <w:tcW w:w="660"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面积</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hm²</w:t>
            </w:r>
            <w:r>
              <w:rPr>
                <w:rFonts w:hint="eastAsia" w:cs="Times New Roman"/>
                <w:b w:val="0"/>
                <w:bCs/>
                <w:color w:val="000000" w:themeColor="text1"/>
                <w:sz w:val="21"/>
                <w:szCs w:val="21"/>
                <w:highlight w:val="none"/>
                <w:lang w:eastAsia="zh-CN"/>
                <w14:textFill>
                  <w14:solidFill>
                    <w14:schemeClr w14:val="tx1"/>
                  </w14:solidFill>
                </w14:textFill>
              </w:rPr>
              <w:t>）</w:t>
            </w:r>
          </w:p>
        </w:tc>
        <w:tc>
          <w:tcPr>
            <w:tcW w:w="720"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比例</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eastAsia="en-US"/>
                <w14:textFill>
                  <w14:solidFill>
                    <w14:schemeClr w14:val="tx1"/>
                  </w14:solidFill>
                </w14:textFill>
              </w:rPr>
              <w:t>%</w:t>
            </w:r>
            <w:r>
              <w:rPr>
                <w:rFonts w:hint="eastAsia" w:cs="Times New Roman"/>
                <w:b w:val="0"/>
                <w:bCs/>
                <w:color w:val="000000" w:themeColor="text1"/>
                <w:sz w:val="21"/>
                <w:szCs w:val="21"/>
                <w:highlight w:val="none"/>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269"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针叶林</w:t>
            </w:r>
          </w:p>
        </w:tc>
        <w:tc>
          <w:tcPr>
            <w:tcW w:w="384"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暖性</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针叶林</w:t>
            </w:r>
          </w:p>
        </w:tc>
        <w:tc>
          <w:tcPr>
            <w:tcW w:w="633"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12"/>
                <w:sz w:val="21"/>
                <w:szCs w:val="21"/>
                <w:highlight w:val="none"/>
                <w:lang w:eastAsia="en-US"/>
                <w14:textFill>
                  <w14:solidFill>
                    <w14:schemeClr w14:val="tx1"/>
                  </w14:solidFill>
                </w14:textFill>
              </w:rPr>
              <w:t>暖性常绿</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针叶林</w:t>
            </w:r>
          </w:p>
        </w:tc>
        <w:tc>
          <w:tcPr>
            <w:tcW w:w="1244"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马尾松</w:t>
            </w:r>
            <w:r>
              <w:rPr>
                <w:rFonts w:hint="default" w:ascii="Times New Roman" w:hAnsi="Times New Roman" w:eastAsia="宋体" w:cs="Times New Roman"/>
                <w:b w:val="0"/>
                <w:bCs/>
                <w:color w:val="000000" w:themeColor="text1"/>
                <w:kern w:val="0"/>
                <w:sz w:val="21"/>
                <w:szCs w:val="21"/>
                <w:highlight w:val="none"/>
                <w:lang w:eastAsia="en-US"/>
                <w14:textFill>
                  <w14:solidFill>
                    <w14:schemeClr w14:val="tx1"/>
                  </w14:solidFill>
                </w14:textFill>
              </w:rPr>
              <w:t>群系</w:t>
            </w:r>
          </w:p>
        </w:tc>
        <w:tc>
          <w:tcPr>
            <w:tcW w:w="1088"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此植被类型广泛分布</w:t>
            </w:r>
          </w:p>
        </w:tc>
        <w:tc>
          <w:tcPr>
            <w:tcW w:w="660" w:type="pct"/>
            <w:vMerge w:val="restar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0</w:t>
            </w:r>
          </w:p>
        </w:tc>
        <w:tc>
          <w:tcPr>
            <w:tcW w:w="720" w:type="pct"/>
            <w:vMerge w:val="restar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9" w:hRule="atLeast"/>
          <w:jc w:val="center"/>
        </w:trPr>
        <w:tc>
          <w:tcPr>
            <w:tcW w:w="269"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阔叶林</w:t>
            </w:r>
          </w:p>
        </w:tc>
        <w:tc>
          <w:tcPr>
            <w:tcW w:w="384"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落叶</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阔叶林</w:t>
            </w:r>
          </w:p>
        </w:tc>
        <w:tc>
          <w:tcPr>
            <w:tcW w:w="633"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典型</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落叶阔叶林</w:t>
            </w:r>
          </w:p>
        </w:tc>
        <w:tc>
          <w:tcPr>
            <w:tcW w:w="1244"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麻栎</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青冈</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栓皮栎</w:t>
            </w:r>
            <w:r>
              <w:rPr>
                <w:rFonts w:hint="default" w:ascii="Times New Roman" w:hAnsi="Times New Roman" w:eastAsia="宋体" w:cs="Times New Roman"/>
                <w:b w:val="0"/>
                <w:bCs/>
                <w:color w:val="000000" w:themeColor="text1"/>
                <w:kern w:val="0"/>
                <w:sz w:val="21"/>
                <w:szCs w:val="21"/>
                <w:highlight w:val="none"/>
                <w:lang w:eastAsia="en-US"/>
                <w14:textFill>
                  <w14:solidFill>
                    <w14:schemeClr w14:val="tx1"/>
                  </w14:solidFill>
                </w14:textFill>
              </w:rPr>
              <w:t>群系</w:t>
            </w:r>
          </w:p>
        </w:tc>
        <w:tc>
          <w:tcPr>
            <w:tcW w:w="1088"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此植被类型广泛分布</w:t>
            </w:r>
          </w:p>
        </w:tc>
        <w:tc>
          <w:tcPr>
            <w:tcW w:w="660" w:type="pct"/>
            <w:vMerge w:val="continue"/>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pPr>
          </w:p>
        </w:tc>
        <w:tc>
          <w:tcPr>
            <w:tcW w:w="720" w:type="pct"/>
            <w:vMerge w:val="continue"/>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69" w:type="pct"/>
            <w:vMerge w:val="restar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灌丛和灌 草丛</w:t>
            </w:r>
          </w:p>
        </w:tc>
        <w:tc>
          <w:tcPr>
            <w:tcW w:w="384"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落叶阔叶灌丛</w:t>
            </w:r>
          </w:p>
        </w:tc>
        <w:tc>
          <w:tcPr>
            <w:tcW w:w="633"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暖性落叶</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阔叶灌丛</w:t>
            </w:r>
          </w:p>
        </w:tc>
        <w:tc>
          <w:tcPr>
            <w:tcW w:w="1244"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马桑+黄荆+火棘+荚蒾灌丛</w:t>
            </w:r>
          </w:p>
        </w:tc>
        <w:tc>
          <w:tcPr>
            <w:tcW w:w="1088" w:type="pct"/>
            <w:vMerge w:val="restar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主要分布在林下、林缘、山脚、路边、农田两旁</w:t>
            </w:r>
          </w:p>
        </w:tc>
        <w:tc>
          <w:tcPr>
            <w:tcW w:w="660"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0</w:t>
            </w:r>
          </w:p>
        </w:tc>
        <w:tc>
          <w:tcPr>
            <w:tcW w:w="720"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69" w:type="pct"/>
            <w:vMerge w:val="continue"/>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pPr>
          </w:p>
        </w:tc>
        <w:tc>
          <w:tcPr>
            <w:tcW w:w="384"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灌草丛</w:t>
            </w:r>
          </w:p>
        </w:tc>
        <w:tc>
          <w:tcPr>
            <w:tcW w:w="633"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暖热性灌</w:t>
            </w:r>
            <w:r>
              <w:rPr>
                <w:rFonts w:hint="default" w:ascii="Times New Roman" w:hAnsi="Times New Roman" w:eastAsia="宋体" w:cs="Times New Roman"/>
                <w:b w:val="0"/>
                <w:bCs/>
                <w:color w:val="000000" w:themeColor="text1"/>
                <w:spacing w:val="-4"/>
                <w:sz w:val="21"/>
                <w:szCs w:val="21"/>
                <w:highlight w:val="none"/>
                <w:lang w:eastAsia="en-US"/>
                <w14:textFill>
                  <w14:solidFill>
                    <w14:schemeClr w14:val="tx1"/>
                  </w14:solidFill>
                </w14:textFill>
              </w:rPr>
              <w:t>草丛</w:t>
            </w:r>
          </w:p>
        </w:tc>
        <w:tc>
          <w:tcPr>
            <w:tcW w:w="1244"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芒</w:t>
            </w:r>
            <w:r>
              <w:rPr>
                <w:rFonts w:hint="default" w:ascii="Times New Roman" w:hAnsi="Times New Roman" w:eastAsia="宋体" w:cs="Times New Roman"/>
                <w:b w:val="0"/>
                <w:bCs/>
                <w:color w:val="000000" w:themeColor="text1"/>
                <w:spacing w:val="15"/>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白茅草丛</w:t>
            </w: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群系</w:t>
            </w:r>
          </w:p>
        </w:tc>
        <w:tc>
          <w:tcPr>
            <w:tcW w:w="1088" w:type="pct"/>
            <w:vMerge w:val="continue"/>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pPr>
          </w:p>
        </w:tc>
        <w:tc>
          <w:tcPr>
            <w:tcW w:w="660"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0</w:t>
            </w:r>
          </w:p>
        </w:tc>
        <w:tc>
          <w:tcPr>
            <w:tcW w:w="720" w:type="pct"/>
            <w:vAlign w:val="center"/>
          </w:tcPr>
          <w:p>
            <w:pPr>
              <w:adjustRightInd/>
              <w:snapToGrid/>
              <w:spacing w:before="51" w:line="214" w:lineRule="auto"/>
              <w:ind w:firstLine="0" w:firstLineChars="0"/>
              <w:jc w:val="cente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lang w:val="en-US" w:eastAsia="zh-CN"/>
                <w14:textFill>
                  <w14:solidFill>
                    <w14:schemeClr w14:val="tx1"/>
                  </w14:solidFill>
                </w14:textFill>
              </w:rPr>
              <w:t>0</w:t>
            </w:r>
          </w:p>
        </w:tc>
      </w:tr>
    </w:tbl>
    <w:p>
      <w:pPr>
        <w:adjustRightInd/>
        <w:snapToGrid/>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adjustRightInd/>
        <w:snapToGrid/>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Ⅰ森林植被</w:t>
      </w:r>
    </w:p>
    <w:p>
      <w:pPr>
        <w:adjustRightInd/>
        <w:snapToGrid/>
        <w:spacing w:line="360" w:lineRule="auto"/>
        <w:ind w:left="520" w:firstLine="0"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15"/>
          <w:sz w:val="24"/>
          <w:szCs w:val="24"/>
          <w:highlight w:val="none"/>
          <w14:textFill>
            <w14:solidFill>
              <w14:schemeClr w14:val="tx1"/>
            </w14:solidFill>
          </w14:textFill>
        </w:rPr>
        <w:t>①</w:t>
      </w:r>
      <w:r>
        <w:rPr>
          <w:rFonts w:hint="default" w:ascii="Times New Roman" w:hAnsi="Times New Roman" w:eastAsia="宋体" w:cs="Times New Roman"/>
          <w:b w:val="0"/>
          <w:bCs/>
          <w:color w:val="000000" w:themeColor="text1"/>
          <w:spacing w:val="9"/>
          <w:sz w:val="24"/>
          <w:szCs w:val="24"/>
          <w:highlight w:val="none"/>
          <w14:textFill>
            <w14:solidFill>
              <w14:schemeClr w14:val="tx1"/>
            </w14:solidFill>
          </w14:textFill>
        </w:rPr>
        <w:t>马尾松群系</w:t>
      </w:r>
      <w:r>
        <w:rPr>
          <w:rFonts w:hint="default" w:ascii="Times New Roman" w:hAnsi="Times New Roman" w:cs="Times New Roman"/>
          <w:b w:val="0"/>
          <w:bCs/>
          <w:color w:val="000000" w:themeColor="text1"/>
          <w:spacing w:val="9"/>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Form</w:t>
      </w:r>
      <w:r>
        <w:rPr>
          <w:rFonts w:hint="default" w:ascii="Times New Roman" w:hAnsi="Times New Roman" w:eastAsia="宋体" w:cs="Times New Roman"/>
          <w:b w:val="0"/>
          <w:bCs/>
          <w:color w:val="000000" w:themeColor="text1"/>
          <w:spacing w:val="9"/>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P</w:t>
      </w:r>
      <w:r>
        <w:rPr>
          <w:rFonts w:hint="default" w:ascii="Times New Roman" w:hAnsi="Times New Roman" w:eastAsia="宋体" w:cs="Times New Roman"/>
          <w:b w:val="0"/>
          <w:bCs/>
          <w:i/>
          <w:iCs/>
          <w:color w:val="000000" w:themeColor="text1"/>
          <w:spacing w:val="9"/>
          <w:sz w:val="24"/>
          <w:szCs w:val="24"/>
          <w:highlight w:val="none"/>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massoniana</w:t>
      </w:r>
      <w:r>
        <w:rPr>
          <w:rFonts w:hint="eastAsia" w:cs="Times New Roman"/>
          <w:b w:val="0"/>
          <w:bCs/>
          <w:i/>
          <w:iCs/>
          <w:color w:val="000000" w:themeColor="text1"/>
          <w:sz w:val="24"/>
          <w:szCs w:val="24"/>
          <w:highlight w:val="none"/>
          <w:lang w:eastAsia="zh-CN"/>
          <w14:textFill>
            <w14:solidFill>
              <w14:schemeClr w14:val="tx1"/>
            </w14:solidFill>
          </w14:textFill>
        </w:rPr>
        <w:t>）</w:t>
      </w:r>
    </w:p>
    <w:p>
      <w:pPr>
        <w:adjustRightInd w:val="0"/>
        <w:snapToGrid w:val="0"/>
        <w:spacing w:line="360" w:lineRule="auto"/>
        <w:ind w:firstLine="448" w:firstLineChars="200"/>
        <w:rPr>
          <w:rFonts w:hint="default" w:ascii="Times New Roman" w:hAnsi="Times New Roman" w:eastAsia="宋体" w:cs="Times New Roman"/>
          <w:b w:val="0"/>
          <w:bCs/>
          <w:color w:val="000000" w:themeColor="text1"/>
          <w:spacing w:val="-9"/>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评</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价区的</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马尾</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松林为人工起源，</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马尾松是向阳、喜温暖的树种。多分布于酸性土上。</w:t>
      </w: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评</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价区的</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马尾</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松（</w:t>
      </w:r>
      <w:r>
        <w:rPr>
          <w:rFonts w:hint="default" w:ascii="Times New Roman" w:hAnsi="Times New Roman" w:eastAsia="宋体" w:cs="Times New Roman"/>
          <w:b w:val="0"/>
          <w:bCs/>
          <w:i/>
          <w:iCs/>
          <w:color w:val="000000" w:themeColor="text1"/>
          <w:spacing w:val="-4"/>
          <w:sz w:val="24"/>
          <w:szCs w:val="24"/>
          <w:highlight w:val="none"/>
          <w14:textFill>
            <w14:solidFill>
              <w14:schemeClr w14:val="tx1"/>
            </w14:solidFill>
          </w14:textFill>
        </w:rPr>
        <w:t>P.massoniana</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）林为人工起源，</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在评价区广泛分布。</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群落外貌翠绿色，林冠整齐。多为次生林或人工林。除部分幼林外，一般树龄差异大，树龄一般不超过30年。郁闭度0.6~0.8。株高10m</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20m，胸径6cm</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30cm左右</w:t>
      </w:r>
      <w:r>
        <w:rPr>
          <w:rFonts w:hint="default" w:ascii="Times New Roman" w:hAnsi="Times New Roman" w:eastAsia="宋体" w:cs="Times New Roman"/>
          <w:b w:val="0"/>
          <w:bCs/>
          <w:color w:val="000000" w:themeColor="text1"/>
          <w:spacing w:val="-10"/>
          <w:sz w:val="24"/>
          <w:szCs w:val="24"/>
          <w:highlight w:val="none"/>
          <w14:textFill>
            <w14:solidFill>
              <w14:schemeClr w14:val="tx1"/>
            </w14:solidFill>
          </w14:textFill>
        </w:rPr>
        <w:t>。主要以马尾松纯林和马尾松、杉木混交林为主。乔灌层次分明，乔木层主要有马尾松、杉木</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枫香、栓皮栎、麻栎等。灌木层种类较多，</w:t>
      </w:r>
      <w:r>
        <w:rPr>
          <w:rFonts w:hint="default" w:ascii="Times New Roman" w:hAnsi="Times New Roman" w:eastAsia="宋体" w:cs="Times New Roman"/>
          <w:b w:val="0"/>
          <w:bCs/>
          <w:color w:val="000000" w:themeColor="text1"/>
          <w:spacing w:val="14"/>
          <w:sz w:val="24"/>
          <w:szCs w:val="24"/>
          <w:highlight w:val="none"/>
          <w14:textFill>
            <w14:solidFill>
              <w14:schemeClr w14:val="tx1"/>
            </w14:solidFill>
          </w14:textFill>
        </w:rPr>
        <w:t>常见</w:t>
      </w:r>
      <w:r>
        <w:rPr>
          <w:rFonts w:hint="default" w:ascii="Times New Roman" w:hAnsi="Times New Roman" w:eastAsia="宋体" w:cs="Times New Roman"/>
          <w:b w:val="0"/>
          <w:bCs/>
          <w:color w:val="000000" w:themeColor="text1"/>
          <w:spacing w:val="12"/>
          <w:sz w:val="24"/>
          <w:szCs w:val="24"/>
          <w:highlight w:val="none"/>
          <w14:textFill>
            <w14:solidFill>
              <w14:schemeClr w14:val="tx1"/>
            </w14:solidFill>
          </w14:textFill>
        </w:rPr>
        <w:t>为</w:t>
      </w:r>
      <w:r>
        <w:rPr>
          <w:rFonts w:hint="default" w:ascii="Times New Roman" w:hAnsi="Times New Roman" w:eastAsia="宋体" w:cs="Times New Roman"/>
          <w:b w:val="0"/>
          <w:bCs/>
          <w:color w:val="000000" w:themeColor="text1"/>
          <w:spacing w:val="7"/>
          <w:sz w:val="24"/>
          <w:szCs w:val="24"/>
          <w:highlight w:val="none"/>
          <w14:textFill>
            <w14:solidFill>
              <w14:schemeClr w14:val="tx1"/>
            </w14:solidFill>
          </w14:textFill>
        </w:rPr>
        <w:t>多种</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米饭花、映山红、米碎花、铁仔、</w:t>
      </w:r>
      <w:r>
        <w:rPr>
          <w:rFonts w:hint="default" w:ascii="Times New Roman" w:hAnsi="Times New Roman" w:eastAsia="宋体" w:cs="Times New Roman"/>
          <w:b w:val="0"/>
          <w:bCs/>
          <w:color w:val="000000" w:themeColor="text1"/>
          <w:spacing w:val="7"/>
          <w:sz w:val="24"/>
          <w:szCs w:val="24"/>
          <w:highlight w:val="none"/>
          <w14:textFill>
            <w14:solidFill>
              <w14:schemeClr w14:val="tx1"/>
            </w14:solidFill>
          </w14:textFill>
        </w:rPr>
        <w:t>柃</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木、杜鹃、鹅掌</w:t>
      </w:r>
      <w:r>
        <w:rPr>
          <w:rFonts w:hint="default" w:ascii="Times New Roman" w:hAnsi="Times New Roman" w:eastAsia="宋体" w:cs="Times New Roman"/>
          <w:b w:val="0"/>
          <w:bCs/>
          <w:color w:val="000000" w:themeColor="text1"/>
          <w:spacing w:val="7"/>
          <w:sz w:val="24"/>
          <w:szCs w:val="24"/>
          <w:highlight w:val="none"/>
          <w14:textFill>
            <w14:solidFill>
              <w14:schemeClr w14:val="tx1"/>
            </w14:solidFill>
          </w14:textFill>
        </w:rPr>
        <w:t>柴、山矾</w:t>
      </w:r>
      <w:r>
        <w:rPr>
          <w:rFonts w:hint="default" w:ascii="Times New Roman" w:hAnsi="Times New Roman" w:cs="Times New Roman"/>
          <w:b w:val="0"/>
          <w:bCs/>
          <w:color w:val="000000" w:themeColor="text1"/>
          <w:spacing w:val="7"/>
          <w:sz w:val="24"/>
          <w:szCs w:val="24"/>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Symplocos</w:t>
      </w:r>
      <w:r>
        <w:rPr>
          <w:rFonts w:hint="default" w:ascii="Times New Roman" w:hAnsi="Times New Roman" w:eastAsia="宋体" w:cs="Times New Roman"/>
          <w:b w:val="0"/>
          <w:bCs/>
          <w:color w:val="000000" w:themeColor="text1"/>
          <w:spacing w:val="7"/>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spp</w:t>
      </w:r>
      <w:r>
        <w:rPr>
          <w:rFonts w:hint="default" w:ascii="Times New Roman" w:hAnsi="Times New Roman" w:eastAsia="宋体" w:cs="Times New Roman"/>
          <w:b w:val="0"/>
          <w:bCs/>
          <w:i/>
          <w:iCs/>
          <w:color w:val="000000" w:themeColor="text1"/>
          <w:spacing w:val="7"/>
          <w:sz w:val="24"/>
          <w:szCs w:val="24"/>
          <w:highlight w:val="none"/>
          <w14:textFill>
            <w14:solidFill>
              <w14:schemeClr w14:val="tx1"/>
            </w14:solidFill>
          </w14:textFill>
        </w:rPr>
        <w:t>.</w:t>
      </w:r>
      <w:r>
        <w:rPr>
          <w:rFonts w:hint="eastAsia" w:cs="Times New Roman"/>
          <w:b w:val="0"/>
          <w:bCs/>
          <w:i/>
          <w:iCs/>
          <w:color w:val="000000" w:themeColor="text1"/>
          <w:spacing w:val="7"/>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7"/>
          <w:sz w:val="24"/>
          <w:szCs w:val="24"/>
          <w:highlight w:val="none"/>
          <w14:textFill>
            <w14:solidFill>
              <w14:schemeClr w14:val="tx1"/>
            </w14:solidFill>
          </w14:textFill>
        </w:rPr>
        <w:t>、木莓、川莓、悬钩子</w:t>
      </w:r>
      <w:r>
        <w:rPr>
          <w:rFonts w:hint="default" w:ascii="Times New Roman" w:hAnsi="Times New Roman" w:cs="Times New Roman"/>
          <w:b w:val="0"/>
          <w:bCs/>
          <w:color w:val="000000" w:themeColor="text1"/>
          <w:spacing w:val="7"/>
          <w:sz w:val="24"/>
          <w:szCs w:val="24"/>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Rubus</w:t>
      </w:r>
      <w:r>
        <w:rPr>
          <w:rFonts w:hint="default" w:ascii="Times New Roman" w:hAnsi="Times New Roman" w:eastAsia="宋体" w:cs="Times New Roman"/>
          <w:b w:val="0"/>
          <w:bCs/>
          <w:color w:val="000000" w:themeColor="text1"/>
          <w:spacing w:val="17"/>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spp</w:t>
      </w:r>
      <w:r>
        <w:rPr>
          <w:rFonts w:hint="eastAsia" w:cs="Times New Roman"/>
          <w:b w:val="0"/>
          <w:bCs/>
          <w:i/>
          <w:i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15"/>
          <w:sz w:val="24"/>
          <w:szCs w:val="24"/>
          <w:highlight w:val="none"/>
          <w14:textFill>
            <w14:solidFill>
              <w14:schemeClr w14:val="tx1"/>
            </w14:solidFill>
          </w14:textFill>
        </w:rPr>
        <w:t>、火棘、马桑等。草本层主要有芒萁</w:t>
      </w:r>
      <w:r>
        <w:rPr>
          <w:rFonts w:hint="default" w:ascii="Times New Roman" w:hAnsi="Times New Roman" w:cs="Times New Roman"/>
          <w:b w:val="0"/>
          <w:bCs/>
          <w:color w:val="000000" w:themeColor="text1"/>
          <w:spacing w:val="15"/>
          <w:sz w:val="24"/>
          <w:szCs w:val="24"/>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Dicranopteris</w:t>
      </w:r>
      <w:r>
        <w:rPr>
          <w:rFonts w:hint="default" w:ascii="Times New Roman" w:hAnsi="Times New Roman" w:eastAsia="宋体" w:cs="Times New Roman"/>
          <w:b w:val="0"/>
          <w:bCs/>
          <w:color w:val="000000" w:themeColor="text1"/>
          <w:spacing w:val="15"/>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dichotoma</w:t>
      </w:r>
      <w:r>
        <w:rPr>
          <w:rFonts w:hint="eastAsia" w:cs="Times New Roman"/>
          <w:b w:val="0"/>
          <w:bCs/>
          <w:i/>
          <w:i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15"/>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27"/>
          <w:sz w:val="24"/>
          <w:szCs w:val="24"/>
          <w:highlight w:val="none"/>
          <w14:textFill>
            <w14:solidFill>
              <w14:schemeClr w14:val="tx1"/>
            </w14:solidFill>
          </w14:textFill>
        </w:rPr>
        <w:t>芒</w:t>
      </w:r>
      <w:r>
        <w:rPr>
          <w:rFonts w:hint="default" w:ascii="Times New Roman" w:hAnsi="Times New Roman" w:eastAsia="宋体" w:cs="Times New Roman"/>
          <w:b w:val="0"/>
          <w:bCs/>
          <w:color w:val="000000" w:themeColor="text1"/>
          <w:spacing w:val="24"/>
          <w:sz w:val="24"/>
          <w:szCs w:val="24"/>
          <w:highlight w:val="none"/>
          <w14:textFill>
            <w14:solidFill>
              <w14:schemeClr w14:val="tx1"/>
            </w14:solidFill>
          </w14:textFill>
        </w:rPr>
        <w:t>、苔草、麦冬</w:t>
      </w:r>
      <w:r>
        <w:rPr>
          <w:rFonts w:hint="default" w:ascii="Times New Roman" w:hAnsi="Times New Roman" w:cs="Times New Roman"/>
          <w:b w:val="0"/>
          <w:bCs/>
          <w:color w:val="000000" w:themeColor="text1"/>
          <w:spacing w:val="24"/>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xml:space="preserve">Ophiopogon </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japonicus</w:t>
      </w:r>
      <w:r>
        <w:rPr>
          <w:rFonts w:hint="eastAsia" w:cs="Times New Roman"/>
          <w:b w:val="0"/>
          <w:bCs/>
          <w:i/>
          <w:i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24"/>
          <w:sz w:val="24"/>
          <w:szCs w:val="24"/>
          <w:highlight w:val="none"/>
          <w14:textFill>
            <w14:solidFill>
              <w14:schemeClr w14:val="tx1"/>
            </w14:solidFill>
          </w14:textFill>
        </w:rPr>
        <w:t>、翠云草</w:t>
      </w:r>
      <w:r>
        <w:rPr>
          <w:rFonts w:hint="default" w:ascii="Times New Roman" w:hAnsi="Times New Roman" w:cs="Times New Roman"/>
          <w:b w:val="0"/>
          <w:bCs/>
          <w:color w:val="000000" w:themeColor="text1"/>
          <w:spacing w:val="24"/>
          <w:sz w:val="24"/>
          <w:szCs w:val="24"/>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Selaginella</w:t>
      </w:r>
      <w:r>
        <w:rPr>
          <w:rFonts w:hint="default" w:ascii="Times New Roman" w:hAnsi="Times New Roman" w:eastAsia="宋体" w:cs="Times New Roman"/>
          <w:b w:val="0"/>
          <w:bCs/>
          <w:color w:val="000000" w:themeColor="text1"/>
          <w:spacing w:val="24"/>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uncinata</w:t>
      </w:r>
      <w:r>
        <w:rPr>
          <w:rFonts w:hint="eastAsia" w:cs="Times New Roman"/>
          <w:b w:val="0"/>
          <w:bCs/>
          <w:i/>
          <w:i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24"/>
          <w:sz w:val="24"/>
          <w:szCs w:val="24"/>
          <w:highlight w:val="none"/>
          <w14:textFill>
            <w14:solidFill>
              <w14:schemeClr w14:val="tx1"/>
            </w14:solidFill>
          </w14:textFill>
        </w:rPr>
        <w:t>、蒿</w:t>
      </w:r>
      <w:r>
        <w:rPr>
          <w:rFonts w:hint="default" w:ascii="Times New Roman" w:hAnsi="Times New Roman" w:eastAsia="宋体" w:cs="Times New Roman"/>
          <w:b w:val="0"/>
          <w:bCs/>
          <w:color w:val="000000" w:themeColor="text1"/>
          <w:spacing w:val="-11"/>
          <w:sz w:val="24"/>
          <w:szCs w:val="24"/>
          <w:highlight w:val="none"/>
          <w14:textFill>
            <w14:solidFill>
              <w14:schemeClr w14:val="tx1"/>
            </w14:solidFill>
          </w14:textFill>
        </w:rPr>
        <w:t>等</w:t>
      </w:r>
      <w:r>
        <w:rPr>
          <w:rFonts w:hint="default" w:ascii="Times New Roman" w:hAnsi="Times New Roman" w:eastAsia="宋体" w:cs="Times New Roman"/>
          <w:b w:val="0"/>
          <w:bCs/>
          <w:color w:val="000000" w:themeColor="text1"/>
          <w:spacing w:val="-9"/>
          <w:sz w:val="24"/>
          <w:szCs w:val="24"/>
          <w:highlight w:val="none"/>
          <w14:textFill>
            <w14:solidFill>
              <w14:schemeClr w14:val="tx1"/>
            </w14:solidFill>
          </w14:textFill>
        </w:rPr>
        <w:t>。</w:t>
      </w:r>
    </w:p>
    <w:p>
      <w:pPr>
        <w:adjustRightInd/>
        <w:snapToGrid/>
        <w:spacing w:line="360" w:lineRule="auto"/>
        <w:ind w:firstLine="480"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②麻栎</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青冈</w:t>
      </w:r>
      <w:r>
        <w:rPr>
          <w:rFonts w:hint="default" w:ascii="Times New Roman" w:hAnsi="Times New Roman" w:eastAsia="宋体" w:cs="Times New Roman"/>
          <w:b w:val="0"/>
          <w:bCs/>
          <w:color w:val="000000" w:themeColor="text1"/>
          <w:spacing w:val="-4"/>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栓皮栎</w:t>
      </w:r>
      <w:r>
        <w:rPr>
          <w:rFonts w:hint="default" w:ascii="Times New Roman" w:hAnsi="Times New Roman" w:eastAsia="宋体" w:cs="Times New Roman"/>
          <w:b w:val="0"/>
          <w:bCs/>
          <w:color w:val="000000" w:themeColor="text1"/>
          <w:spacing w:val="9"/>
          <w:sz w:val="24"/>
          <w:szCs w:val="24"/>
          <w:highlight w:val="none"/>
          <w14:textFill>
            <w14:solidFill>
              <w14:schemeClr w14:val="tx1"/>
            </w14:solidFill>
          </w14:textFill>
        </w:rPr>
        <w:t>群落</w:t>
      </w:r>
      <w:r>
        <w:rPr>
          <w:rFonts w:hint="default" w:ascii="Times New Roman" w:hAnsi="Times New Roman" w:cs="Times New Roman"/>
          <w:b w:val="0"/>
          <w:bCs/>
          <w:color w:val="000000" w:themeColor="text1"/>
          <w:spacing w:val="9"/>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Form.</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 xml:space="preserve">Quercus acutissima </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Carruth.</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 xml:space="preserve">+Quercus variabilis </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Bl.</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 xml:space="preserve">+Liquidambar formosana </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Hance</w:t>
      </w:r>
      <w:r>
        <w:rPr>
          <w:rFonts w:hint="eastAsia" w:cs="Times New Roman"/>
          <w:b w:val="0"/>
          <w:bCs/>
          <w:color w:val="000000" w:themeColor="text1"/>
          <w:sz w:val="24"/>
          <w:szCs w:val="24"/>
          <w:highlight w:val="none"/>
          <w:lang w:eastAsia="zh-CN"/>
          <w14:textFill>
            <w14:solidFill>
              <w14:schemeClr w14:val="tx1"/>
            </w14:solidFill>
          </w14:textFill>
        </w:rPr>
        <w:t>）</w:t>
      </w:r>
    </w:p>
    <w:p>
      <w:pPr>
        <w:adjustRightInd/>
        <w:snapToGrid/>
        <w:spacing w:line="360" w:lineRule="auto"/>
        <w:ind w:firstLine="480"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该植被类型</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在评价</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区广泛分布</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，多为</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天然生成</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是一个生态幅度较大的森林类型，在不同气候类型的影响下，该植被类型生长发育都较好，表现出较强的适应性。这种较强的适应性，也表现在对林地的地形、岩石及土壤等环境无严格的选择上，常混生有枫香、响叶杨等混生，林内平均胸径25厘米，树高介于10-20米。常受到人类活动地影响，林下灌木极少。林下灌木主要为</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烟管</w:t>
      </w:r>
      <w:r>
        <w:rPr>
          <w:rFonts w:hint="default" w:ascii="Times New Roman" w:hAnsi="Times New Roman" w:eastAsia="宋体" w:cs="Times New Roman"/>
          <w:b w:val="0"/>
          <w:bCs/>
          <w:color w:val="000000" w:themeColor="text1"/>
          <w:spacing w:val="-2"/>
          <w:sz w:val="24"/>
          <w:szCs w:val="24"/>
          <w:highlight w:val="none"/>
          <w:lang w:eastAsia="zh-CN"/>
          <w14:textFill>
            <w14:solidFill>
              <w14:schemeClr w14:val="tx1"/>
            </w14:solidFill>
          </w14:textFill>
        </w:rPr>
        <w:t>荚蒾</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、火棘、蔷薇、盐肤木、映山红、铁仔、毛黄栌</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等分布。</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草本植物稍多，主要种类有狗牙根（</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Cynodon dactylon</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）、马唐（</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Digitaria sanguinalis</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）、酢浆草（</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Oxalis corniculata</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）、堇菜（</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Viola spp.</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）、车前（</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Plantgo asiatica</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）、欧夏枯草（</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Prunella vulgaris</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）、龙牙草（</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Agrimonia pilosa</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）、蕺菜（</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Houttuynia cordata</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）、紫花地丁</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Viola philippica</w:t>
      </w:r>
      <w:r>
        <w:rPr>
          <w:rFonts w:hint="eastAsia" w:cs="Times New Roman"/>
          <w:b w:val="0"/>
          <w:bCs/>
          <w:i/>
          <w:i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、风轮菜</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Clinopodium chinensis</w:t>
      </w:r>
      <w:r>
        <w:rPr>
          <w:rFonts w:hint="eastAsia" w:cs="Times New Roman"/>
          <w:b w:val="0"/>
          <w:bCs/>
          <w:i/>
          <w:i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、茅叶荩草</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Arthr</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axon lanc</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eoltus</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、阿拉伯婆婆纳</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Veronica persica</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、问荆</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Equ</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isetum arven</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se</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、马鞭草</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Verbena officinalis</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、狗牙根</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Cynodondactylon</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、稗</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Echinoc</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hloa crusgal</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li</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、蜈蚣草</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Pteris vittata</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、三叶鬼针草</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Bidens pilosa</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、野艾蒿</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Artemisia lavandulaefolia</w:t>
      </w:r>
      <w:r>
        <w:rPr>
          <w:rFonts w:hint="default" w:ascii="Times New Roman" w:hAnsi="Times New Roman"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等。</w:t>
      </w:r>
    </w:p>
    <w:p>
      <w:pPr>
        <w:adjustRightInd/>
        <w:snapToGrid/>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Ⅱ 灌丛植被</w:t>
      </w:r>
    </w:p>
    <w:p>
      <w:pPr>
        <w:adjustRightInd w:val="0"/>
        <w:snapToGrid w:val="0"/>
        <w:spacing w:line="480" w:lineRule="exact"/>
        <w:ind w:firstLine="512" w:firstLineChars="200"/>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①</w:t>
      </w:r>
      <w:r>
        <w:rPr>
          <w:rFonts w:hint="default" w:ascii="Times New Roman" w:hAnsi="Times New Roman" w:eastAsia="宋体" w:cs="Times New Roman"/>
          <w:b w:val="0"/>
          <w:bCs/>
          <w:color w:val="000000" w:themeColor="text1"/>
          <w:spacing w:val="8"/>
          <w:sz w:val="24"/>
          <w:szCs w:val="24"/>
          <w:highlight w:val="none"/>
          <w:lang w:eastAsia="zh-CN"/>
          <w14:textFill>
            <w14:solidFill>
              <w14:schemeClr w14:val="tx1"/>
            </w14:solidFill>
          </w14:textFill>
        </w:rPr>
        <w:t>马桑+黄荆+火棘+荚蒾</w:t>
      </w: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灌丛</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群系</w:t>
      </w: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 xml:space="preserve">Form. </w:t>
      </w:r>
      <w:r>
        <w:rPr>
          <w:rFonts w:hint="default" w:ascii="Times New Roman" w:hAnsi="Times New Roman" w:eastAsia="宋体" w:cs="Times New Roman"/>
          <w:b w:val="0"/>
          <w:bCs/>
          <w:i/>
          <w:iCs/>
          <w:color w:val="000000" w:themeColor="text1"/>
          <w:spacing w:val="-4"/>
          <w:sz w:val="24"/>
          <w:szCs w:val="24"/>
          <w:highlight w:val="none"/>
          <w14:textFill>
            <w14:solidFill>
              <w14:schemeClr w14:val="tx1"/>
            </w14:solidFill>
          </w14:textFill>
        </w:rPr>
        <w:t>Mallotus japonicus（</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Thunb.）Muell</w:t>
      </w:r>
      <w:r>
        <w:rPr>
          <w:rFonts w:hint="default" w:ascii="Times New Roman" w:hAnsi="Times New Roman" w:eastAsia="宋体" w:cs="Times New Roman"/>
          <w:b w:val="0"/>
          <w:bCs/>
          <w:i/>
          <w:iCs/>
          <w:color w:val="000000" w:themeColor="text1"/>
          <w:spacing w:val="-4"/>
          <w:sz w:val="24"/>
          <w:szCs w:val="24"/>
          <w:highlight w:val="none"/>
          <w14:textFill>
            <w14:solidFill>
              <w14:schemeClr w14:val="tx1"/>
            </w14:solidFill>
          </w14:textFill>
        </w:rPr>
        <w:t>.Arg.var.floccosus</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i/>
          <w:iCs/>
          <w:color w:val="000000" w:themeColor="text1"/>
          <w:spacing w:val="-4"/>
          <w:sz w:val="24"/>
          <w:szCs w:val="24"/>
          <w:highlight w:val="none"/>
          <w14:textFill>
            <w14:solidFill>
              <w14:schemeClr w14:val="tx1"/>
            </w14:solidFill>
          </w14:textFill>
        </w:rPr>
        <w:t xml:space="preserve">Rhus chinensis </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Mill.</w:t>
      </w: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w:t>
      </w:r>
    </w:p>
    <w:p>
      <w:pPr>
        <w:adjustRightInd/>
        <w:snapToGrid/>
        <w:spacing w:line="480" w:lineRule="exact"/>
        <w:ind w:left="34" w:right="108" w:firstLine="488"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10"/>
          <w:sz w:val="24"/>
          <w:szCs w:val="24"/>
          <w:highlight w:val="none"/>
          <w14:textFill>
            <w14:solidFill>
              <w14:schemeClr w14:val="tx1"/>
            </w14:solidFill>
          </w14:textFill>
        </w:rPr>
        <w:t>该群落类型</w:t>
      </w: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主</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要分布于矮丘区的中上部，系人为砍伐后发育的次生类型。群落盖度约</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65%，高度低于5m，主要以野桐</w:t>
      </w:r>
      <w:r>
        <w:rPr>
          <w:rFonts w:hint="default" w:ascii="Times New Roman" w:hAnsi="Times New Roman" w:eastAsia="宋体" w:cs="Times New Roman"/>
          <w:b w:val="0"/>
          <w:bCs/>
          <w:i/>
          <w:iCs/>
          <w:color w:val="000000" w:themeColor="text1"/>
          <w:spacing w:val="-3"/>
          <w:sz w:val="24"/>
          <w:szCs w:val="24"/>
          <w:highlight w:val="none"/>
          <w14:textFill>
            <w14:solidFill>
              <w14:schemeClr w14:val="tx1"/>
            </w14:solidFill>
          </w14:textFill>
        </w:rPr>
        <w:t>Mallotus</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3"/>
          <w:sz w:val="24"/>
          <w:szCs w:val="24"/>
          <w:highlight w:val="none"/>
          <w14:textFill>
            <w14:solidFill>
              <w14:schemeClr w14:val="tx1"/>
            </w14:solidFill>
          </w14:textFill>
        </w:rPr>
        <w:t>tenuifolius</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和盐肤木</w:t>
      </w:r>
      <w:r>
        <w:rPr>
          <w:rFonts w:hint="default" w:ascii="Times New Roman" w:hAnsi="Times New Roman" w:eastAsia="宋体" w:cs="Times New Roman"/>
          <w:b w:val="0"/>
          <w:bCs/>
          <w:i/>
          <w:iCs/>
          <w:color w:val="000000" w:themeColor="text1"/>
          <w:spacing w:val="-3"/>
          <w:sz w:val="24"/>
          <w:szCs w:val="24"/>
          <w:highlight w:val="none"/>
          <w14:textFill>
            <w14:solidFill>
              <w14:schemeClr w14:val="tx1"/>
            </w14:solidFill>
          </w14:textFill>
        </w:rPr>
        <w:t>Rhus</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3"/>
          <w:sz w:val="24"/>
          <w:szCs w:val="24"/>
          <w:highlight w:val="none"/>
          <w14:textFill>
            <w14:solidFill>
              <w14:schemeClr w14:val="tx1"/>
            </w14:solidFill>
          </w14:textFill>
        </w:rPr>
        <w:t>chinens</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is</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为优势，其</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他还有构树幼树</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Broussonetiapapyrifera</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、皱叶荚蒾</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Viburn</w:t>
      </w:r>
      <w:r>
        <w:rPr>
          <w:rFonts w:hint="default" w:ascii="Times New Roman" w:hAnsi="Times New Roman" w:eastAsia="宋体" w:cs="Times New Roman"/>
          <w:b w:val="0"/>
          <w:bCs/>
          <w:i/>
          <w:iCs/>
          <w:color w:val="000000" w:themeColor="text1"/>
          <w:spacing w:val="-1"/>
          <w:sz w:val="24"/>
          <w:szCs w:val="24"/>
          <w:highlight w:val="none"/>
          <w14:textFill>
            <w14:solidFill>
              <w14:schemeClr w14:val="tx1"/>
            </w14:solidFill>
          </w14:textFill>
        </w:rPr>
        <w:t>u</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m</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rhytidophyllum</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、宜昌悬钩子</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Rubus</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ichangen</w:t>
      </w:r>
      <w:r>
        <w:rPr>
          <w:rFonts w:hint="default" w:ascii="Times New Roman" w:hAnsi="Times New Roman" w:eastAsia="宋体" w:cs="Times New Roman"/>
          <w:b w:val="0"/>
          <w:bCs/>
          <w:i/>
          <w:iCs/>
          <w:color w:val="000000" w:themeColor="text1"/>
          <w:spacing w:val="-1"/>
          <w:sz w:val="24"/>
          <w:szCs w:val="24"/>
          <w:highlight w:val="none"/>
          <w14:textFill>
            <w14:solidFill>
              <w14:schemeClr w14:val="tx1"/>
            </w14:solidFill>
          </w14:textFill>
        </w:rPr>
        <w:t>s</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is</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等。</w:t>
      </w:r>
    </w:p>
    <w:p>
      <w:pPr>
        <w:adjustRightInd/>
        <w:snapToGrid/>
        <w:spacing w:before="3" w:line="480" w:lineRule="exact"/>
        <w:ind w:left="34" w:right="99" w:firstLine="486"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16"/>
          <w:sz w:val="24"/>
          <w:szCs w:val="24"/>
          <w:highlight w:val="none"/>
          <w14:textFill>
            <w14:solidFill>
              <w14:schemeClr w14:val="tx1"/>
            </w14:solidFill>
          </w14:textFill>
        </w:rPr>
        <w:t>草本层盖</w:t>
      </w: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度约30%，高度在0.1</w:t>
      </w:r>
      <w:r>
        <w:rPr>
          <w:rFonts w:hint="default" w:ascii="Times New Roman" w:hAnsi="Times New Roman" w:cs="Times New Roman"/>
          <w:b w:val="0"/>
          <w:bCs/>
          <w:color w:val="000000" w:themeColor="text1"/>
          <w:spacing w:val="-8"/>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0.5m之间，优势种有淡竹叶</w:t>
      </w:r>
      <w:r>
        <w:rPr>
          <w:rFonts w:hint="default" w:ascii="Times New Roman" w:hAnsi="Times New Roman" w:eastAsia="宋体" w:cs="Times New Roman"/>
          <w:b w:val="0"/>
          <w:bCs/>
          <w:i/>
          <w:iCs/>
          <w:color w:val="000000" w:themeColor="text1"/>
          <w:spacing w:val="-8"/>
          <w:sz w:val="24"/>
          <w:szCs w:val="24"/>
          <w:highlight w:val="none"/>
          <w14:textFill>
            <w14:solidFill>
              <w14:schemeClr w14:val="tx1"/>
            </w14:solidFill>
          </w14:textFill>
        </w:rPr>
        <w:t>Lophatherum</w:t>
      </w: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8"/>
          <w:sz w:val="24"/>
          <w:szCs w:val="24"/>
          <w:highlight w:val="none"/>
          <w14:textFill>
            <w14:solidFill>
              <w14:schemeClr w14:val="tx1"/>
            </w14:solidFill>
          </w14:textFill>
        </w:rPr>
        <w:t>gracile</w:t>
      </w:r>
      <w:r>
        <w:rPr>
          <w:rFonts w:hint="default" w:ascii="Times New Roman" w:hAnsi="Times New Roman" w:eastAsia="宋体" w:cs="Times New Roman"/>
          <w:b w:val="0"/>
          <w:bCs/>
          <w:color w:val="000000" w:themeColor="text1"/>
          <w:spacing w:val="-8"/>
          <w:sz w:val="24"/>
          <w:szCs w:val="24"/>
          <w:highlight w:val="none"/>
          <w14:textFill>
            <w14:solidFill>
              <w14:schemeClr w14:val="tx1"/>
            </w14:solidFill>
          </w14:textFill>
        </w:rPr>
        <w:t>、荩</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草</w:t>
      </w:r>
      <w:r>
        <w:rPr>
          <w:rFonts w:hint="default" w:ascii="Times New Roman" w:hAnsi="Times New Roman" w:eastAsia="宋体" w:cs="Times New Roman"/>
          <w:b w:val="0"/>
          <w:bCs/>
          <w:i/>
          <w:iCs/>
          <w:color w:val="000000" w:themeColor="text1"/>
          <w:spacing w:val="-4"/>
          <w:sz w:val="24"/>
          <w:szCs w:val="24"/>
          <w:highlight w:val="none"/>
          <w14:textFill>
            <w14:solidFill>
              <w14:schemeClr w14:val="tx1"/>
            </w14:solidFill>
          </w14:textFill>
        </w:rPr>
        <w:t>Hedyoti</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s</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acutangular</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、乌蕨</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Odontosoria</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chinensis</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，伴生种有</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葎草</w:t>
      </w:r>
      <w:r>
        <w:rPr>
          <w:rFonts w:hint="default" w:ascii="Times New Roman" w:hAnsi="Times New Roman" w:eastAsia="宋体" w:cs="Times New Roman"/>
          <w:b w:val="0"/>
          <w:bCs/>
          <w:i/>
          <w:iCs/>
          <w:color w:val="000000" w:themeColor="text1"/>
          <w:spacing w:val="-3"/>
          <w:sz w:val="24"/>
          <w:szCs w:val="24"/>
          <w:highlight w:val="none"/>
          <w14:textFill>
            <w14:solidFill>
              <w14:schemeClr w14:val="tx1"/>
            </w14:solidFill>
          </w14:textFill>
        </w:rPr>
        <w:t>Humulus</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3"/>
          <w:sz w:val="24"/>
          <w:szCs w:val="24"/>
          <w:highlight w:val="none"/>
          <w14:textFill>
            <w14:solidFill>
              <w14:schemeClr w14:val="tx1"/>
            </w14:solidFill>
          </w14:textFill>
        </w:rPr>
        <w:t>scandens</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、酸模叶蓼</w:t>
      </w:r>
      <w:r>
        <w:rPr>
          <w:rFonts w:hint="default" w:ascii="Times New Roman" w:hAnsi="Times New Roman" w:eastAsia="宋体" w:cs="Times New Roman"/>
          <w:b w:val="0"/>
          <w:bCs/>
          <w:i/>
          <w:iCs/>
          <w:color w:val="000000" w:themeColor="text1"/>
          <w:spacing w:val="-3"/>
          <w:sz w:val="24"/>
          <w:szCs w:val="24"/>
          <w:highlight w:val="none"/>
          <w14:textFill>
            <w14:solidFill>
              <w14:schemeClr w14:val="tx1"/>
            </w14:solidFill>
          </w14:textFill>
        </w:rPr>
        <w:t>Rumex</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3"/>
          <w:sz w:val="24"/>
          <w:szCs w:val="24"/>
          <w:highlight w:val="none"/>
          <w14:textFill>
            <w14:solidFill>
              <w14:schemeClr w14:val="tx1"/>
            </w14:solidFill>
          </w14:textFill>
        </w:rPr>
        <w:t>hastatus</w:t>
      </w:r>
      <w:r>
        <w:rPr>
          <w:rFonts w:hint="default" w:ascii="Times New Roman" w:hAnsi="Times New Roman" w:eastAsia="宋体" w:cs="Times New Roman"/>
          <w:b w:val="0"/>
          <w:bCs/>
          <w:color w:val="000000" w:themeColor="text1"/>
          <w:spacing w:val="-3"/>
          <w:sz w:val="24"/>
          <w:szCs w:val="24"/>
          <w:highlight w:val="none"/>
          <w14:textFill>
            <w14:solidFill>
              <w14:schemeClr w14:val="tx1"/>
            </w14:solidFill>
          </w14:textFill>
        </w:rPr>
        <w:t>、蒲儿根</w:t>
      </w:r>
      <w:r>
        <w:rPr>
          <w:rFonts w:hint="default" w:ascii="Times New Roman" w:hAnsi="Times New Roman" w:eastAsia="宋体" w:cs="Times New Roman"/>
          <w:b w:val="0"/>
          <w:bCs/>
          <w:i/>
          <w:iCs/>
          <w:color w:val="000000" w:themeColor="text1"/>
          <w:spacing w:val="-3"/>
          <w:sz w:val="24"/>
          <w:szCs w:val="24"/>
          <w:highlight w:val="none"/>
          <w14:textFill>
            <w14:solidFill>
              <w14:schemeClr w14:val="tx1"/>
            </w14:solidFill>
          </w14:textFill>
        </w:rPr>
        <w:t>Sinosen</w:t>
      </w:r>
      <w:r>
        <w:rPr>
          <w:rFonts w:hint="default" w:ascii="Times New Roman" w:hAnsi="Times New Roman" w:eastAsia="宋体" w:cs="Times New Roman"/>
          <w:b w:val="0"/>
          <w:bCs/>
          <w:i/>
          <w:iCs/>
          <w:color w:val="000000" w:themeColor="text1"/>
          <w:spacing w:val="-1"/>
          <w:sz w:val="24"/>
          <w:szCs w:val="24"/>
          <w:highlight w:val="none"/>
          <w14:textFill>
            <w14:solidFill>
              <w14:schemeClr w14:val="tx1"/>
            </w14:solidFill>
          </w14:textFill>
        </w:rPr>
        <w:t>e</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cio</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oldhamianus</w:t>
      </w:r>
      <w:r>
        <w:rPr>
          <w:rFonts w:hint="default" w:ascii="Times New Roman" w:hAnsi="Times New Roman" w:eastAsia="宋体" w:cs="Times New Roman"/>
          <w:b w:val="0"/>
          <w:bCs/>
          <w:color w:val="000000" w:themeColor="text1"/>
          <w:spacing w:val="-10"/>
          <w:sz w:val="24"/>
          <w:szCs w:val="24"/>
          <w:highlight w:val="none"/>
          <w14:textFill>
            <w14:solidFill>
              <w14:schemeClr w14:val="tx1"/>
            </w14:solidFill>
          </w14:textFill>
        </w:rPr>
        <w:t>、透</w:t>
      </w:r>
      <w:r>
        <w:rPr>
          <w:rFonts w:hint="default" w:ascii="Times New Roman" w:hAnsi="Times New Roman" w:eastAsia="宋体" w:cs="Times New Roman"/>
          <w:b w:val="0"/>
          <w:bCs/>
          <w:color w:val="000000" w:themeColor="text1"/>
          <w:spacing w:val="-6"/>
          <w:sz w:val="24"/>
          <w:szCs w:val="24"/>
          <w:highlight w:val="none"/>
          <w14:textFill>
            <w14:solidFill>
              <w14:schemeClr w14:val="tx1"/>
            </w14:solidFill>
          </w14:textFill>
        </w:rPr>
        <w:t>茎</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冷水花</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Pileapumila</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 xml:space="preserve">、华南毛蕨 </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Cyclosorus</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parasiticus</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 xml:space="preserve">、刺齿凤尾蕨 </w:t>
      </w:r>
      <w:r>
        <w:rPr>
          <w:rFonts w:hint="default" w:ascii="Times New Roman" w:hAnsi="Times New Roman" w:eastAsia="宋体" w:cs="Times New Roman"/>
          <w:b w:val="0"/>
          <w:bCs/>
          <w:i/>
          <w:iCs/>
          <w:color w:val="000000" w:themeColor="text1"/>
          <w:spacing w:val="-5"/>
          <w:sz w:val="24"/>
          <w:szCs w:val="24"/>
          <w:highlight w:val="none"/>
          <w14:textFill>
            <w14:solidFill>
              <w14:schemeClr w14:val="tx1"/>
            </w14:solidFill>
          </w14:textFill>
        </w:rPr>
        <w:t>Pteris</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dispar</w:t>
      </w:r>
      <w:r>
        <w:rPr>
          <w:rFonts w:hint="default" w:ascii="Times New Roman" w:hAnsi="Times New Roman" w:eastAsia="宋体" w:cs="Times New Roman"/>
          <w:b w:val="0"/>
          <w:bCs/>
          <w:color w:val="000000" w:themeColor="text1"/>
          <w:spacing w:val="-4"/>
          <w:sz w:val="24"/>
          <w:szCs w:val="24"/>
          <w:highlight w:val="none"/>
          <w14:textFill>
            <w14:solidFill>
              <w14:schemeClr w14:val="tx1"/>
            </w14:solidFill>
          </w14:textFill>
        </w:rPr>
        <w:t>、异叶黄鹌菜</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Youngia</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heterophylla</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 xml:space="preserve">、拉拉藤 </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Galium</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aparine</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 xml:space="preserve"> var. </w:t>
      </w:r>
      <w:r>
        <w:rPr>
          <w:rFonts w:hint="default" w:ascii="Times New Roman" w:hAnsi="Times New Roman" w:eastAsia="宋体" w:cs="Times New Roman"/>
          <w:b w:val="0"/>
          <w:bCs/>
          <w:i/>
          <w:iCs/>
          <w:color w:val="000000" w:themeColor="text1"/>
          <w:spacing w:val="-2"/>
          <w:sz w:val="24"/>
          <w:szCs w:val="24"/>
          <w:highlight w:val="none"/>
          <w14:textFill>
            <w14:solidFill>
              <w14:schemeClr w14:val="tx1"/>
            </w14:solidFill>
          </w14:textFill>
        </w:rPr>
        <w:t>Echinospermum</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 xml:space="preserve"> 等。</w:t>
      </w:r>
    </w:p>
    <w:p>
      <w:pPr>
        <w:adjustRightInd/>
        <w:snapToGrid/>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Ⅲ草丛植被</w:t>
      </w:r>
    </w:p>
    <w:p>
      <w:pPr>
        <w:adjustRightInd w:val="0"/>
        <w:snapToGrid w:val="0"/>
        <w:spacing w:line="360" w:lineRule="auto"/>
        <w:ind w:firstLine="544"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16"/>
          <w:sz w:val="24"/>
          <w:szCs w:val="24"/>
          <w:highlight w:val="none"/>
          <w14:textFill>
            <w14:solidFill>
              <w14:schemeClr w14:val="tx1"/>
            </w14:solidFill>
          </w14:textFill>
        </w:rPr>
        <w:t>①</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芒</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白茅</w:t>
      </w:r>
      <w:r>
        <w:rPr>
          <w:rFonts w:hint="default" w:ascii="Times New Roman" w:hAnsi="Times New Roman" w:eastAsia="宋体" w:cs="Times New Roman"/>
          <w:b w:val="0"/>
          <w:bCs/>
          <w:color w:val="000000" w:themeColor="text1"/>
          <w:spacing w:val="9"/>
          <w:sz w:val="24"/>
          <w:szCs w:val="24"/>
          <w:highlight w:val="none"/>
          <w14:textFill>
            <w14:solidFill>
              <w14:schemeClr w14:val="tx1"/>
            </w14:solidFill>
          </w14:textFill>
        </w:rPr>
        <w:t>群落</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xml:space="preserve">（Form. </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Miscanthus sinensis+Imperata cylindrica</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芒、白茅草丛可出现在河谷、盆地、河漫滩上的阶地、山地、丘陵及海滩地带。在四川各地分布十分广泛。由于芒、白茅的生活力很强，因而可以在不同的生境条件下出现。芒、白茅对土壤的酸碱度要求亦不大严格，因此在石灰岩为基岩发育的石灰土或砂页岩等发育的酸性土上都有分布。在撂荒地上，首先遇到的就是芒、白茅草丛，在一些地段上，白茅生长密集，地下茎很发达，相互交织成网，其他植物很难侵入，可以形成几乎是纯白茅的草丛。</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范围及周边芒、白茅草本层的高度为60—300厘米，层覆盖度在70—90%之间。其伴生植物有五节芒、野古草、斑茅、婆婆针、飞蓬、蛇莓、夏枯草、黄背草、铁扫帚、歪头菜、贯叶连翘等，在群落中散生有少数灌木，如美丽胡枝子、山豆花及麻栎、白栎幼树等。</w:t>
      </w:r>
    </w:p>
    <w:p>
      <w:pPr>
        <w:adjustRightInd/>
        <w:snapToGrid/>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Ⅳ栽培植被</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栽培植被指人类在自然环境中，根据人类生产、生活的需要，通过人为的经营、管理措施而培育形成的植被类型。在评价</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范围</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，栽培植被主要为以农业技术措施为主培育形成的农田植被以及具有一定经济效益的经济林木。现分别就各类栽培植被分析如下：</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（1）农田植被</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①一年两熟水稻作物</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属于草本类型大田农作物型水田作物亚型，此类型对水利灌溉要求较高，主要分布在丘谷、河流两旁等地区。在水利条件好的地区水稻收割后可种植一季油菜、豆类等，而在部分地区，由于灌溉达不到要求只种植一季水稻。</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②一年</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两</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作为主的蔬菜组合</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属于草本类型蔬菜作物型旱地作物亚型，本组合型广泛分布于亚热带范围内，对灌溉要求不是很严格，本地组成蔬菜作物的建群种，有白菜、卷心菜、花椰菜、芥菜</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等</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白菜类，大头菜、萝卜、胡萝卜、洋葱、蒜、姜等根茎类、鳞茎类蔬菜，韭菜、葱、蒜、苋菜、芹菜、菠菜、莴笋等绿叶蔬菜，马铃薯、芋头等薯类，茄子、辣椒等茄果类，黄瓜、菜瓜、冬瓜、南瓜、葫芦、苦瓜、丝瓜等瓜类，豇豆、豌豆、蚕豆、大豆、菜豆等豆类，以及花生、油菜等油料作物。</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③以</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玉米、红苕、棉花、花生、小麦、马铃薯、豌豆</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为主的作物组合</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属于草本类型大田农作物型旱地作物亚型，广泛分布于四川盆地边缘的丘陵地区。</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小春作物以小麦、豌豆为主，深丘上</w:t>
      </w:r>
      <w:r>
        <w:rPr>
          <w:rFonts w:hint="default" w:ascii="Times New Roman" w:hAnsi="Times New Roman" w:eastAsia="宋体" w:cs="Times New Roman"/>
          <w:b w:val="0"/>
          <w:bCs/>
          <w:color w:val="000000" w:themeColor="text1"/>
          <w:spacing w:val="-2"/>
          <w:sz w:val="24"/>
          <w:szCs w:val="24"/>
          <w:highlight w:val="none"/>
          <w14:textFill>
            <w14:solidFill>
              <w14:schemeClr w14:val="tx1"/>
            </w14:solidFill>
          </w14:textFill>
        </w:rPr>
        <w:t>部种有马铃薯，多为一年两熟类型，</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调查区域内局部灌溉条件较差的地方实行这种作物组合。</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（2）经济林木</w:t>
      </w:r>
    </w:p>
    <w:p>
      <w:pPr>
        <w:adjustRightInd/>
        <w:snapToGrid/>
        <w:spacing w:line="360" w:lineRule="auto"/>
        <w:ind w:firstLine="480" w:firstLineChars="200"/>
        <w:jc w:val="left"/>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常见种植的种类有苹果</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Malus pumila</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川梨</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Pyrus</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pashia</w:t>
      </w:r>
      <w:r>
        <w:rPr>
          <w:rFonts w:hint="eastAsia" w:cs="Times New Roman"/>
          <w:b w:val="0"/>
          <w:bCs/>
          <w:i/>
          <w:i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、枇杷</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Eriobotryajaponica</w:t>
      </w:r>
      <w:r>
        <w:rPr>
          <w:rFonts w:hint="eastAsia" w:cs="Times New Roman"/>
          <w:b w:val="0"/>
          <w:bCs/>
          <w:i/>
          <w:i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、桃</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Amygdalus</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persica</w:t>
      </w:r>
      <w:r>
        <w:rPr>
          <w:rFonts w:hint="eastAsia" w:cs="Times New Roman"/>
          <w:b w:val="0"/>
          <w:bCs/>
          <w:i/>
          <w:i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25"/>
          <w:sz w:val="24"/>
          <w:szCs w:val="24"/>
          <w:highlight w:val="none"/>
          <w14:textFill>
            <w14:solidFill>
              <w14:schemeClr w14:val="tx1"/>
            </w14:solidFill>
          </w14:textFill>
        </w:rPr>
        <w:t>、木瓜</w:t>
      </w:r>
      <w:r>
        <w:rPr>
          <w:rFonts w:hint="default" w:ascii="Times New Roman" w:hAnsi="Times New Roman" w:cs="Times New Roman"/>
          <w:b w:val="0"/>
          <w:bCs/>
          <w:color w:val="000000" w:themeColor="text1"/>
          <w:spacing w:val="25"/>
          <w:sz w:val="24"/>
          <w:szCs w:val="24"/>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4"/>
          <w:szCs w:val="24"/>
          <w:highlight w:val="none"/>
          <w14:textFill>
            <w14:solidFill>
              <w14:schemeClr w14:val="tx1"/>
            </w14:solidFill>
          </w14:textFill>
        </w:rPr>
        <w:t>ChaenomelessinensisKoehne</w:t>
      </w:r>
      <w:r>
        <w:rPr>
          <w:rFonts w:hint="eastAsia" w:cs="Times New Roman"/>
          <w:b w:val="0"/>
          <w:bCs/>
          <w:i/>
          <w:i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、樱桃</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Cerasus pseudocerasus</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、李</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Prunus salicina</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、核桃</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Juglans regia</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、柑橘</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Citrus reticulata</w:t>
      </w:r>
      <w:r>
        <w:rPr>
          <w:rFonts w:hint="eastAsia"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、柚子</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Citrus grandis</w:t>
      </w:r>
      <w:r>
        <w:rPr>
          <w:rFonts w:hint="default" w:ascii="Times New Roman" w:hAnsi="Times New Roman" w:cs="Times New Roman"/>
          <w:b w:val="0"/>
          <w:bCs/>
          <w:i/>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等经济果树。</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与栽培植被共存的还有各种农田杂草及田间灌草丛，它们在农闲，轮作间歇期，或者农田管理不善时，成为栽培植被的主要替代者，此时即为杂草丛生的农田外貌，杂草以禾本科、菊科、莎草科、豆科、蓼科、唇形科植物为主。常见种类有蜈蚣草、三叶鬼针草、艾蒿、土牛膝、打破碗花花、猪殃殃、反枝苋、问荆、繁缕、蒲公英、土牛膝、毛茛、雀稗、光头稗、狗牙根、牛鞭草、空心莲子草、白花碎米荠、醴肠等。</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项目评价范围陆生植被照片见图4.3-1</w:t>
      </w:r>
      <w:r>
        <w:rPr>
          <w:rFonts w:hint="default" w:ascii="Times New Roman" w:hAnsi="Times New Roman" w:eastAsia="宋体" w:cs="Times New Roman"/>
          <w:b w:val="0"/>
          <w:bCs/>
          <w:color w:val="000000" w:themeColor="text1"/>
          <w:sz w:val="24"/>
          <w:highlight w:val="none"/>
          <w14:textFill>
            <w14:solidFill>
              <w14:schemeClr w14:val="tx1"/>
            </w14:solidFill>
          </w14:textFill>
        </w:rPr>
        <w:t>。</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p>
    <w:tbl>
      <w:tblPr>
        <w:tblStyle w:val="53"/>
        <w:tblW w:w="87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9"/>
        <w:gridCol w:w="4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9" w:type="dxa"/>
            <w:noWrap w:val="0"/>
            <w:vAlign w:val="top"/>
          </w:tcPr>
          <w:p>
            <w:pPr>
              <w:widowControl w:val="0"/>
              <w:autoSpaceDE w:val="0"/>
              <w:autoSpaceDN w:val="0"/>
              <w:adjustRightInd w:val="0"/>
              <w:jc w:val="both"/>
              <w:textAlignment w:val="baseline"/>
              <w:rPr>
                <w:rFonts w:hint="default" w:ascii="Times New Roman" w:hAnsi="Times New Roman" w:eastAsia="宋体" w:cs="Times New Roman"/>
                <w:b w:val="0"/>
                <w:bCs/>
                <w:color w:val="000000" w:themeColor="text1"/>
                <w:kern w:val="2"/>
                <w:sz w:val="24"/>
                <w:szCs w:val="24"/>
                <w:highlight w:val="none"/>
                <w:vertAlign w:val="baseline"/>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632075" cy="1903730"/>
                  <wp:effectExtent l="0" t="0" r="9525" b="1270"/>
                  <wp:docPr id="1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
                          <pic:cNvPicPr>
                            <a:picLocks noChangeAspect="1"/>
                          </pic:cNvPicPr>
                        </pic:nvPicPr>
                        <pic:blipFill>
                          <a:blip r:embed="rId47"/>
                          <a:stretch>
                            <a:fillRect/>
                          </a:stretch>
                        </pic:blipFill>
                        <pic:spPr>
                          <a:xfrm>
                            <a:off x="0" y="0"/>
                            <a:ext cx="2632075" cy="1903730"/>
                          </a:xfrm>
                          <a:prstGeom prst="rect">
                            <a:avLst/>
                          </a:prstGeom>
                          <a:noFill/>
                          <a:ln>
                            <a:noFill/>
                          </a:ln>
                        </pic:spPr>
                      </pic:pic>
                    </a:graphicData>
                  </a:graphic>
                </wp:inline>
              </w:drawing>
            </w:r>
          </w:p>
        </w:tc>
        <w:tc>
          <w:tcPr>
            <w:tcW w:w="4412" w:type="dxa"/>
            <w:noWrap w:val="0"/>
            <w:vAlign w:val="top"/>
          </w:tcPr>
          <w:p>
            <w:pPr>
              <w:widowControl w:val="0"/>
              <w:autoSpaceDE w:val="0"/>
              <w:autoSpaceDN w:val="0"/>
              <w:adjustRightInd w:val="0"/>
              <w:jc w:val="both"/>
              <w:textAlignment w:val="baseline"/>
              <w:rPr>
                <w:rFonts w:hint="default" w:ascii="Times New Roman" w:hAnsi="Times New Roman" w:eastAsia="宋体" w:cs="Times New Roman"/>
                <w:b w:val="0"/>
                <w:bCs/>
                <w:color w:val="000000" w:themeColor="text1"/>
                <w:kern w:val="2"/>
                <w:sz w:val="24"/>
                <w:szCs w:val="24"/>
                <w:highlight w:val="none"/>
                <w:vertAlign w:val="baseline"/>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660650" cy="1877695"/>
                  <wp:effectExtent l="0" t="0" r="6350" b="190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48"/>
                          <a:stretch>
                            <a:fillRect/>
                          </a:stretch>
                        </pic:blipFill>
                        <pic:spPr>
                          <a:xfrm>
                            <a:off x="0" y="0"/>
                            <a:ext cx="2660650" cy="18776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9" w:type="dxa"/>
            <w:noWrap w:val="0"/>
            <w:vAlign w:val="top"/>
          </w:tcPr>
          <w:p>
            <w:pPr>
              <w:widowControl w:val="0"/>
              <w:autoSpaceDE w:val="0"/>
              <w:autoSpaceDN w:val="0"/>
              <w:adjustRightInd w:val="0"/>
              <w:jc w:val="center"/>
              <w:textAlignment w:val="baseline"/>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631440" cy="1865630"/>
                  <wp:effectExtent l="0" t="0" r="10160" b="127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49"/>
                          <a:stretch>
                            <a:fillRect/>
                          </a:stretch>
                        </pic:blipFill>
                        <pic:spPr>
                          <a:xfrm>
                            <a:off x="0" y="0"/>
                            <a:ext cx="2631440" cy="1865630"/>
                          </a:xfrm>
                          <a:prstGeom prst="rect">
                            <a:avLst/>
                          </a:prstGeom>
                          <a:noFill/>
                          <a:ln>
                            <a:noFill/>
                          </a:ln>
                        </pic:spPr>
                      </pic:pic>
                    </a:graphicData>
                  </a:graphic>
                </wp:inline>
              </w:drawing>
            </w:r>
          </w:p>
        </w:tc>
        <w:tc>
          <w:tcPr>
            <w:tcW w:w="4412" w:type="dxa"/>
            <w:noWrap w:val="0"/>
            <w:vAlign w:val="top"/>
          </w:tcPr>
          <w:p>
            <w:pPr>
              <w:widowControl w:val="0"/>
              <w:autoSpaceDE w:val="0"/>
              <w:autoSpaceDN w:val="0"/>
              <w:adjustRightInd w:val="0"/>
              <w:jc w:val="center"/>
              <w:textAlignment w:val="baseline"/>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654935" cy="1751965"/>
                  <wp:effectExtent l="0" t="0" r="12065" b="63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50"/>
                          <a:stretch>
                            <a:fillRect/>
                          </a:stretch>
                        </pic:blipFill>
                        <pic:spPr>
                          <a:xfrm>
                            <a:off x="0" y="0"/>
                            <a:ext cx="2654935" cy="17519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9" w:type="dxa"/>
            <w:noWrap w:val="0"/>
            <w:vAlign w:val="top"/>
          </w:tcPr>
          <w:p>
            <w:pPr>
              <w:widowControl w:val="0"/>
              <w:autoSpaceDE w:val="0"/>
              <w:autoSpaceDN w:val="0"/>
              <w:adjustRightInd w:val="0"/>
              <w:jc w:val="both"/>
              <w:textAlignment w:val="baseline"/>
              <w:rPr>
                <w:rFonts w:hint="default" w:ascii="Times New Roman" w:hAnsi="Times New Roman" w:eastAsia="宋体" w:cs="Times New Roman"/>
                <w:b w:val="0"/>
                <w:bCs/>
                <w:color w:val="000000" w:themeColor="text1"/>
                <w:kern w:val="2"/>
                <w:sz w:val="24"/>
                <w:szCs w:val="24"/>
                <w:highlight w:val="none"/>
                <w:vertAlign w:val="baseline"/>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634615" cy="1875790"/>
                  <wp:effectExtent l="0" t="0" r="6985" b="381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51"/>
                          <a:stretch>
                            <a:fillRect/>
                          </a:stretch>
                        </pic:blipFill>
                        <pic:spPr>
                          <a:xfrm>
                            <a:off x="0" y="0"/>
                            <a:ext cx="2634615" cy="1875790"/>
                          </a:xfrm>
                          <a:prstGeom prst="rect">
                            <a:avLst/>
                          </a:prstGeom>
                          <a:noFill/>
                          <a:ln>
                            <a:noFill/>
                          </a:ln>
                        </pic:spPr>
                      </pic:pic>
                    </a:graphicData>
                  </a:graphic>
                </wp:inline>
              </w:drawing>
            </w:r>
          </w:p>
        </w:tc>
        <w:tc>
          <w:tcPr>
            <w:tcW w:w="4412" w:type="dxa"/>
            <w:noWrap w:val="0"/>
            <w:vAlign w:val="top"/>
          </w:tcPr>
          <w:p>
            <w:pPr>
              <w:widowControl w:val="0"/>
              <w:autoSpaceDE w:val="0"/>
              <w:autoSpaceDN w:val="0"/>
              <w:adjustRightInd w:val="0"/>
              <w:jc w:val="both"/>
              <w:textAlignment w:val="baseline"/>
              <w:rPr>
                <w:rFonts w:hint="default" w:ascii="Times New Roman" w:hAnsi="Times New Roman" w:eastAsia="宋体" w:cs="Times New Roman"/>
                <w:b w:val="0"/>
                <w:bCs/>
                <w:color w:val="000000" w:themeColor="text1"/>
                <w:kern w:val="2"/>
                <w:sz w:val="24"/>
                <w:szCs w:val="24"/>
                <w:highlight w:val="none"/>
                <w:vertAlign w:val="baseline"/>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657475" cy="1777365"/>
                  <wp:effectExtent l="0" t="0" r="9525" b="63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52"/>
                          <a:stretch>
                            <a:fillRect/>
                          </a:stretch>
                        </pic:blipFill>
                        <pic:spPr>
                          <a:xfrm>
                            <a:off x="0" y="0"/>
                            <a:ext cx="2657475" cy="17773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noWrap w:val="0"/>
            <w:vAlign w:val="top"/>
          </w:tcPr>
          <w:p>
            <w:pPr>
              <w:widowControl w:val="0"/>
              <w:autoSpaceDE w:val="0"/>
              <w:autoSpaceDN w:val="0"/>
              <w:adjustRightInd w:val="0"/>
              <w:jc w:val="center"/>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629535" cy="1734820"/>
                  <wp:effectExtent l="0" t="0" r="12065" b="508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53"/>
                          <a:stretch>
                            <a:fillRect/>
                          </a:stretch>
                        </pic:blipFill>
                        <pic:spPr>
                          <a:xfrm>
                            <a:off x="0" y="0"/>
                            <a:ext cx="2629535" cy="1734820"/>
                          </a:xfrm>
                          <a:prstGeom prst="rect">
                            <a:avLst/>
                          </a:prstGeom>
                          <a:noFill/>
                          <a:ln>
                            <a:noFill/>
                          </a:ln>
                        </pic:spPr>
                      </pic:pic>
                    </a:graphicData>
                  </a:graphic>
                </wp:inline>
              </w:drawing>
            </w:r>
          </w:p>
        </w:tc>
        <w:tc>
          <w:tcPr>
            <w:tcW w:w="4412" w:type="dxa"/>
            <w:noWrap w:val="0"/>
            <w:vAlign w:val="top"/>
          </w:tcPr>
          <w:p>
            <w:pPr>
              <w:widowControl w:val="0"/>
              <w:autoSpaceDE w:val="0"/>
              <w:autoSpaceDN w:val="0"/>
              <w:adjustRightInd w:val="0"/>
              <w:jc w:val="center"/>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655570" cy="1682115"/>
                  <wp:effectExtent l="0" t="0" r="11430" b="698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54"/>
                          <a:stretch>
                            <a:fillRect/>
                          </a:stretch>
                        </pic:blipFill>
                        <pic:spPr>
                          <a:xfrm>
                            <a:off x="0" y="0"/>
                            <a:ext cx="2655570" cy="16821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noWrap w:val="0"/>
            <w:vAlign w:val="top"/>
          </w:tcPr>
          <w:p>
            <w:pPr>
              <w:widowControl w:val="0"/>
              <w:autoSpaceDE w:val="0"/>
              <w:autoSpaceDN w:val="0"/>
              <w:adjustRightInd w:val="0"/>
              <w:jc w:val="center"/>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635250" cy="1696085"/>
                  <wp:effectExtent l="0" t="0" r="6350" b="571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55"/>
                          <a:stretch>
                            <a:fillRect/>
                          </a:stretch>
                        </pic:blipFill>
                        <pic:spPr>
                          <a:xfrm>
                            <a:off x="0" y="0"/>
                            <a:ext cx="2635250" cy="1696085"/>
                          </a:xfrm>
                          <a:prstGeom prst="rect">
                            <a:avLst/>
                          </a:prstGeom>
                          <a:noFill/>
                          <a:ln>
                            <a:noFill/>
                          </a:ln>
                        </pic:spPr>
                      </pic:pic>
                    </a:graphicData>
                  </a:graphic>
                </wp:inline>
              </w:drawing>
            </w:r>
          </w:p>
        </w:tc>
        <w:tc>
          <w:tcPr>
            <w:tcW w:w="4412" w:type="dxa"/>
            <w:noWrap w:val="0"/>
            <w:vAlign w:val="top"/>
          </w:tcPr>
          <w:p>
            <w:pPr>
              <w:widowControl w:val="0"/>
              <w:autoSpaceDE w:val="0"/>
              <w:autoSpaceDN w:val="0"/>
              <w:adjustRightInd w:val="0"/>
              <w:jc w:val="center"/>
              <w:textAlignment w:val="baseline"/>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_GB2312" w:cs="Times New Roman"/>
                <w:color w:val="000000" w:themeColor="text1"/>
                <w:kern w:val="2"/>
                <w:sz w:val="24"/>
                <w:szCs w:val="24"/>
                <w:highlight w:val="none"/>
                <w:lang w:val="en-US" w:eastAsia="zh-CN" w:bidi="ar-SA"/>
                <w14:textFill>
                  <w14:solidFill>
                    <w14:schemeClr w14:val="tx1"/>
                  </w14:solidFill>
                </w14:textFill>
              </w:rPr>
              <w:drawing>
                <wp:inline distT="0" distB="0" distL="114300" distR="114300">
                  <wp:extent cx="2660650" cy="1736725"/>
                  <wp:effectExtent l="0" t="0" r="6350" b="317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56"/>
                          <a:stretch>
                            <a:fillRect/>
                          </a:stretch>
                        </pic:blipFill>
                        <pic:spPr>
                          <a:xfrm>
                            <a:off x="0" y="0"/>
                            <a:ext cx="2660650" cy="1736725"/>
                          </a:xfrm>
                          <a:prstGeom prst="rect">
                            <a:avLst/>
                          </a:prstGeom>
                          <a:noFill/>
                          <a:ln>
                            <a:noFill/>
                          </a:ln>
                        </pic:spPr>
                      </pic:pic>
                    </a:graphicData>
                  </a:graphic>
                </wp:inline>
              </w:drawing>
            </w:r>
          </w:p>
        </w:tc>
      </w:tr>
    </w:tbl>
    <w:p>
      <w:pPr>
        <w:autoSpaceDE w:val="0"/>
        <w:autoSpaceDN w:val="0"/>
        <w:adjustRightInd w:val="0"/>
        <w:snapToGrid/>
        <w:spacing w:before="120" w:beforeLines="50" w:line="240" w:lineRule="auto"/>
        <w:ind w:firstLine="0" w:firstLineChars="0"/>
        <w:jc w:val="center"/>
        <w:rPr>
          <w:rFonts w:hint="default" w:ascii="Times New Roman" w:hAnsi="Times New Roman" w:eastAsia="宋体" w:cs="Times New Roman"/>
          <w:b w:val="0"/>
          <w:bCs/>
          <w:color w:val="000000" w:themeColor="text1"/>
          <w:kern w:val="0"/>
          <w:sz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highlight w:val="none"/>
          <w14:textFill>
            <w14:solidFill>
              <w14:schemeClr w14:val="tx1"/>
            </w14:solidFill>
          </w14:textFill>
        </w:rPr>
        <w:t>图4.3-1 陆生植被</w:t>
      </w:r>
      <w:r>
        <w:rPr>
          <w:rFonts w:hint="default" w:ascii="Times New Roman" w:hAnsi="Times New Roman" w:eastAsia="宋体" w:cs="Times New Roman"/>
          <w:b w:val="0"/>
          <w:bCs/>
          <w:color w:val="000000" w:themeColor="text1"/>
          <w:kern w:val="0"/>
          <w:sz w:val="21"/>
          <w:highlight w:val="none"/>
          <w:lang w:eastAsia="zh-CN"/>
          <w14:textFill>
            <w14:solidFill>
              <w14:schemeClr w14:val="tx1"/>
            </w14:solidFill>
          </w14:textFill>
        </w:rPr>
        <w:t>现场</w:t>
      </w:r>
      <w:r>
        <w:rPr>
          <w:rFonts w:hint="default" w:ascii="Times New Roman" w:hAnsi="Times New Roman" w:eastAsia="宋体" w:cs="Times New Roman"/>
          <w:b w:val="0"/>
          <w:bCs/>
          <w:color w:val="000000" w:themeColor="text1"/>
          <w:kern w:val="0"/>
          <w:sz w:val="21"/>
          <w:highlight w:val="none"/>
          <w14:textFill>
            <w14:solidFill>
              <w14:schemeClr w14:val="tx1"/>
            </w14:solidFill>
          </w14:textFill>
        </w:rPr>
        <w:t>照片</w:t>
      </w:r>
    </w:p>
    <w:p>
      <w:pPr>
        <w:keepNext w:val="0"/>
        <w:keepLines w:val="0"/>
        <w:pageBreakBefore w:val="0"/>
        <w:widowControl w:val="0"/>
        <w:kinsoku/>
        <w:wordWrap/>
        <w:overflowPunct/>
        <w:topLinePunct w:val="0"/>
        <w:autoSpaceDE/>
        <w:autoSpaceDN/>
        <w:bidi w:val="0"/>
        <w:adjustRightInd w:val="0"/>
        <w:snapToGrid w:val="0"/>
        <w:spacing w:before="0" w:line="360" w:lineRule="auto"/>
        <w:ind w:firstLine="480" w:firstLineChars="200"/>
        <w:textAlignment w:val="auto"/>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样方调查</w:t>
      </w:r>
    </w:p>
    <w:p>
      <w:pPr>
        <w:keepNext w:val="0"/>
        <w:keepLines w:val="0"/>
        <w:pageBreakBefore w:val="0"/>
        <w:widowControl w:val="0"/>
        <w:kinsoku/>
        <w:wordWrap/>
        <w:overflowPunct/>
        <w:topLinePunct w:val="0"/>
        <w:autoSpaceDE/>
        <w:autoSpaceDN/>
        <w:bidi w:val="0"/>
        <w:adjustRightInd w:val="0"/>
        <w:snapToGrid w:val="0"/>
        <w:spacing w:before="0"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评价区所在区域属IA3</w:t>
      </w:r>
      <w:r>
        <w:rPr>
          <w:rFonts w:hint="eastAsia"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14:textFill>
            <w14:solidFill>
              <w14:schemeClr w14:val="tx1"/>
            </w14:solidFill>
          </w14:textFill>
        </w:rPr>
        <w:t>6</w:t>
      </w:r>
      <w:r>
        <w:rPr>
          <w:rFonts w:hint="default" w:ascii="Times New Roman" w:hAnsi="Times New Roman"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14:textFill>
            <w14:solidFill>
              <w14:schemeClr w14:val="tx1"/>
            </w14:solidFill>
          </w14:textFill>
        </w:rPr>
        <w:t>川北深丘植被小区</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14:textFill>
            <w14:solidFill>
              <w14:schemeClr w14:val="tx1"/>
            </w14:solidFill>
          </w14:textFill>
        </w:rPr>
        <w:t>范围相对较小，水热条件、海拔、土壤理化性质均一致，根据现场调查及遥感卫片纹理特征可知，</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评价区植被概况与项目区域总体情况基本一致，</w:t>
      </w:r>
      <w:r>
        <w:rPr>
          <w:rFonts w:hint="default" w:ascii="Times New Roman" w:hAnsi="Times New Roman" w:eastAsia="宋体" w:cs="Times New Roman"/>
          <w:b w:val="0"/>
          <w:bCs/>
          <w:color w:val="000000" w:themeColor="text1"/>
          <w:sz w:val="24"/>
          <w:highlight w:val="none"/>
          <w14:textFill>
            <w14:solidFill>
              <w14:schemeClr w14:val="tx1"/>
            </w14:solidFill>
          </w14:textFill>
        </w:rPr>
        <w:t>自然植被主要为马尾松林、柏木林、栎类灌丛、亚热带草丛及其各种过渡类型</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14:textFill>
            <w14:solidFill>
              <w14:schemeClr w14:val="tx1"/>
            </w14:solidFill>
          </w14:textFill>
        </w:rPr>
        <w:t>每种群落内部种群差异较小。据实际分布情况，</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以及前文所述样方布点原则，在</w:t>
      </w:r>
      <w:r>
        <w:rPr>
          <w:rFonts w:hint="default" w:ascii="Times New Roman" w:hAnsi="Times New Roman" w:eastAsia="宋体" w:cs="Times New Roman"/>
          <w:b w:val="0"/>
          <w:bCs/>
          <w:color w:val="000000" w:themeColor="text1"/>
          <w:sz w:val="24"/>
          <w:highlight w:val="none"/>
          <w14:textFill>
            <w14:solidFill>
              <w14:schemeClr w14:val="tx1"/>
            </w14:solidFill>
          </w14:textFill>
        </w:rPr>
        <w:t>评价区</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对每种典型群系</w:t>
      </w:r>
      <w:r>
        <w:rPr>
          <w:rFonts w:hint="default" w:ascii="Times New Roman" w:hAnsi="Times New Roman" w:eastAsia="宋体" w:cs="Times New Roman"/>
          <w:b w:val="0"/>
          <w:bCs/>
          <w:color w:val="000000" w:themeColor="text1"/>
          <w:sz w:val="24"/>
          <w:highlight w:val="none"/>
          <w14:textFill>
            <w14:solidFill>
              <w14:schemeClr w14:val="tx1"/>
            </w14:solidFill>
          </w14:textFill>
        </w:rPr>
        <w:t>选取</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4"/>
          <w:highlight w:val="none"/>
          <w14:textFill>
            <w14:solidFill>
              <w14:schemeClr w14:val="tx1"/>
            </w14:solidFill>
          </w14:textFill>
        </w:rPr>
        <w:t>个具代表性的</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地段设置</w:t>
      </w:r>
      <w:r>
        <w:rPr>
          <w:rFonts w:hint="default" w:ascii="Times New Roman" w:hAnsi="Times New Roman" w:eastAsia="宋体" w:cs="Times New Roman"/>
          <w:b w:val="0"/>
          <w:bCs/>
          <w:color w:val="000000" w:themeColor="text1"/>
          <w:sz w:val="24"/>
          <w:highlight w:val="none"/>
          <w14:textFill>
            <w14:solidFill>
              <w14:schemeClr w14:val="tx1"/>
            </w14:solidFill>
          </w14:textFill>
        </w:rPr>
        <w:t>样方</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14:textFill>
            <w14:solidFill>
              <w14:schemeClr w14:val="tx1"/>
            </w14:solidFill>
          </w14:textFill>
        </w:rPr>
        <w:t>进行列表明示</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14:textFill>
            <w14:solidFill>
              <w14:schemeClr w14:val="tx1"/>
            </w14:solidFill>
          </w14:textFill>
        </w:rPr>
        <w:t>具体记录如下。</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样方1  马尾松群系样方表（1）</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3509"/>
        <w:gridCol w:w="800"/>
        <w:gridCol w:w="531"/>
        <w:gridCol w:w="516"/>
        <w:gridCol w:w="635"/>
        <w:gridCol w:w="451"/>
        <w:gridCol w:w="430"/>
        <w:gridCol w:w="551"/>
        <w:gridCol w:w="6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107.8034,31.5579</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w:t>
            </w:r>
            <w:r>
              <w:rPr>
                <w:rFonts w:hint="eastAsia" w:cs="Times New Roman"/>
                <w:b w:val="0"/>
                <w:bCs/>
                <w:color w:val="000000" w:themeColor="text1"/>
                <w:sz w:val="21"/>
                <w:szCs w:val="21"/>
                <w:highlight w:val="none"/>
                <w:lang w:eastAsia="zh-CN"/>
                <w14:textFill>
                  <w14:solidFill>
                    <w14:schemeClr w14:val="tx1"/>
                  </w14:solidFill>
                </w14:textFill>
              </w:rPr>
              <w:t>）</w:t>
            </w:r>
          </w:p>
        </w:tc>
        <w:tc>
          <w:tcPr>
            <w:tcW w:w="25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819</w:t>
            </w:r>
          </w:p>
        </w:tc>
        <w:tc>
          <w:tcPr>
            <w:tcW w:w="32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乔木层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马尾松（</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Pinus massoniana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21</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杉木（</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Cunninghamia lanceolata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11</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19</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青冈（</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TCyclobalanopsis glauca(Thunb.)Oerst</w:t>
            </w:r>
            <w:r>
              <w:rPr>
                <w:rFonts w:hint="default" w:ascii="Times New Roman" w:hAnsi="Times New Roman" w:eastAsia="宋体" w:cs="Times New Roman"/>
                <w:b w:val="0"/>
                <w:bCs/>
                <w:i w:val="0"/>
                <w:i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19</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4*4</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枫香（</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Liquidambar formosana Hance</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10</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18</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6</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灌木层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乌泡子（</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Rubus parkeri</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85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Cs/>
                <w:color w:val="000000" w:themeColor="text1"/>
                <w:sz w:val="21"/>
                <w:szCs w:val="21"/>
                <w:highlight w:val="none"/>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棕榈</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Trachycarpus fortunei</w:t>
            </w:r>
            <w:r>
              <w:rPr>
                <w:rFonts w:hint="eastAsia" w:cs="Times New Roman"/>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1.35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铁仔</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Myrsine africana Linn.</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85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棕榈</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Trachycarpus fortunei</w:t>
            </w:r>
            <w:r>
              <w:rPr>
                <w:rFonts w:hint="eastAsia" w:cs="Times New Roman"/>
                <w:b w:val="0"/>
                <w:bCs/>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t>2.0</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刺红珠</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Berberis dictyophylla</w:t>
            </w:r>
            <w:r>
              <w:rPr>
                <w:rFonts w:hint="eastAsia" w:cs="Times New Roman"/>
                <w:b w:val="0"/>
                <w:bCs/>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t>1.45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1.2</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蕺菜</w:t>
            </w:r>
            <w:r>
              <w:rPr>
                <w:rFonts w:hint="default" w:ascii="Times New Roman" w:hAnsi="Times New Roman" w:eastAsia="宋体" w:cs="Times New Roman"/>
                <w:i/>
                <w:iCs/>
                <w:color w:val="000000" w:themeColor="text1"/>
                <w:sz w:val="21"/>
                <w:szCs w:val="21"/>
                <w:highlight w:val="none"/>
                <w14:textFill>
                  <w14:solidFill>
                    <w14:schemeClr w14:val="tx1"/>
                  </w14:solidFill>
                </w14:textFill>
              </w:rPr>
              <w:t>Houttuynia cordata Thunb</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芒萁</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Dicranopteris dichotoma</w:t>
            </w:r>
            <w:r>
              <w:rPr>
                <w:rFonts w:hint="eastAsia" w:cs="Times New Roman"/>
                <w:b w:val="0"/>
                <w:bCs/>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野青茅</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Deyeuxia arundinacea (L.) Beauv.</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苔草</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Carex tristachya</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both"/>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里白（</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Hicriopteris glauca</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样方1  马尾松群系样方表（2）</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3509"/>
        <w:gridCol w:w="800"/>
        <w:gridCol w:w="531"/>
        <w:gridCol w:w="516"/>
        <w:gridCol w:w="635"/>
        <w:gridCol w:w="451"/>
        <w:gridCol w:w="430"/>
        <w:gridCol w:w="551"/>
        <w:gridCol w:w="6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107.8100,31.5592</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w:t>
            </w:r>
            <w:r>
              <w:rPr>
                <w:rFonts w:hint="eastAsia" w:cs="Times New Roman"/>
                <w:b w:val="0"/>
                <w:bCs/>
                <w:color w:val="000000" w:themeColor="text1"/>
                <w:sz w:val="21"/>
                <w:szCs w:val="21"/>
                <w:highlight w:val="none"/>
                <w:lang w:eastAsia="zh-CN"/>
                <w14:textFill>
                  <w14:solidFill>
                    <w14:schemeClr w14:val="tx1"/>
                  </w14:solidFill>
                </w14:textFill>
              </w:rPr>
              <w:t>）</w:t>
            </w:r>
          </w:p>
        </w:tc>
        <w:tc>
          <w:tcPr>
            <w:tcW w:w="25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782</w:t>
            </w:r>
          </w:p>
        </w:tc>
        <w:tc>
          <w:tcPr>
            <w:tcW w:w="32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SW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乔木层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马尾松（</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Pinus massoniana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24</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栓皮栎</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 xml:space="preserve">Quercus variabilis </w:t>
            </w:r>
            <w:r>
              <w:rPr>
                <w:rFonts w:hint="default" w:ascii="Times New Roman" w:hAnsi="Times New Roman" w:eastAsia="宋体" w:cs="Times New Roman"/>
                <w:b w:val="0"/>
                <w:bCs/>
                <w:i w:val="0"/>
                <w:iCs w:val="0"/>
                <w:color w:val="000000" w:themeColor="text1"/>
                <w:sz w:val="21"/>
                <w:szCs w:val="21"/>
                <w:highlight w:val="none"/>
                <w:lang w:val="en-US" w:eastAsia="zh-CN"/>
                <w14:textFill>
                  <w14:solidFill>
                    <w14:schemeClr w14:val="tx1"/>
                  </w14:solidFill>
                </w14:textFill>
              </w:rPr>
              <w:t>Bl.</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11</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桤木（</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Alnus cremastogyne</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11</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18</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4</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灌木层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米饭花（</w:t>
            </w:r>
            <w:r>
              <w:rPr>
                <w:rFonts w:hint="default" w:ascii="Times New Roman" w:hAnsi="Times New Roman" w:eastAsia="宋体" w:cs="Times New Roman"/>
                <w:i/>
                <w:iCs/>
                <w:color w:val="000000" w:themeColor="text1"/>
                <w:sz w:val="21"/>
                <w:szCs w:val="21"/>
                <w:highlight w:val="none"/>
                <w14:textFill>
                  <w14:solidFill>
                    <w14:schemeClr w14:val="tx1"/>
                  </w14:solidFill>
                </w14:textFill>
              </w:rPr>
              <w:t>Vacciniuim sprengelii</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t>1.45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4</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乌泡子（</w:t>
            </w:r>
            <w:r>
              <w:rPr>
                <w:rFonts w:hint="default" w:ascii="Times New Roman" w:hAnsi="Times New Roman" w:eastAsia="宋体" w:cs="Times New Roman"/>
                <w:i/>
                <w:iCs/>
                <w:color w:val="000000" w:themeColor="text1"/>
                <w:sz w:val="21"/>
                <w:szCs w:val="21"/>
                <w:highlight w:val="none"/>
                <w14:textFill>
                  <w14:solidFill>
                    <w14:schemeClr w14:val="tx1"/>
                  </w14:solidFill>
                </w14:textFill>
              </w:rPr>
              <w:t>Rubus parkeri</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1.3</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棕榈</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Trachycarpus fortunei</w:t>
            </w:r>
            <w:r>
              <w:rPr>
                <w:rFonts w:hint="eastAsia" w:cs="Times New Roman"/>
                <w:b w:val="0"/>
                <w:bCs/>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1.35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黄荆</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w:t>
            </w:r>
            <w:r>
              <w:rPr>
                <w:rStyle w:val="61"/>
                <w:rFonts w:hint="default" w:ascii="Times New Roman" w:hAnsi="Times New Roman" w:eastAsia="宋体" w:cs="Times New Roman"/>
                <w:i/>
                <w:iCs/>
                <w:caps w:val="0"/>
                <w:color w:val="000000" w:themeColor="text1"/>
                <w:spacing w:val="0"/>
                <w:sz w:val="21"/>
                <w:szCs w:val="21"/>
                <w:highlight w:val="none"/>
                <w:shd w:val="clear" w:color="auto" w:fill="FFFFFF"/>
                <w14:textFill>
                  <w14:solidFill>
                    <w14:schemeClr w14:val="tx1"/>
                  </w14:solidFill>
                </w14:textFill>
              </w:rPr>
              <w:t>Vitex negundo L.</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7</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八角金盘</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Fatsia japonica </w:t>
            </w:r>
            <w:r>
              <w:rPr>
                <w:rFonts w:hint="default" w:ascii="Times New Roman" w:hAnsi="Times New Roman" w:eastAsia="宋体" w:cs="Times New Roman"/>
                <w:b w:val="0"/>
                <w:bCs/>
                <w:i w:val="0"/>
                <w:iCs w:val="0"/>
                <w:color w:val="000000" w:themeColor="text1"/>
                <w:sz w:val="21"/>
                <w:szCs w:val="21"/>
                <w:highlight w:val="none"/>
                <w14:textFill>
                  <w14:solidFill>
                    <w14:schemeClr w14:val="tx1"/>
                  </w14:solidFill>
                </w14:textFill>
              </w:rPr>
              <w:t>(Thunb.)Decne. et Planch</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盐肤木（</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Rhus chinensis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胡颓子</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Elaeagnus pungens Thunb.</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2.2</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芒（</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Miscanthus sinensis</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0.9</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Soc</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藿香蓟（</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Ageratum conyzoides</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0.55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白茅</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Imperata cylindrica (L.) Beauv.</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芒萁</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Dicranopteris dichotoma</w:t>
            </w:r>
            <w:r>
              <w:rPr>
                <w:rFonts w:hint="eastAsia" w:cs="Times New Roman"/>
                <w:b w:val="0"/>
                <w:bCs/>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野青茅</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Deyeuxia arundinacea (L.) Beauv.</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单芽狗脊（</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Woodwardia unigemmata</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三叶鬼针草（</w:t>
            </w:r>
            <w:r>
              <w:rPr>
                <w:rFonts w:hint="default" w:ascii="Times New Roman" w:hAnsi="Times New Roman" w:eastAsia="宋体" w:cs="Times New Roman"/>
                <w:b w:val="0"/>
                <w:bCs/>
                <w:i/>
                <w:color w:val="000000" w:themeColor="text1"/>
                <w:sz w:val="21"/>
                <w:szCs w:val="21"/>
                <w:highlight w:val="none"/>
                <w14:textFill>
                  <w14:solidFill>
                    <w14:schemeClr w14:val="tx1"/>
                  </w14:solidFill>
                </w14:textFill>
              </w:rPr>
              <w:t>Bidens pilosa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0.5</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野艾蒿（</w:t>
            </w:r>
            <w:r>
              <w:rPr>
                <w:rFonts w:hint="default" w:ascii="Times New Roman" w:hAnsi="Times New Roman" w:eastAsia="宋体" w:cs="Times New Roman"/>
                <w:b w:val="0"/>
                <w:bCs/>
                <w:i/>
                <w:color w:val="000000" w:themeColor="text1"/>
                <w:sz w:val="21"/>
                <w:szCs w:val="21"/>
                <w:highlight w:val="none"/>
                <w14:textFill>
                  <w14:solidFill>
                    <w14:schemeClr w14:val="tx1"/>
                  </w14:solidFill>
                </w14:textFill>
              </w:rPr>
              <w:t>Artemisia lavandulaefolia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0.7</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翠云草</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Selaginella uncinata</w:t>
            </w:r>
            <w:r>
              <w:rPr>
                <w:rFonts w:hint="eastAsia" w:cs="Times New Roman"/>
                <w:b w:val="0"/>
                <w:bCs/>
                <w:i/>
                <w:iCs/>
                <w:color w:val="000000" w:themeColor="text1"/>
                <w:sz w:val="21"/>
                <w:szCs w:val="21"/>
                <w:highlight w:val="none"/>
                <w:lang w:eastAsia="zh-CN"/>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样方1  马尾松群系样方表（3）</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3509"/>
        <w:gridCol w:w="800"/>
        <w:gridCol w:w="531"/>
        <w:gridCol w:w="516"/>
        <w:gridCol w:w="635"/>
        <w:gridCol w:w="451"/>
        <w:gridCol w:w="430"/>
        <w:gridCol w:w="551"/>
        <w:gridCol w:w="6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107.8028,31.5573</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w:t>
            </w:r>
            <w:r>
              <w:rPr>
                <w:rFonts w:hint="eastAsia" w:cs="Times New Roman"/>
                <w:b w:val="0"/>
                <w:bCs/>
                <w:color w:val="000000" w:themeColor="text1"/>
                <w:sz w:val="21"/>
                <w:szCs w:val="21"/>
                <w:highlight w:val="none"/>
                <w:lang w:eastAsia="zh-CN"/>
                <w14:textFill>
                  <w14:solidFill>
                    <w14:schemeClr w14:val="tx1"/>
                  </w14:solidFill>
                </w14:textFill>
              </w:rPr>
              <w:t>）</w:t>
            </w:r>
          </w:p>
        </w:tc>
        <w:tc>
          <w:tcPr>
            <w:tcW w:w="25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808</w:t>
            </w:r>
          </w:p>
        </w:tc>
        <w:tc>
          <w:tcPr>
            <w:tcW w:w="32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乔木层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马尾松（</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Pinus massoniana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28</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24</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青冈（</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TCyclobalanopsis glauca</w:t>
            </w:r>
            <w:r>
              <w:rPr>
                <w:rFonts w:hint="default" w:ascii="Times New Roman" w:hAnsi="Times New Roman" w:eastAsia="宋体" w:cs="Times New Roman"/>
                <w:b w:val="0"/>
                <w:bCs/>
                <w:i w:val="0"/>
                <w:iCs w:val="0"/>
                <w:color w:val="000000" w:themeColor="text1"/>
                <w:sz w:val="21"/>
                <w:szCs w:val="21"/>
                <w:highlight w:val="none"/>
                <w:lang w:val="en-US" w:eastAsia="zh-CN"/>
                <w14:textFill>
                  <w14:solidFill>
                    <w14:schemeClr w14:val="tx1"/>
                  </w14:solidFill>
                </w14:textFill>
              </w:rPr>
              <w:t>（Thunb.）Oerst.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12</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4*4</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栓皮栎</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 xml:space="preserve">Quercus variabilis </w:t>
            </w:r>
            <w:r>
              <w:rPr>
                <w:rFonts w:hint="default" w:ascii="Times New Roman" w:hAnsi="Times New Roman" w:eastAsia="宋体" w:cs="Times New Roman"/>
                <w:b w:val="0"/>
                <w:bCs/>
                <w:i w:val="0"/>
                <w:iCs w:val="0"/>
                <w:color w:val="000000" w:themeColor="text1"/>
                <w:sz w:val="21"/>
                <w:szCs w:val="21"/>
                <w:highlight w:val="none"/>
                <w:lang w:val="en-US" w:eastAsia="zh-CN"/>
                <w14:textFill>
                  <w14:solidFill>
                    <w14:schemeClr w14:val="tx1"/>
                  </w14:solidFill>
                </w14:textFill>
              </w:rPr>
              <w:t>Bl.</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13</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灌木层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荚蒾</w:t>
            </w: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pacing w:val="-4"/>
                <w:sz w:val="21"/>
                <w:szCs w:val="21"/>
                <w:highlight w:val="none"/>
                <w14:textFill>
                  <w14:solidFill>
                    <w14:schemeClr w14:val="tx1"/>
                  </w14:solidFill>
                </w14:textFill>
              </w:rPr>
              <w:t>Viburnum</w:t>
            </w:r>
            <w:r>
              <w:rPr>
                <w:rFonts w:hint="default" w:ascii="Times New Roman" w:hAnsi="Times New Roman" w:eastAsia="宋体" w:cs="Times New Roman"/>
                <w:b w:val="0"/>
                <w:bCs/>
                <w:color w:val="000000" w:themeColor="text1"/>
                <w:spacing w:val="-4"/>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4"/>
                <w:sz w:val="21"/>
                <w:szCs w:val="21"/>
                <w:highlight w:val="none"/>
                <w14:textFill>
                  <w14:solidFill>
                    <w14:schemeClr w14:val="tx1"/>
                  </w14:solidFill>
                </w14:textFill>
              </w:rPr>
              <w:t>spp</w:t>
            </w:r>
            <w:r>
              <w:rPr>
                <w:rFonts w:hint="default" w:ascii="Times New Roman" w:hAnsi="Times New Roman" w:eastAsia="宋体" w:cs="Times New Roman"/>
                <w:b w:val="0"/>
                <w:bCs/>
                <w:color w:val="000000" w:themeColor="text1"/>
                <w:spacing w:val="-4"/>
                <w:sz w:val="21"/>
                <w:szCs w:val="21"/>
                <w:highlight w:val="none"/>
                <w:lang w:eastAsia="zh-CN"/>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t>1.8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火棘</w:t>
            </w:r>
            <w:r>
              <w:rPr>
                <w:rFonts w:hint="default" w:ascii="Times New Roman" w:hAnsi="Times New Roman" w:eastAsia="宋体" w:cs="Times New Roman"/>
                <w:b w:val="0"/>
                <w:bCs/>
                <w:color w:val="000000" w:themeColor="text1"/>
                <w:spacing w:val="-1"/>
                <w:sz w:val="21"/>
                <w:szCs w:val="21"/>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Pyracantha fortuneana</w:t>
            </w:r>
            <w:r>
              <w:rPr>
                <w:rFonts w:hint="default" w:ascii="Times New Roman" w:hAnsi="Times New Roman" w:eastAsia="宋体" w:cs="Times New Roman"/>
                <w:b w:val="0"/>
                <w:bCs/>
                <w:color w:val="000000" w:themeColor="text1"/>
                <w:spacing w:val="-1"/>
                <w:sz w:val="21"/>
                <w:szCs w:val="21"/>
                <w:highlight w:val="none"/>
                <w:lang w:eastAsia="zh-CN"/>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小果蔷薇（</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Rosa cymosa</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7</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刺红珠</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Berberis dictyophylla</w:t>
            </w:r>
            <w:r>
              <w:rPr>
                <w:rFonts w:hint="eastAsia" w:cs="Times New Roman"/>
                <w:b w:val="0"/>
                <w:bCs/>
                <w:i/>
                <w:iCs/>
                <w:color w:val="000000" w:themeColor="text1"/>
                <w:sz w:val="21"/>
                <w:szCs w:val="21"/>
                <w:highlight w:val="none"/>
                <w:lang w:eastAsia="zh-CN"/>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1.2</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豪猪刺</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Berberis julianae</w:t>
            </w:r>
            <w:r>
              <w:rPr>
                <w:rFonts w:hint="eastAsia" w:cs="Times New Roman"/>
                <w:b w:val="0"/>
                <w:bCs/>
                <w:i/>
                <w:iCs/>
                <w:color w:val="000000" w:themeColor="text1"/>
                <w:sz w:val="21"/>
                <w:szCs w:val="21"/>
                <w:highlight w:val="none"/>
                <w:lang w:eastAsia="zh-CN"/>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盐肤木（</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Rhus chinensis</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1.45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金山荚蒾（</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Viburnum chinshanense</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白茅</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Imperata cylindrica.</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Soc</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狗牙根（</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Cynodon dactylon</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65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Soc</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车前（</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Plantgo asiatica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85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val="en-US" w:eastAsia="zh-CN"/>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马唐（</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Digitaria sanguinalis</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益母草（</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Leonurus heterophyllus</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芒萁</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Dicranopteris dichotoma</w:t>
            </w:r>
            <w:r>
              <w:rPr>
                <w:rFonts w:hint="eastAsia" w:cs="Times New Roman"/>
                <w:b w:val="0"/>
                <w:bCs/>
                <w:i/>
                <w:iCs/>
                <w:color w:val="000000" w:themeColor="text1"/>
                <w:sz w:val="21"/>
                <w:szCs w:val="21"/>
                <w:highlight w:val="none"/>
                <w:lang w:eastAsia="zh-CN"/>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野青茅</w:t>
            </w:r>
            <w:r>
              <w:rPr>
                <w:rFonts w:hint="default" w:ascii="Times New Roman" w:hAnsi="Times New Roman" w:cs="Times New Roman" w:eastAsiaTheme="minorEastAsia"/>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Deyeuxia arundinacea (L.) Beauv.</w:t>
            </w:r>
            <w:r>
              <w:rPr>
                <w:rFonts w:hint="default" w:ascii="Times New Roman" w:hAnsi="Times New Roman" w:cs="Times New Roman" w:eastAsiaTheme="minorEastAsia"/>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样方2  麻栎、青冈、栓皮栎群系样地表（1）</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3509"/>
        <w:gridCol w:w="800"/>
        <w:gridCol w:w="531"/>
        <w:gridCol w:w="516"/>
        <w:gridCol w:w="635"/>
        <w:gridCol w:w="451"/>
        <w:gridCol w:w="430"/>
        <w:gridCol w:w="551"/>
        <w:gridCol w:w="6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107.8045,31.5562</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w:t>
            </w:r>
            <w:r>
              <w:rPr>
                <w:rFonts w:hint="eastAsia" w:cs="Times New Roman"/>
                <w:b w:val="0"/>
                <w:bCs/>
                <w:color w:val="000000" w:themeColor="text1"/>
                <w:sz w:val="21"/>
                <w:szCs w:val="21"/>
                <w:highlight w:val="none"/>
                <w:lang w:eastAsia="zh-CN"/>
                <w14:textFill>
                  <w14:solidFill>
                    <w14:schemeClr w14:val="tx1"/>
                  </w14:solidFill>
                </w14:textFill>
              </w:rPr>
              <w:t>）</w:t>
            </w:r>
          </w:p>
        </w:tc>
        <w:tc>
          <w:tcPr>
            <w:tcW w:w="25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784</w:t>
            </w:r>
          </w:p>
        </w:tc>
        <w:tc>
          <w:tcPr>
            <w:tcW w:w="32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乔木层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麻栎（</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Quercus acutissima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17</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23</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青冈（</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TCyclobalanopsis glauca(Thunb.)Oerst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11</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9</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18</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4*5</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栓皮栎</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 xml:space="preserve">Quercus variabilis </w:t>
            </w:r>
            <w:r>
              <w:rPr>
                <w:rFonts w:hint="default" w:ascii="Times New Roman" w:hAnsi="Times New Roman" w:eastAsia="宋体" w:cs="Times New Roman"/>
                <w:b w:val="0"/>
                <w:bCs/>
                <w:i w:val="0"/>
                <w:iCs w:val="0"/>
                <w:color w:val="000000" w:themeColor="text1"/>
                <w:sz w:val="21"/>
                <w:szCs w:val="21"/>
                <w:highlight w:val="none"/>
                <w:lang w:val="en-US" w:eastAsia="zh-CN"/>
                <w14:textFill>
                  <w14:solidFill>
                    <w14:schemeClr w14:val="tx1"/>
                  </w14:solidFill>
                </w14:textFill>
              </w:rPr>
              <w:t>Bl.</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11</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灌木层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小果蔷薇（</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Rosa cymosa</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金山荚蒾（</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Viburnum chinshanense</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7</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球核荚蒾（</w:t>
            </w:r>
            <w:r>
              <w:rPr>
                <w:rStyle w:val="61"/>
                <w:rFonts w:hint="default" w:ascii="Times New Roman" w:hAnsi="Times New Roman" w:eastAsia="宋体" w:cs="Times New Roman"/>
                <w:i w:val="0"/>
                <w:iCs/>
                <w:color w:val="000000" w:themeColor="text1"/>
                <w:sz w:val="21"/>
                <w:szCs w:val="21"/>
                <w:highlight w:val="none"/>
                <w:shd w:val="clear" w:color="auto" w:fill="FFFFFF"/>
                <w14:textFill>
                  <w14:solidFill>
                    <w14:schemeClr w14:val="tx1"/>
                  </w14:solidFill>
                </w14:textFill>
              </w:rPr>
              <w:t xml:space="preserve">Viburnum propinquum </w:t>
            </w:r>
            <w:r>
              <w:rPr>
                <w:rFonts w:hint="default" w:ascii="Times New Roman" w:hAnsi="Times New Roman" w:eastAsia="宋体" w:cs="Times New Roman"/>
                <w:color w:val="000000" w:themeColor="text1"/>
                <w:sz w:val="21"/>
                <w:szCs w:val="21"/>
                <w:highlight w:val="none"/>
                <w14:textFill>
                  <w14:solidFill>
                    <w14:schemeClr w14:val="tx1"/>
                  </w14:solidFill>
                </w14:textFill>
              </w:rPr>
              <w:t>Hemsl.</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1.2</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杜鹃（</w:t>
            </w:r>
            <w:r>
              <w:rPr>
                <w:rFonts w:hint="default" w:ascii="Times New Roman" w:hAnsi="Times New Roman" w:eastAsia="宋体" w:cs="Times New Roman"/>
                <w:i/>
                <w:iCs/>
                <w:color w:val="000000" w:themeColor="text1"/>
                <w:sz w:val="21"/>
                <w:szCs w:val="21"/>
                <w:highlight w:val="none"/>
                <w14:textFill>
                  <w14:solidFill>
                    <w14:schemeClr w14:val="tx1"/>
                  </w14:solidFill>
                </w14:textFill>
              </w:rPr>
              <w:t xml:space="preserve">Rhododendron simsii </w:t>
            </w:r>
            <w:r>
              <w:rPr>
                <w:rFonts w:hint="default" w:ascii="Times New Roman" w:hAnsi="Times New Roman" w:eastAsia="宋体" w:cs="Times New Roman"/>
                <w:color w:val="000000" w:themeColor="text1"/>
                <w:sz w:val="21"/>
                <w:szCs w:val="21"/>
                <w:highlight w:val="none"/>
                <w14:textFill>
                  <w14:solidFill>
                    <w14:schemeClr w14:val="tx1"/>
                  </w14:solidFill>
                </w14:textFill>
              </w:rPr>
              <w:t>Planch.</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1.1</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盐肤木（</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Rhus chinensis</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乌蕨（</w:t>
            </w:r>
            <w:r>
              <w:rPr>
                <w:rFonts w:hint="default" w:ascii="Times New Roman" w:hAnsi="Times New Roman" w:eastAsia="宋体" w:cs="Times New Roman"/>
                <w:i/>
                <w:iCs/>
                <w:color w:val="000000" w:themeColor="text1"/>
                <w:spacing w:val="-2"/>
                <w:sz w:val="21"/>
                <w:szCs w:val="21"/>
                <w:highlight w:val="none"/>
                <w14:textFill>
                  <w14:solidFill>
                    <w14:schemeClr w14:val="tx1"/>
                  </w14:solidFill>
                </w14:textFill>
              </w:rPr>
              <w:t>Odontosoria</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 xml:space="preserve"> </w:t>
            </w:r>
            <w:r>
              <w:rPr>
                <w:rFonts w:hint="default" w:ascii="Times New Roman" w:hAnsi="Times New Roman" w:eastAsia="宋体" w:cs="Times New Roman"/>
                <w:i/>
                <w:iCs/>
                <w:color w:val="000000" w:themeColor="text1"/>
                <w:spacing w:val="-2"/>
                <w:sz w:val="21"/>
                <w:szCs w:val="21"/>
                <w:highlight w:val="none"/>
                <w14:textFill>
                  <w14:solidFill>
                    <w14:schemeClr w14:val="tx1"/>
                  </w14:solidFill>
                </w14:textFill>
              </w:rPr>
              <w:t>chinensis</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1.35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val="en-US" w:eastAsia="zh-CN"/>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芒萁</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Dicranopteris dichotoma</w:t>
            </w:r>
            <w:r>
              <w:rPr>
                <w:rFonts w:hint="eastAsia" w:cs="Times New Roman"/>
                <w:b w:val="0"/>
                <w:bCs/>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val="en-US" w:eastAsia="zh-CN"/>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芒</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Miscanthus sinensis</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Sp.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野艾蒿（</w:t>
            </w:r>
            <w:r>
              <w:rPr>
                <w:rFonts w:hint="default" w:ascii="Times New Roman" w:hAnsi="Times New Roman" w:eastAsia="宋体" w:cs="Times New Roman"/>
                <w:i/>
                <w:color w:val="000000" w:themeColor="text1"/>
                <w:sz w:val="21"/>
                <w:szCs w:val="21"/>
                <w:highlight w:val="none"/>
                <w14:textFill>
                  <w14:solidFill>
                    <w14:schemeClr w14:val="tx1"/>
                  </w14:solidFill>
                </w14:textFill>
              </w:rPr>
              <w:t>Artemisia lavandulaefolia</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0.9</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Soc</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样方2  麻栎、青冈、栓皮栎群系样地表（2）</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3521"/>
        <w:gridCol w:w="800"/>
        <w:gridCol w:w="531"/>
        <w:gridCol w:w="528"/>
        <w:gridCol w:w="552"/>
        <w:gridCol w:w="463"/>
        <w:gridCol w:w="441"/>
        <w:gridCol w:w="563"/>
        <w:gridCol w:w="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107.8072,31.5579</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w:t>
            </w:r>
            <w:r>
              <w:rPr>
                <w:rFonts w:hint="eastAsia" w:cs="Times New Roman"/>
                <w:b w:val="0"/>
                <w:bCs/>
                <w:color w:val="000000" w:themeColor="text1"/>
                <w:sz w:val="21"/>
                <w:szCs w:val="21"/>
                <w:highlight w:val="none"/>
                <w:lang w:eastAsia="zh-CN"/>
                <w14:textFill>
                  <w14:solidFill>
                    <w14:schemeClr w14:val="tx1"/>
                  </w14:solidFill>
                </w14:textFill>
              </w:rPr>
              <w:t>）</w:t>
            </w:r>
          </w:p>
        </w:tc>
        <w:tc>
          <w:tcPr>
            <w:tcW w:w="25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806</w:t>
            </w:r>
          </w:p>
        </w:tc>
        <w:tc>
          <w:tcPr>
            <w:tcW w:w="32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乔木层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麻栎（</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Quercus acutissima</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24</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青冈（</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TCyclobalanopsis glauca</w:t>
            </w:r>
            <w:r>
              <w:rPr>
                <w:rFonts w:hint="default" w:ascii="Times New Roman" w:hAnsi="Times New Roman" w:eastAsia="宋体" w:cs="Times New Roman"/>
                <w:b w:val="0"/>
                <w:bCs/>
                <w:i w:val="0"/>
                <w:iCs w:val="0"/>
                <w:color w:val="000000" w:themeColor="text1"/>
                <w:sz w:val="21"/>
                <w:szCs w:val="21"/>
                <w:highlight w:val="none"/>
                <w:lang w:val="en-US" w:eastAsia="zh-CN"/>
                <w14:textFill>
                  <w14:solidFill>
                    <w14:schemeClr w14:val="tx1"/>
                  </w14:solidFill>
                </w14:textFill>
              </w:rPr>
              <w:t>（Thunb.）Oerst.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栓皮栎</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 xml:space="preserve">Quercus variabilis </w:t>
            </w:r>
            <w:r>
              <w:rPr>
                <w:rFonts w:hint="default" w:ascii="Times New Roman" w:hAnsi="Times New Roman" w:eastAsia="宋体" w:cs="Times New Roman"/>
                <w:b w:val="0"/>
                <w:bCs/>
                <w:i w:val="0"/>
                <w:iCs w:val="0"/>
                <w:color w:val="000000" w:themeColor="text1"/>
                <w:sz w:val="21"/>
                <w:szCs w:val="21"/>
                <w:highlight w:val="none"/>
                <w:lang w:val="en-US" w:eastAsia="zh-CN"/>
                <w14:textFill>
                  <w14:solidFill>
                    <w14:schemeClr w14:val="tx1"/>
                  </w14:solidFill>
                </w14:textFill>
              </w:rPr>
              <w:t>Bl.</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12</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灌木层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铁仔（</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Myrsine africana</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1.85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8</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小果蔷薇（</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Rosa cymosa</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1.35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85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乌泡子（</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Rubus parkeri</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8</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盐肤木（</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Rhus chinensis</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1.45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胡颓子（</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Elaeagnus pungens Thunb.</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1.5</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垂穗鹅观草（</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Roegneria nutans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0.9</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Soc</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早熟禾（</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Poa annua</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栗褐苔草（</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Carex brunnea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Thunb.）</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三叶鬼针草（</w:t>
            </w:r>
            <w:r>
              <w:rPr>
                <w:rFonts w:hint="default" w:ascii="Times New Roman" w:hAnsi="Times New Roman" w:eastAsia="宋体" w:cs="Times New Roman"/>
                <w:b w:val="0"/>
                <w:bCs/>
                <w:i/>
                <w:color w:val="000000" w:themeColor="text1"/>
                <w:sz w:val="21"/>
                <w:szCs w:val="21"/>
                <w:highlight w:val="none"/>
                <w14:textFill>
                  <w14:solidFill>
                    <w14:schemeClr w14:val="tx1"/>
                  </w14:solidFill>
                </w14:textFill>
              </w:rPr>
              <w:t>Bidens pilosa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0.5</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样方2  麻栎、青冈、栓皮栎群系样地表（3）</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3507"/>
        <w:gridCol w:w="800"/>
        <w:gridCol w:w="531"/>
        <w:gridCol w:w="516"/>
        <w:gridCol w:w="635"/>
        <w:gridCol w:w="451"/>
        <w:gridCol w:w="429"/>
        <w:gridCol w:w="550"/>
        <w:gridCol w:w="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107.8096,31.5587</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w:t>
            </w:r>
            <w:r>
              <w:rPr>
                <w:rFonts w:hint="eastAsia" w:cs="Times New Roman"/>
                <w:b w:val="0"/>
                <w:bCs/>
                <w:color w:val="000000" w:themeColor="text1"/>
                <w:sz w:val="21"/>
                <w:szCs w:val="21"/>
                <w:highlight w:val="none"/>
                <w:lang w:eastAsia="zh-CN"/>
                <w14:textFill>
                  <w14:solidFill>
                    <w14:schemeClr w14:val="tx1"/>
                  </w14:solidFill>
                </w14:textFill>
              </w:rPr>
              <w:t>）</w:t>
            </w:r>
          </w:p>
        </w:tc>
        <w:tc>
          <w:tcPr>
            <w:tcW w:w="25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781</w:t>
            </w:r>
          </w:p>
        </w:tc>
        <w:tc>
          <w:tcPr>
            <w:tcW w:w="32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乔木层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麻栎（</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Quercus acutissima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19</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24</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青冈（</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TCyclobalanopsis glauca(Thunb.)Oerst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17</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4*5</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栓皮栎</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 xml:space="preserve">Quercus variabilis </w:t>
            </w:r>
            <w:r>
              <w:rPr>
                <w:rFonts w:hint="default" w:ascii="Times New Roman" w:hAnsi="Times New Roman" w:eastAsia="宋体" w:cs="Times New Roman"/>
                <w:b w:val="0"/>
                <w:bCs/>
                <w:i w:val="0"/>
                <w:iCs w:val="0"/>
                <w:color w:val="000000" w:themeColor="text1"/>
                <w:sz w:val="21"/>
                <w:szCs w:val="21"/>
                <w:highlight w:val="none"/>
                <w:lang w:val="en-US" w:eastAsia="zh-CN"/>
                <w14:textFill>
                  <w14:solidFill>
                    <w14:schemeClr w14:val="tx1"/>
                  </w14:solidFill>
                </w14:textFill>
              </w:rPr>
              <w:t>Bl.</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灌木层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小果蔷薇（</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Rosa cymosa</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1.3</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盐肤木（</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Rhus chinensis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6</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截叶铁扫帚（</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Lespedeza cuneata</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1.25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8</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1.5</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乌泡子（</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Rubus parkeri</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1.35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7</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高粱泡（</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Rubus lambertianus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截叶铁扫帚（</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Lespedeza cuneata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蒿</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Artemisia</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0.9</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白茅</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Imperata cylindrica (L.) Beauv.</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芒萁</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Dicranopteris dichotoma</w:t>
            </w:r>
            <w:r>
              <w:rPr>
                <w:rFonts w:hint="eastAsia" w:cs="Times New Roman"/>
                <w:b w:val="0"/>
                <w:bCs/>
                <w:i/>
                <w:i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蕺菜</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Houttuynia cordata Thunb</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0.65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单芽狗脊（</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Woodwardia unigemmata</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野青茅（</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Deyeuxia arundinacea (L.) Beauv.</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苔草（</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Carex tristachya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0.65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荩草（</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Gramineae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层外</w:t>
            </w:r>
          </w:p>
        </w:tc>
        <w:tc>
          <w:tcPr>
            <w:tcW w:w="4697" w:type="pct"/>
            <w:gridSpan w:val="9"/>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托柄菝葜</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Smilax discotis</w:t>
            </w:r>
            <w:r>
              <w:rPr>
                <w:rFonts w:hint="eastAsia" w:cs="Times New Roman"/>
                <w:b w:val="0"/>
                <w:bCs/>
                <w:i/>
                <w:i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、三叶木通</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Akebia trifoliata</w:t>
            </w:r>
            <w:r>
              <w:rPr>
                <w:rFonts w:hint="eastAsia" w:cs="Times New Roman"/>
                <w:b w:val="0"/>
                <w:bCs/>
                <w:i/>
                <w:i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、三裂蛇葡萄</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Ampelopsis delavayana</w:t>
            </w:r>
            <w:r>
              <w:rPr>
                <w:rFonts w:hint="eastAsia" w:cs="Times New Roman"/>
                <w:b w:val="0"/>
                <w:bCs/>
                <w:i/>
                <w:iCs/>
                <w:color w:val="000000" w:themeColor="text1"/>
                <w:sz w:val="21"/>
                <w:szCs w:val="21"/>
                <w:highlight w:val="none"/>
                <w:lang w:eastAsia="zh-CN"/>
                <w14:textFill>
                  <w14:solidFill>
                    <w14:schemeClr w14:val="tx1"/>
                  </w14:solidFill>
                </w14:textFill>
              </w:rPr>
              <w:t>）</w:t>
            </w: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样方3 马桑、黄荆、火棘、荚蒾灌丛群系样方表（1）</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8"/>
        <w:gridCol w:w="3527"/>
        <w:gridCol w:w="800"/>
        <w:gridCol w:w="531"/>
        <w:gridCol w:w="426"/>
        <w:gridCol w:w="635"/>
        <w:gridCol w:w="454"/>
        <w:gridCol w:w="447"/>
        <w:gridCol w:w="568"/>
        <w:gridCol w:w="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107.8092,31.5576</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海拔（m）</w:t>
            </w:r>
          </w:p>
        </w:tc>
        <w:tc>
          <w:tcPr>
            <w:tcW w:w="326"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779</w:t>
            </w:r>
          </w:p>
        </w:tc>
        <w:tc>
          <w:tcPr>
            <w:tcW w:w="258"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灌木层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野桐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Mallotus</w:t>
            </w: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tenuifolius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2.0</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火棘</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Pyracantha fortuneana</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2.25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黄荆</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Vitex negundo</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2.3</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9</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荚蒾（</w:t>
            </w:r>
            <w:r>
              <w:rPr>
                <w:rFonts w:hint="default" w:ascii="Times New Roman" w:hAnsi="Times New Roman" w:eastAsia="宋体" w:cs="Times New Roman"/>
                <w:b w:val="0"/>
                <w:bCs/>
                <w:i/>
                <w:iCs/>
                <w:color w:val="000000" w:themeColor="text1"/>
                <w:position w:val="3"/>
                <w:sz w:val="21"/>
                <w:szCs w:val="21"/>
                <w:highlight w:val="none"/>
                <w14:textFill>
                  <w14:solidFill>
                    <w14:schemeClr w14:val="tx1"/>
                  </w14:solidFill>
                </w14:textFill>
              </w:rPr>
              <w:t>Viburnum dilatatum</w:t>
            </w: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马桑</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Coriaria nepalensis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6</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槲栎（</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Quercus aliena</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1.55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盐肤木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Rhus</w:t>
            </w: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chinens</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is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糙苏</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Phlomis umbrosa</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聚花过路黄</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Lysimachia congestiflora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Hemsl.</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蕺菜</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Houttuynia cordata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Thunb</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车前（</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Plantago asitica</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both"/>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龙牙草（</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Agrmonia pilosa</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葎草</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Humulus scandens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0.4</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5"/>
                <w:sz w:val="21"/>
                <w:szCs w:val="21"/>
                <w:highlight w:val="none"/>
                <w14:textFill>
                  <w14:solidFill>
                    <w14:schemeClr w14:val="tx1"/>
                  </w14:solidFill>
                </w14:textFill>
              </w:rPr>
              <w:t xml:space="preserve">华南毛蕨 </w:t>
            </w:r>
            <w:r>
              <w:rPr>
                <w:rFonts w:hint="default" w:ascii="Times New Roman" w:hAnsi="Times New Roman" w:eastAsia="宋体" w:cs="Times New Roman"/>
                <w:b w:val="0"/>
                <w:bCs/>
                <w:i/>
                <w:iCs/>
                <w:color w:val="000000" w:themeColor="text1"/>
                <w:spacing w:val="-5"/>
                <w:sz w:val="21"/>
                <w:szCs w:val="21"/>
                <w:highlight w:val="none"/>
                <w14:textFill>
                  <w14:solidFill>
                    <w14:schemeClr w14:val="tx1"/>
                  </w14:solidFill>
                </w14:textFill>
              </w:rPr>
              <w:t>Cyclosorus</w:t>
            </w:r>
            <w:r>
              <w:rPr>
                <w:rFonts w:hint="default" w:ascii="Times New Roman" w:hAnsi="Times New Roman" w:eastAsia="宋体" w:cs="Times New Roman"/>
                <w:b w:val="0"/>
                <w:bCs/>
                <w:color w:val="000000" w:themeColor="text1"/>
                <w:spacing w:val="-5"/>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5"/>
                <w:sz w:val="21"/>
                <w:szCs w:val="21"/>
                <w:highlight w:val="none"/>
                <w14:textFill>
                  <w14:solidFill>
                    <w14:schemeClr w14:val="tx1"/>
                  </w14:solidFill>
                </w14:textFill>
              </w:rPr>
              <w:t>parasiticus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0.5</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5"/>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4"/>
                <w:sz w:val="21"/>
                <w:szCs w:val="21"/>
                <w:highlight w:val="none"/>
                <w14:textFill>
                  <w14:solidFill>
                    <w14:schemeClr w14:val="tx1"/>
                  </w14:solidFill>
                </w14:textFill>
              </w:rPr>
              <w:t>异叶黄鹌菜</w:t>
            </w: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1"/>
                <w:szCs w:val="21"/>
                <w:highlight w:val="none"/>
                <w14:textFill>
                  <w14:solidFill>
                    <w14:schemeClr w14:val="tx1"/>
                  </w14:solidFill>
                </w14:textFill>
              </w:rPr>
              <w:t>Youngia</w:t>
            </w: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1"/>
                <w:szCs w:val="21"/>
                <w:highlight w:val="none"/>
                <w14:textFill>
                  <w14:solidFill>
                    <w14:schemeClr w14:val="tx1"/>
                  </w14:solidFill>
                </w14:textFill>
              </w:rPr>
              <w:t>heterophylla</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样方3 马桑、黄荆、火棘、荚蒾灌丛群系样方表（2）</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8"/>
        <w:gridCol w:w="3527"/>
        <w:gridCol w:w="800"/>
        <w:gridCol w:w="531"/>
        <w:gridCol w:w="426"/>
        <w:gridCol w:w="635"/>
        <w:gridCol w:w="454"/>
        <w:gridCol w:w="447"/>
        <w:gridCol w:w="568"/>
        <w:gridCol w:w="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107.8043,31.5574</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海拔（m）</w:t>
            </w:r>
          </w:p>
        </w:tc>
        <w:tc>
          <w:tcPr>
            <w:tcW w:w="326"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805</w:t>
            </w:r>
          </w:p>
        </w:tc>
        <w:tc>
          <w:tcPr>
            <w:tcW w:w="258"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NW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灌木层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野桐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Mallotus</w:t>
            </w: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tenuifolius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火棘</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Pyracantha fortuneana</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2.35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黄荆</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Vitex negundo</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2.0</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7</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荚蒾（</w:t>
            </w:r>
            <w:r>
              <w:rPr>
                <w:rFonts w:hint="default" w:ascii="Times New Roman" w:hAnsi="Times New Roman" w:eastAsia="宋体" w:cs="Times New Roman"/>
                <w:b w:val="0"/>
                <w:bCs/>
                <w:i/>
                <w:iCs/>
                <w:color w:val="000000" w:themeColor="text1"/>
                <w:position w:val="3"/>
                <w:sz w:val="21"/>
                <w:szCs w:val="21"/>
                <w:highlight w:val="none"/>
                <w14:textFill>
                  <w14:solidFill>
                    <w14:schemeClr w14:val="tx1"/>
                  </w14:solidFill>
                </w14:textFill>
              </w:rPr>
              <w:t>Viburnum dilatatum</w:t>
            </w: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2.1</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马桑</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Coriaria nepalensis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1.8</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6</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杜鹃（</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Rhododendron simsii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Planch.</w:t>
            </w: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0.8</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山胡椒</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Lindera sp.</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 xml:space="preserve">细枝柃 </w:t>
            </w:r>
            <w:r>
              <w:rPr>
                <w:rFonts w:hint="default" w:ascii="Times New Roman" w:hAnsi="Times New Roman" w:eastAsia="宋体" w:cs="Times New Roman"/>
                <w:b w:val="0"/>
                <w:bCs/>
                <w:i/>
                <w:iCs/>
                <w:color w:val="000000" w:themeColor="text1"/>
                <w:spacing w:val="-2"/>
                <w:sz w:val="21"/>
                <w:szCs w:val="21"/>
                <w:highlight w:val="none"/>
                <w14:textFill>
                  <w14:solidFill>
                    <w14:schemeClr w14:val="tx1"/>
                  </w14:solidFill>
                </w14:textFill>
              </w:rPr>
              <w:t>Eurya</w:t>
            </w: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1"/>
                <w:szCs w:val="21"/>
                <w:highlight w:val="none"/>
                <w14:textFill>
                  <w14:solidFill>
                    <w14:schemeClr w14:val="tx1"/>
                  </w14:solidFill>
                </w14:textFill>
              </w:rPr>
              <w:t>loquaiana</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 xml:space="preserve">宜昌悬钩子 </w:t>
            </w:r>
            <w:r>
              <w:rPr>
                <w:rFonts w:hint="default" w:ascii="Times New Roman" w:hAnsi="Times New Roman" w:eastAsia="宋体" w:cs="Times New Roman"/>
                <w:b w:val="0"/>
                <w:bCs/>
                <w:i/>
                <w:iCs/>
                <w:color w:val="000000" w:themeColor="text1"/>
                <w:spacing w:val="-2"/>
                <w:sz w:val="21"/>
                <w:szCs w:val="21"/>
                <w:highlight w:val="none"/>
                <w14:textFill>
                  <w14:solidFill>
                    <w14:schemeClr w14:val="tx1"/>
                  </w14:solidFill>
                </w14:textFill>
              </w:rPr>
              <w:t>Rubus</w:t>
            </w: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1"/>
                <w:szCs w:val="21"/>
                <w:highlight w:val="none"/>
                <w14:textFill>
                  <w14:solidFill>
                    <w14:schemeClr w14:val="tx1"/>
                  </w14:solidFill>
                </w14:textFill>
              </w:rPr>
              <w:t>ichangen</w:t>
            </w:r>
            <w:r>
              <w:rPr>
                <w:rFonts w:hint="default" w:ascii="Times New Roman" w:hAnsi="Times New Roman" w:eastAsia="宋体" w:cs="Times New Roman"/>
                <w:b w:val="0"/>
                <w:bCs/>
                <w:i/>
                <w:iCs/>
                <w:color w:val="000000" w:themeColor="text1"/>
                <w:spacing w:val="-1"/>
                <w:sz w:val="21"/>
                <w:szCs w:val="21"/>
                <w:highlight w:val="none"/>
                <w14:textFill>
                  <w14:solidFill>
                    <w14:schemeClr w14:val="tx1"/>
                  </w14:solidFill>
                </w14:textFill>
              </w:rPr>
              <w:t>s</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is</w:t>
            </w: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 xml:space="preserve"> </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1.3</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 xml:space="preserve">淡竹叶 </w:t>
            </w:r>
            <w:r>
              <w:rPr>
                <w:rFonts w:hint="default" w:ascii="Times New Roman" w:hAnsi="Times New Roman" w:eastAsia="宋体" w:cs="Times New Roman"/>
                <w:b w:val="0"/>
                <w:bCs/>
                <w:i/>
                <w:iCs/>
                <w:color w:val="000000" w:themeColor="text1"/>
                <w:spacing w:val="-8"/>
                <w:sz w:val="21"/>
                <w:szCs w:val="21"/>
                <w:highlight w:val="none"/>
                <w14:textFill>
                  <w14:solidFill>
                    <w14:schemeClr w14:val="tx1"/>
                  </w14:solidFill>
                </w14:textFill>
              </w:rPr>
              <w:t>Lophatherum</w:t>
            </w: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8"/>
                <w:sz w:val="21"/>
                <w:szCs w:val="21"/>
                <w:highlight w:val="none"/>
                <w14:textFill>
                  <w14:solidFill>
                    <w14:schemeClr w14:val="tx1"/>
                  </w14:solidFill>
                </w14:textFill>
              </w:rPr>
              <w:t>gracile</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0.95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Soc</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披针叶苔草（</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Carex lanceolata</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ab/>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Boott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车前</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Plantago asiatica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L.</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聚花过路黄</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Lysimachia congestiflora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Hemsl.</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蕺菜</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Houttuynia cordata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Thunb</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草莓</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Fragaria ananassa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Duch.</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0.4</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野青茅（</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Deyeuxia arundinacea (L.) Beauv.</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5"/>
                <w:sz w:val="21"/>
                <w:szCs w:val="21"/>
                <w:highlight w:val="none"/>
                <w14:textFill>
                  <w14:solidFill>
                    <w14:schemeClr w14:val="tx1"/>
                  </w14:solidFill>
                </w14:textFill>
              </w:rPr>
              <w:t xml:space="preserve">华南毛蕨 </w:t>
            </w:r>
            <w:r>
              <w:rPr>
                <w:rFonts w:hint="default" w:ascii="Times New Roman" w:hAnsi="Times New Roman" w:eastAsia="宋体" w:cs="Times New Roman"/>
                <w:b w:val="0"/>
                <w:bCs/>
                <w:i/>
                <w:iCs/>
                <w:color w:val="000000" w:themeColor="text1"/>
                <w:spacing w:val="-5"/>
                <w:sz w:val="21"/>
                <w:szCs w:val="21"/>
                <w:highlight w:val="none"/>
                <w14:textFill>
                  <w14:solidFill>
                    <w14:schemeClr w14:val="tx1"/>
                  </w14:solidFill>
                </w14:textFill>
              </w:rPr>
              <w:t>Cyclosorus</w:t>
            </w:r>
            <w:r>
              <w:rPr>
                <w:rFonts w:hint="default" w:ascii="Times New Roman" w:hAnsi="Times New Roman" w:eastAsia="宋体" w:cs="Times New Roman"/>
                <w:b w:val="0"/>
                <w:bCs/>
                <w:color w:val="000000" w:themeColor="text1"/>
                <w:spacing w:val="-5"/>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5"/>
                <w:sz w:val="21"/>
                <w:szCs w:val="21"/>
                <w:highlight w:val="none"/>
                <w14:textFill>
                  <w14:solidFill>
                    <w14:schemeClr w14:val="tx1"/>
                  </w14:solidFill>
                </w14:textFill>
              </w:rPr>
              <w:t>parasiticus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0.5</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样方3 马桑、黄荆、火棘、荚蒾灌丛群系样方表（3）</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8"/>
        <w:gridCol w:w="3527"/>
        <w:gridCol w:w="800"/>
        <w:gridCol w:w="531"/>
        <w:gridCol w:w="426"/>
        <w:gridCol w:w="635"/>
        <w:gridCol w:w="454"/>
        <w:gridCol w:w="447"/>
        <w:gridCol w:w="568"/>
        <w:gridCol w:w="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107.8058,31.5589</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海拔（m）</w:t>
            </w:r>
          </w:p>
        </w:tc>
        <w:tc>
          <w:tcPr>
            <w:tcW w:w="326"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818</w:t>
            </w:r>
          </w:p>
        </w:tc>
        <w:tc>
          <w:tcPr>
            <w:tcW w:w="258"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灌木层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火棘</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Pyracantha fortuneana</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黄荆</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Vitex negundo</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荚蒾（</w:t>
            </w:r>
            <w:r>
              <w:rPr>
                <w:rFonts w:hint="default" w:ascii="Times New Roman" w:hAnsi="Times New Roman" w:eastAsia="宋体" w:cs="Times New Roman"/>
                <w:b w:val="0"/>
                <w:bCs/>
                <w:i/>
                <w:iCs/>
                <w:color w:val="000000" w:themeColor="text1"/>
                <w:position w:val="3"/>
                <w:sz w:val="21"/>
                <w:szCs w:val="21"/>
                <w:highlight w:val="none"/>
                <w14:textFill>
                  <w14:solidFill>
                    <w14:schemeClr w14:val="tx1"/>
                  </w14:solidFill>
                </w14:textFill>
              </w:rPr>
              <w:t>Viburnum dilatatum</w:t>
            </w: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马桑</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Coriaria nepalensis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美丽胡枝子</w:t>
            </w:r>
            <w:r>
              <w:rPr>
                <w:rFonts w:hint="default" w:ascii="Times New Roman" w:hAnsi="Times New Roman" w:eastAsia="宋体" w:cs="Times New Roman"/>
                <w:i/>
                <w:iCs/>
                <w:color w:val="000000" w:themeColor="text1"/>
                <w:sz w:val="21"/>
                <w:szCs w:val="21"/>
                <w:highlight w:val="none"/>
                <w14:textFill>
                  <w14:solidFill>
                    <w14:schemeClr w14:val="tx1"/>
                  </w14:solidFill>
                </w14:textFill>
              </w:rPr>
              <w:t>Lespedeza formosa</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 xml:space="preserve">细枝柃 </w:t>
            </w:r>
            <w:r>
              <w:rPr>
                <w:rFonts w:hint="default" w:ascii="Times New Roman" w:hAnsi="Times New Roman" w:eastAsia="宋体" w:cs="Times New Roman"/>
                <w:b w:val="0"/>
                <w:bCs/>
                <w:i/>
                <w:iCs/>
                <w:color w:val="000000" w:themeColor="text1"/>
                <w:spacing w:val="-2"/>
                <w:sz w:val="21"/>
                <w:szCs w:val="21"/>
                <w:highlight w:val="none"/>
                <w14:textFill>
                  <w14:solidFill>
                    <w14:schemeClr w14:val="tx1"/>
                  </w14:solidFill>
                </w14:textFill>
              </w:rPr>
              <w:t>Eurya</w:t>
            </w:r>
            <w:r>
              <w:rPr>
                <w:rFonts w:hint="default" w:ascii="Times New Roman" w:hAnsi="Times New Roman" w:eastAsia="宋体" w:cs="Times New Roman"/>
                <w:b w:val="0"/>
                <w:bCs/>
                <w:color w:val="000000" w:themeColor="text1"/>
                <w:spacing w:val="-2"/>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1"/>
                <w:szCs w:val="21"/>
                <w:highlight w:val="none"/>
                <w14:textFill>
                  <w14:solidFill>
                    <w14:schemeClr w14:val="tx1"/>
                  </w14:solidFill>
                </w14:textFill>
              </w:rPr>
              <w:t>loquaiana</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8"/>
                <w:sz w:val="21"/>
                <w:szCs w:val="21"/>
                <w:highlight w:val="none"/>
                <w14:textFill>
                  <w14:solidFill>
                    <w14:schemeClr w14:val="tx1"/>
                  </w14:solidFill>
                </w14:textFill>
              </w:rPr>
              <w:t>荩</w:t>
            </w:r>
            <w:r>
              <w:rPr>
                <w:rFonts w:hint="default" w:ascii="Times New Roman" w:hAnsi="Times New Roman" w:eastAsia="宋体" w:cs="Times New Roman"/>
                <w:b w:val="0"/>
                <w:bCs/>
                <w:color w:val="000000" w:themeColor="text1"/>
                <w:spacing w:val="-4"/>
                <w:sz w:val="21"/>
                <w:szCs w:val="21"/>
                <w:highlight w:val="none"/>
                <w14:textFill>
                  <w14:solidFill>
                    <w14:schemeClr w14:val="tx1"/>
                  </w14:solidFill>
                </w14:textFill>
              </w:rPr>
              <w:t xml:space="preserve">草 </w:t>
            </w:r>
            <w:r>
              <w:rPr>
                <w:rFonts w:hint="default" w:ascii="Times New Roman" w:hAnsi="Times New Roman" w:eastAsia="宋体" w:cs="Times New Roman"/>
                <w:b w:val="0"/>
                <w:bCs/>
                <w:i/>
                <w:iCs/>
                <w:color w:val="000000" w:themeColor="text1"/>
                <w:spacing w:val="-4"/>
                <w:sz w:val="21"/>
                <w:szCs w:val="21"/>
                <w:highlight w:val="none"/>
                <w14:textFill>
                  <w14:solidFill>
                    <w14:schemeClr w14:val="tx1"/>
                  </w14:solidFill>
                </w14:textFill>
              </w:rPr>
              <w:t>Hedyoti</w:t>
            </w:r>
            <w:r>
              <w:rPr>
                <w:rFonts w:hint="default" w:ascii="Times New Roman" w:hAnsi="Times New Roman" w:eastAsia="宋体" w:cs="Times New Roman"/>
                <w:b w:val="0"/>
                <w:bCs/>
                <w:i/>
                <w:iCs/>
                <w:color w:val="000000" w:themeColor="text1"/>
                <w:spacing w:val="-2"/>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pacing w:val="-4"/>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2"/>
                <w:sz w:val="21"/>
                <w:szCs w:val="21"/>
                <w:highlight w:val="none"/>
                <w14:textFill>
                  <w14:solidFill>
                    <w14:schemeClr w14:val="tx1"/>
                  </w14:solidFill>
                </w14:textFill>
              </w:rPr>
              <w:t>acutangular</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0.85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葎草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Humulus</w:t>
            </w: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scandens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0.45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Sp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酸模叶蓼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Rumex</w:t>
            </w: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hastatus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Sp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3"/>
                <w:sz w:val="21"/>
                <w:szCs w:val="21"/>
                <w:highlight w:val="none"/>
                <w14:textFill>
                  <w14:solidFill>
                    <w14:schemeClr w14:val="tx1"/>
                  </w14:solidFill>
                </w14:textFill>
              </w:rPr>
              <w:t xml:space="preserve">蒲儿根 </w:t>
            </w:r>
            <w:r>
              <w:rPr>
                <w:rFonts w:hint="default" w:ascii="Times New Roman" w:hAnsi="Times New Roman" w:eastAsia="宋体" w:cs="Times New Roman"/>
                <w:b w:val="0"/>
                <w:bCs/>
                <w:i/>
                <w:iCs/>
                <w:color w:val="000000" w:themeColor="text1"/>
                <w:spacing w:val="-3"/>
                <w:sz w:val="21"/>
                <w:szCs w:val="21"/>
                <w:highlight w:val="none"/>
                <w14:textFill>
                  <w14:solidFill>
                    <w14:schemeClr w14:val="tx1"/>
                  </w14:solidFill>
                </w14:textFill>
              </w:rPr>
              <w:t>Sinosen</w:t>
            </w:r>
            <w:r>
              <w:rPr>
                <w:rFonts w:hint="default" w:ascii="Times New Roman" w:hAnsi="Times New Roman" w:eastAsia="宋体" w:cs="Times New Roman"/>
                <w:b w:val="0"/>
                <w:bCs/>
                <w:i/>
                <w:iCs/>
                <w:color w:val="000000" w:themeColor="text1"/>
                <w:spacing w:val="-1"/>
                <w:sz w:val="21"/>
                <w:szCs w:val="21"/>
                <w:highlight w:val="none"/>
                <w14:textFill>
                  <w14:solidFill>
                    <w14:schemeClr w14:val="tx1"/>
                  </w14:solidFill>
                </w14:textFill>
              </w:rPr>
              <w:t>e</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cio</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b w:val="0"/>
                <w:bCs/>
                <w:i/>
                <w:iCs/>
                <w:color w:val="000000" w:themeColor="text1"/>
                <w:spacing w:val="-5"/>
                <w:sz w:val="21"/>
                <w:szCs w:val="21"/>
                <w:highlight w:val="none"/>
                <w14:textFill>
                  <w14:solidFill>
                    <w14:schemeClr w14:val="tx1"/>
                  </w14:solidFill>
                </w14:textFill>
              </w:rPr>
              <w:t>oldhamianus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白茅</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Imperata cylindrica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 xml:space="preserve"> （Linn.） Beauv.</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0.4</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车前</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Plantago asiatica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L.</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0.4</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5"/>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聚花过路黄</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Lysimachia congestiflora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Hemsl.</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7</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pacing w:val="-5"/>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毛蕨</w:t>
            </w:r>
            <w:r>
              <w:rPr>
                <w:rFonts w:hint="default" w:ascii="Times New Roman" w:hAnsi="Times New Roman" w:eastAsia="宋体" w:cs="Times New Roman"/>
                <w:i/>
                <w:iCs/>
                <w:color w:val="000000" w:themeColor="text1"/>
                <w:sz w:val="21"/>
                <w:szCs w:val="21"/>
                <w:highlight w:val="none"/>
                <w14:textFill>
                  <w14:solidFill>
                    <w14:schemeClr w14:val="tx1"/>
                  </w14:solidFill>
                </w14:textFill>
              </w:rPr>
              <w:t>Cyclosorus interruptus (Willd.) H. Ito</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0.25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样方4  芒、白茅群系样方表（1）</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3509"/>
        <w:gridCol w:w="800"/>
        <w:gridCol w:w="531"/>
        <w:gridCol w:w="516"/>
        <w:gridCol w:w="635"/>
        <w:gridCol w:w="451"/>
        <w:gridCol w:w="430"/>
        <w:gridCol w:w="551"/>
        <w:gridCol w:w="6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107.8046,31.5578</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w:t>
            </w:r>
            <w:r>
              <w:rPr>
                <w:rFonts w:hint="eastAsia" w:cs="Times New Roman"/>
                <w:b w:val="0"/>
                <w:bCs/>
                <w:color w:val="000000" w:themeColor="text1"/>
                <w:sz w:val="21"/>
                <w:szCs w:val="21"/>
                <w:highlight w:val="none"/>
                <w:lang w:eastAsia="zh-CN"/>
                <w14:textFill>
                  <w14:solidFill>
                    <w14:schemeClr w14:val="tx1"/>
                  </w14:solidFill>
                </w14:textFill>
              </w:rPr>
              <w:t>）</w:t>
            </w:r>
          </w:p>
        </w:tc>
        <w:tc>
          <w:tcPr>
            <w:tcW w:w="25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814</w:t>
            </w:r>
          </w:p>
        </w:tc>
        <w:tc>
          <w:tcPr>
            <w:tcW w:w="32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芒</w:t>
            </w:r>
            <w:r>
              <w:rPr>
                <w:rFonts w:hint="default" w:ascii="Times New Roman" w:hAnsi="Times New Roman" w:eastAsia="宋体" w:cs="Times New Roman"/>
                <w:b w:val="0"/>
                <w:bCs/>
                <w:i/>
                <w:color w:val="000000" w:themeColor="text1"/>
                <w:sz w:val="21"/>
                <w:szCs w:val="21"/>
                <w:highlight w:val="none"/>
                <w14:textFill>
                  <w14:solidFill>
                    <w14:schemeClr w14:val="tx1"/>
                  </w14:solidFill>
                </w14:textFill>
              </w:rPr>
              <w:t>Miscanthus sinensis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1.2</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Soc</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白茅</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Imperata cylindrica.</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Soc</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蜈蚣草</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Eremochloa ciliaris (Linn. ) Merr.</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de-D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凤尾蕨</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Pteris cretica L. var. nervosa (Thunb.) Ching et S. H. Wu</w:t>
            </w:r>
            <w:r>
              <w:rPr>
                <w:rStyle w:val="61"/>
                <w:rFonts w:hint="default" w:ascii="Times New Roman" w:hAnsi="Times New Roman" w:eastAsia="宋体" w:cs="Times New Roman"/>
                <w:i/>
                <w:iCs/>
                <w:caps w:val="0"/>
                <w:color w:val="000000" w:themeColor="text1"/>
                <w:spacing w:val="0"/>
                <w:sz w:val="21"/>
                <w:szCs w:val="21"/>
                <w:highlight w:val="none"/>
                <w:shd w:val="clear" w:color="auto" w:fill="FFFFFF"/>
                <w14:textFill>
                  <w14:solidFill>
                    <w14:schemeClr w14:val="tx1"/>
                  </w14:solidFill>
                </w14:textFill>
              </w:rPr>
              <w:t> </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五节芒</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Miscanthus floridulus</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0.40</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eastAsia="zh-CN"/>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狗哇花（</w:t>
            </w:r>
            <w:r>
              <w:rPr>
                <w:rFonts w:hint="default" w:ascii="Times New Roman" w:hAnsi="Times New Roman" w:eastAsia="宋体" w:cs="Times New Roman"/>
                <w:i/>
                <w:iCs/>
                <w:color w:val="000000" w:themeColor="text1"/>
                <w:sz w:val="21"/>
                <w:szCs w:val="21"/>
                <w:highlight w:val="none"/>
                <w14:textFill>
                  <w14:solidFill>
                    <w14:schemeClr w14:val="tx1"/>
                  </w14:solidFill>
                </w14:textFill>
              </w:rPr>
              <w:t>Heteropappus hispidus</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0.95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val="en-US" w:eastAsia="zh-CN"/>
                <w14:textFill>
                  <w14:solidFill>
                    <w14:schemeClr w14:val="tx1"/>
                  </w14:solidFill>
                </w14:textFill>
              </w:rPr>
              <w:t>2</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千里光</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i/>
                <w:iCs/>
                <w:color w:val="000000" w:themeColor="text1"/>
                <w:sz w:val="21"/>
                <w:szCs w:val="21"/>
                <w:highlight w:val="none"/>
                <w14:textFill>
                  <w14:solidFill>
                    <w14:schemeClr w14:val="tx1"/>
                  </w14:solidFill>
                </w14:textFill>
              </w:rPr>
              <w:t xml:space="preserve">Senecio scandens </w:t>
            </w:r>
            <w:r>
              <w:rPr>
                <w:rFonts w:hint="default" w:ascii="Times New Roman" w:hAnsi="Times New Roman" w:eastAsia="宋体" w:cs="Times New Roman"/>
                <w:i w:val="0"/>
                <w:iCs w:val="0"/>
                <w:color w:val="000000" w:themeColor="text1"/>
                <w:sz w:val="21"/>
                <w:szCs w:val="21"/>
                <w:highlight w:val="none"/>
                <w14:textFill>
                  <w14:solidFill>
                    <w14:schemeClr w14:val="tx1"/>
                  </w14:solidFill>
                </w14:textFill>
              </w:rPr>
              <w:t>Buch.-Ham. ex D.Don</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聚花过路黄</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Lysimachia congestiflora Hemsl.</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样方4  芒、白茅群系样方表（2）</w:t>
      </w:r>
    </w:p>
    <w:tbl>
      <w:tblPr>
        <w:tblStyle w:val="5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3509"/>
        <w:gridCol w:w="800"/>
        <w:gridCol w:w="531"/>
        <w:gridCol w:w="516"/>
        <w:gridCol w:w="635"/>
        <w:gridCol w:w="451"/>
        <w:gridCol w:w="430"/>
        <w:gridCol w:w="551"/>
        <w:gridCol w:w="6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107.8084,31.5585</w:t>
            </w:r>
          </w:p>
        </w:tc>
        <w:tc>
          <w:tcPr>
            <w:tcW w:w="37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w:t>
            </w:r>
            <w:r>
              <w:rPr>
                <w:rFonts w:hint="eastAsia" w:cs="Times New Roman"/>
                <w:b w:val="0"/>
                <w:bCs/>
                <w:color w:val="000000" w:themeColor="text1"/>
                <w:sz w:val="21"/>
                <w:szCs w:val="21"/>
                <w:highlight w:val="none"/>
                <w:lang w:eastAsia="zh-CN"/>
                <w14:textFill>
                  <w14:solidFill>
                    <w14:schemeClr w14:val="tx1"/>
                  </w14:solidFill>
                </w14:textFill>
              </w:rPr>
              <w:t>）</w:t>
            </w:r>
          </w:p>
        </w:tc>
        <w:tc>
          <w:tcPr>
            <w:tcW w:w="25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809</w:t>
            </w:r>
          </w:p>
        </w:tc>
        <w:tc>
          <w:tcPr>
            <w:tcW w:w="32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29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27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25</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白茅</w:t>
            </w:r>
            <w:r>
              <w:rPr>
                <w:rFonts w:hint="default" w:ascii="Times New Roman" w:hAnsi="Times New Roman" w:eastAsia="宋体" w:cs="Times New Roman"/>
                <w:b w:val="0"/>
                <w:bCs/>
                <w:i/>
                <w:iCs/>
                <w:color w:val="000000" w:themeColor="text1"/>
                <w:sz w:val="21"/>
                <w:szCs w:val="21"/>
                <w:highlight w:val="none"/>
                <w:lang w:val="en-US" w:eastAsia="zh-CN"/>
                <w14:textFill>
                  <w14:solidFill>
                    <w14:schemeClr w14:val="tx1"/>
                  </w14:solidFill>
                </w14:textFill>
              </w:rPr>
              <w:t>I</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mperata cylindrica</w:t>
            </w:r>
            <w:r>
              <w:rPr>
                <w:rFonts w:hint="default" w:ascii="Times New Roman" w:hAnsi="Times New Roman" w:eastAsia="宋体" w:cs="Times New Roman"/>
                <w:b w:val="0"/>
                <w:bCs/>
                <w:i/>
                <w:iCs/>
                <w:color w:val="000000" w:themeColor="text1"/>
                <w:sz w:val="21"/>
                <w:szCs w:val="21"/>
                <w:highlight w:val="none"/>
                <w:lang w:eastAsia="zh-CN"/>
                <w14:textFill>
                  <w14:solidFill>
                    <w14:schemeClr w14:val="tx1"/>
                  </w14:solidFill>
                </w14:textFill>
              </w:rPr>
              <w:t>.</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4"/>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c</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五节芒</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Miscanthus floridulus</w:t>
            </w:r>
          </w:p>
        </w:tc>
        <w:tc>
          <w:tcPr>
            <w:tcW w:w="956" w:type="pct"/>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0.55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de-D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牛尾蒿</w:t>
            </w:r>
            <w:r>
              <w:rPr>
                <w:rFonts w:hint="default" w:ascii="Times New Roman" w:hAnsi="Times New Roman" w:eastAsia="宋体" w:cs="Times New Roman"/>
                <w:i/>
                <w:iCs/>
                <w:color w:val="000000" w:themeColor="text1"/>
                <w:sz w:val="21"/>
                <w:szCs w:val="21"/>
                <w:highlight w:val="none"/>
                <w14:textFill>
                  <w14:solidFill>
                    <w14:schemeClr w14:val="tx1"/>
                  </w14:solidFill>
                </w14:textFill>
              </w:rPr>
              <w:t>Artemisia dubia Wall. ex Bess.</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1</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de-D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芒萁</w:t>
            </w:r>
            <w:r>
              <w:rPr>
                <w:rFonts w:hint="default" w:ascii="Times New Roman" w:hAnsi="Times New Roman" w:eastAsia="宋体" w:cs="Times New Roman"/>
                <w:i/>
                <w:iCs/>
                <w:color w:val="000000" w:themeColor="text1"/>
                <w:sz w:val="21"/>
                <w:szCs w:val="21"/>
                <w:highlight w:val="none"/>
                <w14:textFill>
                  <w14:solidFill>
                    <w14:schemeClr w14:val="tx1"/>
                  </w14:solidFill>
                </w14:textFill>
              </w:rPr>
              <w:t>Dicranopteris dichotoma(Thunb.)Bernh.</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Sol.</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婆婆针</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Bidens bipinnata Linn.</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芒（</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Miscanthus sinensis</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0.9</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c</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苎麻（</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Boehmeria nivea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 xml:space="preserve"> （L.） Gaudich.）</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0.55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飞蓬</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Conyza canadensis </w:t>
            </w:r>
            <w:r>
              <w:rPr>
                <w:rFonts w:hint="default" w:ascii="Times New Roman" w:hAnsi="Times New Roman" w:eastAsia="宋体" w:cs="Times New Roman"/>
                <w:b w:val="0"/>
                <w:bCs/>
                <w:color w:val="000000" w:themeColor="text1"/>
                <w:sz w:val="21"/>
                <w:szCs w:val="21"/>
                <w:highlight w:val="none"/>
                <w:shd w:val="clear" w:color="auto" w:fill="FFFFFF"/>
                <w14:textFill>
                  <w14:solidFill>
                    <w14:schemeClr w14:val="tx1"/>
                  </w14:solidFill>
                </w14:textFill>
              </w:rPr>
              <w:t>(L.) Cronq.</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0.6</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蛇莓</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Duchesnea indica</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 xml:space="preserve"> </w:t>
            </w:r>
            <w:r>
              <w:rPr>
                <w:rStyle w:val="61"/>
                <w:rFonts w:hint="default" w:ascii="Times New Roman" w:hAnsi="Times New Roman" w:eastAsia="宋体" w:cs="Times New Roman"/>
                <w:b w:val="0"/>
                <w:bCs/>
                <w:color w:val="000000" w:themeColor="text1"/>
                <w:sz w:val="21"/>
                <w:szCs w:val="21"/>
                <w:highlight w:val="none"/>
                <w:shd w:val="clear" w:color="auto" w:fill="FFFFFF"/>
                <w14:textFill>
                  <w14:solidFill>
                    <w14:schemeClr w14:val="tx1"/>
                  </w14:solidFill>
                </w14:textFill>
              </w:rPr>
              <w:t>(Andr.) Focke</w:t>
            </w:r>
          </w:p>
        </w:tc>
        <w:tc>
          <w:tcPr>
            <w:tcW w:w="956" w:type="pct"/>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p</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车前</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Plantago asiatica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L.</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0.4</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302" w:type="pct"/>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208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聚花过路黄</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Lysimachia congestiflora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Hemsl.</w:t>
            </w:r>
          </w:p>
        </w:tc>
        <w:tc>
          <w:tcPr>
            <w:tcW w:w="956" w:type="pct"/>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7</w:t>
            </w:r>
          </w:p>
        </w:tc>
        <w:tc>
          <w:tcPr>
            <w:tcW w:w="34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569" w:type="pct"/>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4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39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样方4  芒、白茅群系样方表（3）</w:t>
      </w:r>
    </w:p>
    <w:tbl>
      <w:tblPr>
        <w:tblStyle w:val="5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5"/>
        <w:gridCol w:w="2842"/>
        <w:gridCol w:w="969"/>
        <w:gridCol w:w="531"/>
        <w:gridCol w:w="680"/>
        <w:gridCol w:w="828"/>
        <w:gridCol w:w="584"/>
        <w:gridCol w:w="475"/>
        <w:gridCol w:w="511"/>
        <w:gridCol w:w="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坐标</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107.8075,31.5594</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海拔</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w:t>
            </w:r>
            <w:r>
              <w:rPr>
                <w:rFonts w:hint="eastAsia" w:cs="Times New Roman"/>
                <w:b w:val="0"/>
                <w:bCs/>
                <w:color w:val="000000" w:themeColor="text1"/>
                <w:sz w:val="21"/>
                <w:szCs w:val="21"/>
                <w:highlight w:val="none"/>
                <w:lang w:eastAsia="zh-CN"/>
                <w14:textFill>
                  <w14:solidFill>
                    <w14:schemeClr w14:val="tx1"/>
                  </w14:solidFill>
                </w14:textFill>
              </w:rPr>
              <w:t>）</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829</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土壤类型</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壤土</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坡度</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15</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坡向</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中文名（拉丁名）</w:t>
            </w:r>
          </w:p>
        </w:tc>
        <w:tc>
          <w:tcPr>
            <w:tcW w:w="0" w:type="auto"/>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平均高度m</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株数/多度</w:t>
            </w:r>
          </w:p>
        </w:tc>
        <w:tc>
          <w:tcPr>
            <w:tcW w:w="0" w:type="auto"/>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平均胸径cm</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冠幅</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0" w:type="auto"/>
            <w:vMerge w:val="restar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草本层</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芒</w:t>
            </w:r>
            <w:r>
              <w:rPr>
                <w:rFonts w:hint="default" w:ascii="Times New Roman" w:hAnsi="Times New Roman" w:eastAsia="宋体" w:cs="Times New Roman"/>
                <w:b w:val="0"/>
                <w:bCs/>
                <w:i/>
                <w:color w:val="000000" w:themeColor="text1"/>
                <w:sz w:val="21"/>
                <w:szCs w:val="21"/>
                <w:highlight w:val="none"/>
                <w14:textFill>
                  <w14:solidFill>
                    <w14:schemeClr w14:val="tx1"/>
                  </w14:solidFill>
                </w14:textFill>
              </w:rPr>
              <w:t>Miscanthus sinensis</w:t>
            </w:r>
          </w:p>
        </w:tc>
        <w:tc>
          <w:tcPr>
            <w:tcW w:w="0" w:type="auto"/>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1.20</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Soc</w:t>
            </w:r>
          </w:p>
        </w:tc>
        <w:tc>
          <w:tcPr>
            <w:tcW w:w="0" w:type="auto"/>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0" w:type="auto"/>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白茅</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Imperata cylindrica.</w:t>
            </w:r>
          </w:p>
        </w:tc>
        <w:tc>
          <w:tcPr>
            <w:tcW w:w="0" w:type="auto"/>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Soc</w:t>
            </w:r>
          </w:p>
        </w:tc>
        <w:tc>
          <w:tcPr>
            <w:tcW w:w="0" w:type="auto"/>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0" w:type="auto"/>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婆婆针</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Bidens bipinnata Linn.</w:t>
            </w:r>
          </w:p>
        </w:tc>
        <w:tc>
          <w:tcPr>
            <w:tcW w:w="0" w:type="auto"/>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0.55</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eastAsia="zh-CN"/>
                <w14:textFill>
                  <w14:solidFill>
                    <w14:schemeClr w14:val="tx1"/>
                  </w14:solidFill>
                </w14:textFill>
              </w:rPr>
              <w:t>1</w:t>
            </w:r>
          </w:p>
        </w:tc>
        <w:tc>
          <w:tcPr>
            <w:tcW w:w="0" w:type="auto"/>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0" w:type="auto"/>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de-D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飞蓬</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Conyza canadensis </w:t>
            </w:r>
            <w:r>
              <w:rPr>
                <w:rFonts w:hint="default" w:ascii="Times New Roman" w:hAnsi="Times New Roman" w:eastAsia="宋体" w:cs="Times New Roman"/>
                <w:i w:val="0"/>
                <w:iCs w:val="0"/>
                <w:caps w:val="0"/>
                <w:color w:val="000000" w:themeColor="text1"/>
                <w:spacing w:val="0"/>
                <w:sz w:val="21"/>
                <w:szCs w:val="21"/>
                <w:highlight w:val="none"/>
                <w:shd w:val="clear" w:color="auto" w:fill="FFFFFF"/>
                <w14:textFill>
                  <w14:solidFill>
                    <w14:schemeClr w14:val="tx1"/>
                  </w14:solidFill>
                </w14:textFill>
              </w:rPr>
              <w:t>(L.) Cronq.</w:t>
            </w:r>
          </w:p>
        </w:tc>
        <w:tc>
          <w:tcPr>
            <w:tcW w:w="0" w:type="auto"/>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0.65</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0" w:type="auto"/>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0" w:type="auto"/>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de-D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蛇莓</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Duchesnea indica</w:t>
            </w:r>
            <w:r>
              <w:rPr>
                <w:rFonts w:hint="default" w:ascii="Times New Roman" w:hAnsi="Times New Roman" w:eastAsia="宋体" w:cs="Times New Roman"/>
                <w:b w:val="0"/>
                <w:bCs/>
                <w:i w:val="0"/>
                <w:iCs w:val="0"/>
                <w:color w:val="000000" w:themeColor="text1"/>
                <w:sz w:val="21"/>
                <w:szCs w:val="21"/>
                <w:highlight w:val="none"/>
                <w14:textFill>
                  <w14:solidFill>
                    <w14:schemeClr w14:val="tx1"/>
                  </w14:solidFill>
                </w14:textFill>
              </w:rPr>
              <w:t xml:space="preserve"> </w:t>
            </w:r>
            <w:r>
              <w:rPr>
                <w:rStyle w:val="61"/>
                <w:rFonts w:hint="default" w:ascii="Times New Roman" w:hAnsi="Times New Roman" w:eastAsia="宋体" w:cs="Times New Roman"/>
                <w:i w:val="0"/>
                <w:iCs w:val="0"/>
                <w:caps w:val="0"/>
                <w:color w:val="000000" w:themeColor="text1"/>
                <w:spacing w:val="0"/>
                <w:sz w:val="21"/>
                <w:szCs w:val="21"/>
                <w:highlight w:val="none"/>
                <w:shd w:val="clear" w:color="auto" w:fill="FFFFFF"/>
                <w14:textFill>
                  <w14:solidFill>
                    <w14:schemeClr w14:val="tx1"/>
                  </w14:solidFill>
                </w14:textFill>
              </w:rPr>
              <w:t>(Andr.) Focke</w:t>
            </w:r>
          </w:p>
        </w:tc>
        <w:tc>
          <w:tcPr>
            <w:tcW w:w="0" w:type="auto"/>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0.40</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0" w:type="auto"/>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0" w:type="auto"/>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黄背草</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Themeda triandra Forsk. Var. Japonica</w:t>
            </w:r>
          </w:p>
        </w:tc>
        <w:tc>
          <w:tcPr>
            <w:tcW w:w="0" w:type="auto"/>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default" w:ascii="Times New Roman" w:hAnsi="Times New Roman" w:cs="Times New Roman" w:eastAsiaTheme="minorEastAsia"/>
                <w:b w:val="0"/>
                <w:bCs/>
                <w:color w:val="000000" w:themeColor="text1"/>
                <w:sz w:val="21"/>
                <w:szCs w:val="21"/>
                <w:highlight w:val="none"/>
                <w:lang w:val="en-US" w:eastAsia="zh-CN"/>
                <w14:textFill>
                  <w14:solidFill>
                    <w14:schemeClr w14:val="tx1"/>
                  </w14:solidFill>
                </w14:textFill>
              </w:rPr>
              <w:t>3</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Cop</w:t>
            </w:r>
            <w:r>
              <w:rPr>
                <w:rFonts w:hint="default" w:ascii="Times New Roman" w:hAnsi="Times New Roman" w:eastAsia="宋体" w:cs="Times New Roman"/>
                <w:b w:val="0"/>
                <w:bCs/>
                <w:color w:val="000000" w:themeColor="text1"/>
                <w:sz w:val="21"/>
                <w:szCs w:val="21"/>
                <w:highlight w:val="none"/>
                <w:vertAlign w:val="subscript"/>
                <w:lang w:eastAsia="zh-CN"/>
                <w14:textFill>
                  <w14:solidFill>
                    <w14:schemeClr w14:val="tx1"/>
                  </w14:solidFill>
                </w14:textFill>
              </w:rPr>
              <w:t>1</w:t>
            </w:r>
          </w:p>
        </w:tc>
        <w:tc>
          <w:tcPr>
            <w:tcW w:w="0" w:type="auto"/>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0" w:type="auto"/>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斑茅</w:t>
            </w:r>
            <w:r>
              <w:rPr>
                <w:rFonts w:hint="default" w:ascii="Times New Roman" w:hAnsi="Times New Roman" w:eastAsia="宋体" w:cs="Times New Roman"/>
                <w:b w:val="0"/>
                <w:bCs/>
                <w:i/>
                <w:iCs/>
                <w:color w:val="000000" w:themeColor="text1"/>
                <w:sz w:val="21"/>
                <w:szCs w:val="21"/>
                <w:highlight w:val="none"/>
                <w:lang w:val="de-DE"/>
                <w14:textFill>
                  <w14:solidFill>
                    <w14:schemeClr w14:val="tx1"/>
                  </w14:solidFill>
                </w14:textFill>
              </w:rPr>
              <w:t>Saccharum arundinaceum</w:t>
            </w:r>
            <w:r>
              <w:rPr>
                <w:rFonts w:hint="default" w:ascii="Times New Roman" w:hAnsi="Times New Roman" w:eastAsia="宋体" w:cs="Times New Roman"/>
                <w:b w:val="0"/>
                <w:bCs/>
                <w:color w:val="000000" w:themeColor="text1"/>
                <w:sz w:val="21"/>
                <w:szCs w:val="21"/>
                <w:highlight w:val="none"/>
                <w:shd w:val="clear" w:color="auto" w:fill="FFFFFF"/>
                <w:lang w:val="de-DE"/>
                <w14:textFill>
                  <w14:solidFill>
                    <w14:schemeClr w14:val="tx1"/>
                  </w14:solidFill>
                </w14:textFill>
              </w:rPr>
              <w:t> Retz.</w:t>
            </w:r>
          </w:p>
        </w:tc>
        <w:tc>
          <w:tcPr>
            <w:tcW w:w="0" w:type="auto"/>
            <w:gridSpan w:val="3"/>
            <w:vAlign w:val="center"/>
          </w:tcPr>
          <w:p>
            <w:pPr>
              <w:widowControl w:val="0"/>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0.40</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Sol.</w:t>
            </w:r>
          </w:p>
        </w:tc>
        <w:tc>
          <w:tcPr>
            <w:tcW w:w="0" w:type="auto"/>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0" w:type="auto"/>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翠云草</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i/>
                <w:iCs/>
                <w:color w:val="000000" w:themeColor="text1"/>
                <w:sz w:val="21"/>
                <w:szCs w:val="21"/>
                <w:highlight w:val="none"/>
                <w:lang w:val="en-US" w:eastAsia="zh-CN"/>
                <w14:textFill>
                  <w14:solidFill>
                    <w14:schemeClr w14:val="tx1"/>
                  </w14:solidFill>
                </w14:textFill>
              </w:rPr>
              <w:t>Selaginella uncinata</w:t>
            </w:r>
            <w:r>
              <w:rPr>
                <w:rFonts w:hint="eastAsia" w:cs="Times New Roman"/>
                <w:i/>
                <w:iCs/>
                <w:color w:val="000000" w:themeColor="text1"/>
                <w:sz w:val="21"/>
                <w:szCs w:val="21"/>
                <w:highlight w:val="none"/>
                <w:lang w:val="en-US" w:eastAsia="zh-CN"/>
                <w14:textFill>
                  <w14:solidFill>
                    <w14:schemeClr w14:val="tx1"/>
                  </w14:solidFill>
                </w14:textFill>
              </w:rPr>
              <w:t>）</w:t>
            </w:r>
          </w:p>
        </w:tc>
        <w:tc>
          <w:tcPr>
            <w:tcW w:w="0" w:type="auto"/>
            <w:gridSpan w:val="3"/>
            <w:vAlign w:val="center"/>
          </w:tcPr>
          <w:p>
            <w:pPr>
              <w:widowControl w:val="0"/>
              <w:spacing w:line="240" w:lineRule="auto"/>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0.85</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p</w:t>
            </w:r>
          </w:p>
        </w:tc>
        <w:tc>
          <w:tcPr>
            <w:tcW w:w="0" w:type="auto"/>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0" w:type="auto"/>
            <w:vMerge w:val="continue"/>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车前</w:t>
            </w:r>
            <w:r>
              <w:rPr>
                <w:rFonts w:hint="default" w:ascii="Times New Roman" w:hAnsi="Times New Roman" w:eastAsia="宋体" w:cs="Times New Roman"/>
                <w:b w:val="0"/>
                <w:bCs/>
                <w:i/>
                <w:iCs/>
                <w:color w:val="000000" w:themeColor="text1"/>
                <w:sz w:val="21"/>
                <w:szCs w:val="21"/>
                <w:highlight w:val="none"/>
                <w14:textFill>
                  <w14:solidFill>
                    <w14:schemeClr w14:val="tx1"/>
                  </w14:solidFill>
                </w14:textFill>
              </w:rPr>
              <w:t xml:space="preserve">Plantago asiatica </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L.</w:t>
            </w:r>
          </w:p>
        </w:tc>
        <w:tc>
          <w:tcPr>
            <w:tcW w:w="0" w:type="auto"/>
            <w:gridSpan w:val="3"/>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7</w:t>
            </w: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Un.</w:t>
            </w:r>
          </w:p>
        </w:tc>
        <w:tc>
          <w:tcPr>
            <w:tcW w:w="0" w:type="auto"/>
            <w:gridSpan w:val="2"/>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c>
          <w:tcPr>
            <w:tcW w:w="0" w:type="auto"/>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pageBreakBefore w:val="0"/>
        <w:widowControl w:val="0"/>
        <w:kinsoku/>
        <w:wordWrap/>
        <w:overflowPunct/>
        <w:topLinePunct w:val="0"/>
        <w:autoSpaceDE/>
        <w:autoSpaceDN/>
        <w:bidi w:val="0"/>
        <w:adjustRightInd w:val="0"/>
        <w:snapToGrid w:val="0"/>
        <w:spacing w:before="0" w:beforeLines="0" w:line="360" w:lineRule="auto"/>
        <w:ind w:firstLine="480" w:firstLineChars="200"/>
        <w:jc w:val="both"/>
        <w:textAlignment w:val="auto"/>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p>
    <w:p>
      <w:pPr>
        <w:pageBreakBefore w:val="0"/>
        <w:widowControl w:val="0"/>
        <w:kinsoku/>
        <w:wordWrap/>
        <w:overflowPunct/>
        <w:topLinePunct w:val="0"/>
        <w:autoSpaceDE/>
        <w:autoSpaceDN/>
        <w:bidi w:val="0"/>
        <w:adjustRightInd w:val="0"/>
        <w:snapToGrid w:val="0"/>
        <w:spacing w:before="0" w:beforeLines="0" w:line="360" w:lineRule="auto"/>
        <w:ind w:firstLine="480" w:firstLineChars="200"/>
        <w:jc w:val="both"/>
        <w:textAlignment w:val="auto"/>
        <w:rPr>
          <w:rFonts w:hint="default" w:ascii="Times New Roman" w:hAnsi="Times New Roman" w:eastAsia="宋体" w:cs="Times New Roman"/>
          <w:b w:val="0"/>
          <w:bCs/>
          <w:color w:val="000000" w:themeColor="text1"/>
          <w:kern w:val="2"/>
          <w:sz w:val="24"/>
          <w:szCs w:val="24"/>
          <w:highlight w:val="none"/>
          <w:lang w:val="de-DE"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6、项目评价范围</w:t>
      </w:r>
      <w:r>
        <w:rPr>
          <w:rFonts w:hint="default" w:ascii="Times New Roman" w:hAnsi="Times New Roman" w:eastAsia="宋体" w:cs="Times New Roman"/>
          <w:b w:val="0"/>
          <w:bCs/>
          <w:color w:val="000000" w:themeColor="text1"/>
          <w:kern w:val="2"/>
          <w:sz w:val="24"/>
          <w:szCs w:val="24"/>
          <w:highlight w:val="none"/>
          <w:lang w:val="de-DE" w:eastAsia="zh-CN" w:bidi="ar-SA"/>
          <w14:textFill>
            <w14:solidFill>
              <w14:schemeClr w14:val="tx1"/>
            </w14:solidFill>
          </w14:textFill>
        </w:rPr>
        <w:t>植被的基本特征</w:t>
      </w:r>
    </w:p>
    <w:p>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根据对评价范围进行的植被考察和若干重点地区代表类型的样方调查，可知区域内植被具有以下特征：</w:t>
      </w:r>
    </w:p>
    <w:p>
      <w:pPr>
        <w:pageBreakBefore w:val="0"/>
        <w:numPr>
          <w:ilvl w:val="0"/>
          <w:numId w:val="13"/>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植被次生性明显</w:t>
      </w:r>
    </w:p>
    <w:p>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范围在植被带谱上应为常绿阔叶林类型，但现有的常绿阔叶林面积很少，只有在人烟稀少、田头地角有残存的常绿阔叶林。评价区山体中上部经过近年来的人工造林和封山育林等工程，许多地方已经蔚然成林，多为山地针叶林带或者针叶阔叶混交林带，主要是以</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马尾松为主的</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针叶林植被，以麻栎、青冈、栓皮栎等为主的阔叶林植被带，其群落结构大多具备有乔木、灌木、草本、地衣层，覆盖度基本保持在70%左右。次生灌丛则以</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马桑、黄荆、火棘、荚蒾</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为主要的优势群落，草本优势种群主要是</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芒、</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白茅、五节芒、斑茅、野古草</w:t>
      </w:r>
      <w:r>
        <w:rPr>
          <w:rFonts w:hint="default" w:ascii="Times New Roman" w:hAnsi="Times New Roman" w:eastAsia="宋体" w:cs="Times New Roman"/>
          <w:b w:val="0"/>
          <w:bCs/>
          <w:color w:val="000000" w:themeColor="text1"/>
          <w:sz w:val="24"/>
          <w:highlight w:val="none"/>
          <w14:textFill>
            <w14:solidFill>
              <w14:schemeClr w14:val="tx1"/>
            </w14:solidFill>
          </w14:textFill>
        </w:rPr>
        <w:t>、夏枯、鸡眼草、芒萁、车轴草</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。在评价区海拔400m以下、坡度较缓的地带均已毁林开荒种植粮食作物，导致水土流失，自然条件发生变化，农业植被或者荒芜逐渐代替自然植被。</w:t>
      </w:r>
    </w:p>
    <w:p>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地带性常绿阔叶林的消失，使蕴藏其中的大部分珍稀动植物失去生存繁衍的环境，同时，植被的明显次生性，大面积人工种植的针叶林、落叶阔叶林以及次生的灌丛及灌草丛在评价</w:t>
      </w:r>
      <w:r>
        <w:rPr>
          <w:rFonts w:hint="default" w:ascii="Times New Roman" w:hAnsi="Times New Roman" w:eastAsia="宋体" w:cs="Times New Roman"/>
          <w:b w:val="0"/>
          <w:bCs/>
          <w:color w:val="000000" w:themeColor="text1"/>
          <w:sz w:val="24"/>
          <w:szCs w:val="24"/>
          <w:highlight w:val="none"/>
          <w:lang w:val="de-DE" w:eastAsia="zh-CN"/>
          <w14:textFill>
            <w14:solidFill>
              <w14:schemeClr w14:val="tx1"/>
            </w14:solidFill>
          </w14:textFill>
        </w:rPr>
        <w:t>范围</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的广泛分布，致使区内植被的生态效应的有效性、生物物种的多样性及植被生物量的丰富程度都受到一定的影响。</w:t>
      </w:r>
    </w:p>
    <w:p>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）森林植被覆盖率较</w:t>
      </w:r>
      <w:r>
        <w:rPr>
          <w:rFonts w:hint="default" w:ascii="Times New Roman" w:hAnsi="Times New Roman" w:eastAsia="宋体" w:cs="Times New Roman"/>
          <w:b w:val="0"/>
          <w:bCs/>
          <w:color w:val="000000" w:themeColor="text1"/>
          <w:sz w:val="24"/>
          <w:szCs w:val="24"/>
          <w:highlight w:val="none"/>
          <w:lang w:val="de-DE" w:eastAsia="zh-CN"/>
          <w14:textFill>
            <w14:solidFill>
              <w14:schemeClr w14:val="tx1"/>
            </w14:solidFill>
          </w14:textFill>
        </w:rPr>
        <w:t>高</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de-DE" w:eastAsia="zh-CN"/>
          <w14:textFill>
            <w14:solidFill>
              <w14:schemeClr w14:val="tx1"/>
            </w14:solidFill>
          </w14:textFill>
        </w:rPr>
        <w:t>但</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质量欠佳且分布不均</w:t>
      </w:r>
    </w:p>
    <w:p>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评价范围的森林植被分布较为广泛，但多为人工培育中幼龄林，因此森林蓄积量较低，森林群落的结构简单，郁闭度相对较低，生物量及生产力亦较低，因此，森林植被的生态效应较差。项目建设过程中，施工方应千方百计注意保护现有森林植被，并在项目开发的同时，采取有效措施促进森林植被的恢复，加强人工封闭或人工促进措施，做好封山育林工作，使灌丛植被尽快地向森林植被演替。</w:t>
      </w:r>
    </w:p>
    <w:p>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（3）人工植被分布广泛，尤其旱地植被占明显优势</w:t>
      </w:r>
    </w:p>
    <w:p>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评价范围地处川东北中低山区域，目前评价范围内有农田植被</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2.34</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hm²，约占评价区内土地总面积的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6.14</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%，即垦殖指数达</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6.14</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农田植被对于解决区内人口的粮食、蔬菜等起到了重要作用，但是由于不少旱地是在河谷斜坡和丘陵山地的斜坡面上开垦出来的，这种坡耕旱地在人类长期的翻耕种植下，会加速土壤的侵蚀，使山区生态环境进一步退化。</w:t>
      </w:r>
    </w:p>
    <w:p>
      <w:pPr>
        <w:keepNext/>
        <w:keepLines/>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2"/>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pPr>
      <w:bookmarkStart w:id="245" w:name="_Toc120173139"/>
      <w:r>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t>4.3.5评价范围植被生产力和生物量分析</w:t>
      </w:r>
      <w:bookmarkEnd w:id="245"/>
    </w:p>
    <w:p>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）土地自然生产力估算</w:t>
      </w:r>
    </w:p>
    <w:p>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采用H.lieth生物生产力经验公式计算项目区域土地自然生产力：</w:t>
      </w:r>
    </w:p>
    <w:p>
      <w:pPr>
        <w:adjustRightInd w:val="0"/>
        <w:snapToGrid w:val="0"/>
        <w:spacing w:line="360" w:lineRule="auto"/>
        <w:ind w:firstLine="0" w:firstLineChars="0"/>
        <w:jc w:val="center"/>
        <w:rPr>
          <w:rFonts w:hint="default" w:ascii="Times New Roman" w:hAnsi="Times New Roman" w:eastAsia="宋体" w:cs="Times New Roman"/>
          <w:b w:val="0"/>
          <w:bCs/>
          <w:color w:val="000000" w:themeColor="text1"/>
          <w:sz w:val="21"/>
          <w:szCs w:val="24"/>
          <w:highlight w:val="none"/>
          <w14:textFill>
            <w14:solidFill>
              <w14:schemeClr w14:val="tx1"/>
            </w14:solidFill>
          </w14:textFill>
        </w:rPr>
      </w:pPr>
      <w:r>
        <w:rPr>
          <w:rFonts w:hint="default" w:ascii="Times New Roman" w:hAnsi="Times New Roman" w:eastAsia="宋体" w:cs="Times New Roman"/>
          <w:b w:val="0"/>
          <w:bCs/>
          <w:color w:val="000000" w:themeColor="text1"/>
          <w:position w:val="-26"/>
          <w:sz w:val="21"/>
          <w:szCs w:val="24"/>
          <w:highlight w:val="none"/>
          <w14:textFill>
            <w14:solidFill>
              <w14:schemeClr w14:val="tx1"/>
            </w14:solidFill>
          </w14:textFill>
        </w:rPr>
        <w:object>
          <v:shape id="_x0000_i1027" o:spt="75" type="#_x0000_t75" style="height:36.2pt;width:129.75pt;" o:ole="t" filled="f" o:preferrelative="t" stroked="f" coordsize="21600,21600">
            <v:path/>
            <v:fill on="f" focussize="0,0"/>
            <v:stroke on="f" joinstyle="miter"/>
            <v:imagedata r:id="rId58" o:title=""/>
            <o:lock v:ext="edit" aspectratio="t"/>
            <w10:wrap type="none"/>
            <w10:anchorlock/>
          </v:shape>
          <o:OLEObject Type="Embed" ProgID="Equation.3" ShapeID="_x0000_i1027" DrawAspect="Content" ObjectID="_1468075727" r:id="rId57">
            <o:LockedField>false</o:LockedField>
          </o:OLEObject>
        </w:object>
      </w:r>
    </w:p>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4"/>
          <w:highlight w:val="none"/>
          <w14:textFill>
            <w14:solidFill>
              <w14:schemeClr w14:val="tx1"/>
            </w14:solidFill>
          </w14:textFill>
        </w:rPr>
      </w:pPr>
      <w:r>
        <w:rPr>
          <w:rFonts w:hint="default" w:ascii="Times New Roman" w:hAnsi="Times New Roman" w:eastAsia="宋体" w:cs="Times New Roman"/>
          <w:b w:val="0"/>
          <w:bCs/>
          <w:color w:val="000000" w:themeColor="text1"/>
          <w:position w:val="-10"/>
          <w:sz w:val="21"/>
          <w:szCs w:val="24"/>
          <w:highlight w:val="none"/>
          <w14:textFill>
            <w14:solidFill>
              <w14:schemeClr w14:val="tx1"/>
            </w14:solidFill>
          </w14:textFill>
        </w:rPr>
        <w:object>
          <v:shape id="_x0000_i1028" o:spt="75" type="#_x0000_t75" style="height:21.55pt;width:150.55pt;" o:ole="t" filled="f" o:preferrelative="t" stroked="f" coordsize="21600,21600">
            <v:path/>
            <v:fill on="f" focussize="0,0"/>
            <v:stroke on="f" joinstyle="miter"/>
            <v:imagedata r:id="rId60" o:title=""/>
            <o:lock v:ext="edit" aspectratio="t"/>
            <w10:wrap type="none"/>
            <w10:anchorlock/>
          </v:shape>
          <o:OLEObject Type="Embed" ProgID="Equation.3" ShapeID="_x0000_i1028" DrawAspect="Content" ObjectID="_1468075728" r:id="rId59">
            <o:LockedField>false</o:LockedField>
          </o:OLEObject>
        </w:object>
      </w:r>
    </w:p>
    <w:p>
      <w:pPr>
        <w:adjustRightInd/>
        <w:snapToGrid/>
        <w:spacing w:line="480" w:lineRule="exact"/>
        <w:ind w:firstLine="0"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式中：Y1——根据年均温度（t）估算的热量</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生产力（g/m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w:t>
      </w:r>
    </w:p>
    <w:p>
      <w:pPr>
        <w:adjustRightInd/>
        <w:snapToGrid/>
        <w:spacing w:line="480" w:lineRule="exact"/>
        <w:ind w:firstLine="720" w:firstLineChars="3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Y</w:t>
      </w:r>
      <w:r>
        <w:rPr>
          <w:rFonts w:hint="default" w:ascii="Times New Roman" w:hAnsi="Times New Roman" w:eastAsia="宋体" w:cs="Times New Roman"/>
          <w:b w:val="0"/>
          <w:bCs/>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——根据年降水量（</w:t>
      </w:r>
      <w:r>
        <w:rPr>
          <w:rFonts w:hint="default" w:ascii="Times New Roman" w:hAnsi="Times New Roman" w:eastAsia="宋体" w:cs="Times New Roman"/>
          <w:b w:val="0"/>
          <w:bCs/>
          <w:i/>
          <w:color w:val="000000" w:themeColor="text1"/>
          <w:sz w:val="24"/>
          <w:szCs w:val="24"/>
          <w:highlight w:val="none"/>
          <w14:textFill>
            <w14:solidFill>
              <w14:schemeClr w14:val="tx1"/>
            </w14:solidFill>
          </w14:textFill>
        </w:rPr>
        <w:t>p</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，mm）估算的水分生产力（g/m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w:t>
      </w:r>
    </w:p>
    <w:p>
      <w:pPr>
        <w:adjustRightInd/>
        <w:snapToGrid/>
        <w:spacing w:line="480" w:lineRule="exact"/>
        <w:ind w:firstLine="480" w:firstLineChars="200"/>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评价范围地貌类型以中低山为主，区内气候在垂直及水平方向的变化都较小，土地自然生产力计算结果如下表所示：</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表4.3-9  评价范围土地自然生产力计算表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143"/>
        <w:gridCol w:w="1806"/>
        <w:gridCol w:w="1807"/>
        <w:gridCol w:w="1807"/>
        <w:gridCol w:w="1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855" w:hRule="atLeast"/>
          <w:jc w:val="center"/>
        </w:trPr>
        <w:tc>
          <w:tcPr>
            <w:tcW w:w="683" w:type="pct"/>
            <w:vAlign w:val="center"/>
          </w:tcPr>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区域</w:t>
            </w:r>
          </w:p>
        </w:tc>
        <w:tc>
          <w:tcPr>
            <w:tcW w:w="1079" w:type="pct"/>
            <w:vAlign w:val="center"/>
          </w:tcPr>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多年平均气温</w:t>
            </w:r>
          </w:p>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1079" w:type="pct"/>
            <w:vAlign w:val="center"/>
          </w:tcPr>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多年平均降水量</w:t>
            </w:r>
          </w:p>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（mm）</w:t>
            </w:r>
          </w:p>
        </w:tc>
        <w:tc>
          <w:tcPr>
            <w:tcW w:w="1079" w:type="pct"/>
            <w:vAlign w:val="center"/>
          </w:tcPr>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热量生产力</w:t>
            </w:r>
          </w:p>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·a）</w:t>
            </w:r>
          </w:p>
        </w:tc>
        <w:tc>
          <w:tcPr>
            <w:tcW w:w="1079" w:type="pct"/>
            <w:vAlign w:val="center"/>
          </w:tcPr>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水分生产力</w:t>
            </w:r>
          </w:p>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（g/m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76" w:hRule="atLeast"/>
          <w:jc w:val="center"/>
        </w:trPr>
        <w:tc>
          <w:tcPr>
            <w:tcW w:w="683" w:type="pct"/>
            <w:vAlign w:val="center"/>
          </w:tcPr>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宣汉县</w:t>
            </w:r>
          </w:p>
        </w:tc>
        <w:tc>
          <w:tcPr>
            <w:tcW w:w="1079" w:type="pct"/>
            <w:vAlign w:val="center"/>
          </w:tcPr>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16.8</w:t>
            </w:r>
          </w:p>
        </w:tc>
        <w:tc>
          <w:tcPr>
            <w:tcW w:w="1079" w:type="pct"/>
            <w:vAlign w:val="center"/>
          </w:tcPr>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1132.69</w:t>
            </w:r>
          </w:p>
        </w:tc>
        <w:tc>
          <w:tcPr>
            <w:tcW w:w="1079" w:type="pct"/>
            <w:vAlign w:val="center"/>
          </w:tcPr>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1994.03</w:t>
            </w:r>
          </w:p>
        </w:tc>
        <w:tc>
          <w:tcPr>
            <w:tcW w:w="1079" w:type="pct"/>
            <w:vAlign w:val="center"/>
          </w:tcPr>
          <w:p>
            <w:pPr>
              <w:adjustRightInd/>
              <w:snapToGrid/>
              <w:spacing w:before="20"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1585.88</w:t>
            </w:r>
          </w:p>
        </w:tc>
      </w:tr>
    </w:tbl>
    <w:p>
      <w:pPr>
        <w:adjustRightInd w:val="0"/>
        <w:snapToGrid w:val="0"/>
        <w:spacing w:line="360" w:lineRule="auto"/>
        <w:ind w:firstLine="720" w:firstLineChars="3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adjustRightInd w:val="0"/>
        <w:snapToGrid w:val="0"/>
        <w:spacing w:line="360" w:lineRule="auto"/>
        <w:ind w:firstLine="720" w:firstLineChars="3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从表4.3-</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可以看出，项目区域热量条件充足，水分条件不足，土地自然生产力受水分条件限制，根据项目区域降水量计算得出土地自然生产力为1585.88gc/m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val="de-DE"/>
          <w14:textFill>
            <w14:solidFill>
              <w14:schemeClr w14:val="tx1"/>
            </w14:solidFill>
          </w14:textFill>
        </w:rPr>
        <w:t>）植被生产力现状评价</w:t>
      </w:r>
    </w:p>
    <w:p>
      <w:pPr>
        <w:adjustRightInd w:val="0"/>
        <w:snapToGrid w:val="0"/>
        <w:spacing w:line="360" w:lineRule="auto"/>
        <w:ind w:firstLine="480" w:firstLineChars="0"/>
        <w:jc w:val="left"/>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植被既是重要的自然资源，又是自然条件（如地质、地貌、气候、土壤等）和人类开发利用资源状况的综合反映，植被作为陆地生物圈的主体，在生态系统中的作用也日益受到重视，尤其是对生态系统变化及稳定起决定性作用。植被净初级生产力（NPP）指绿色植物在单位时间和单位面积上所积累的有机干物质总量，它不仅是表征植物活动的重要变量，而且是判定生态系统碳汇和调节生态过程的主要因子，它直接反映植物群落在自然环境条件下的生产能力，也是生态现状质量评价的重要参数。在对评价区进行自然体系生产力评价中，数据主要来源于卫片解译，实地勘察、收集的现状资料（包括项目所在区域生态环境调查成果，各类环境信息图件及统计资料等），并采用了国内关于自然生态系统生产力和植被生物量的研究成果进行分析。</w:t>
      </w:r>
    </w:p>
    <w:p>
      <w:pPr>
        <w:adjustRightInd w:val="0"/>
        <w:snapToGrid w:val="0"/>
        <w:spacing w:line="360" w:lineRule="auto"/>
        <w:ind w:firstLine="480" w:firstLineChars="0"/>
        <w:jc w:val="left"/>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范围植调查是通过实地勘察、卫片解译、室内分析并结合收集的资料经综合分析而完成。卫片信息的提取过程如下：对选取的卫片数据，利用3S技术进行解译，并经几何精校正、图象增强、进行融合，根据各类环境信息数据及相关图像处理软件进行综合分析，得到评价区内生态环境研究所需的相关数据和生态图件。</w:t>
      </w:r>
    </w:p>
    <w:p>
      <w:pPr>
        <w:adjustRightInd w:val="0"/>
        <w:snapToGrid w:val="0"/>
        <w:spacing w:line="360" w:lineRule="auto"/>
        <w:ind w:firstLine="480" w:firstLineChars="0"/>
        <w:jc w:val="left"/>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根据调查和卫片解译，结合生态评价范围地表植被覆盖现状和植被立地情况，可将评价范围植被类型划分为以下5类：</w:t>
      </w:r>
    </w:p>
    <w:p>
      <w:pPr>
        <w:tabs>
          <w:tab w:val="left" w:pos="540"/>
        </w:tabs>
        <w:adjustRightInd w:val="0"/>
        <w:snapToGrid w:val="0"/>
        <w:spacing w:line="360" w:lineRule="auto"/>
        <w:ind w:firstLine="480" w:firstLineChars="0"/>
        <w:jc w:val="left"/>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①针叶林植被：主要是</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马尾松为主的</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针叶植被，此植被类型广泛分布，面积为</w:t>
      </w:r>
      <w:r>
        <w:rPr>
          <w:rFonts w:hint="default" w:ascii="Times New Roman" w:hAnsi="Times New Roman" w:eastAsia="宋体" w:cs="Times New Roman"/>
          <w:i w:val="0"/>
          <w:iCs w:val="0"/>
          <w:color w:val="000000" w:themeColor="text1"/>
          <w:kern w:val="0"/>
          <w:sz w:val="24"/>
          <w:szCs w:val="24"/>
          <w:highlight w:val="none"/>
          <w:u w:val="none"/>
          <w:lang w:val="en-US" w:eastAsia="zh-CN" w:bidi="ar"/>
          <w14:textFill>
            <w14:solidFill>
              <w14:schemeClr w14:val="tx1"/>
            </w14:solidFill>
          </w14:textFill>
        </w:rPr>
        <w:t>12.2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，占评价范围面积的</w:t>
      </w:r>
      <w:r>
        <w:rPr>
          <w:rFonts w:hint="default" w:ascii="Times New Roman" w:hAnsi="Times New Roman" w:eastAsia="宋体" w:cs="Times New Roman"/>
          <w:i w:val="0"/>
          <w:iCs w:val="0"/>
          <w:color w:val="000000" w:themeColor="text1"/>
          <w:kern w:val="0"/>
          <w:sz w:val="24"/>
          <w:szCs w:val="24"/>
          <w:highlight w:val="none"/>
          <w:u w:val="none"/>
          <w:lang w:val="en-US" w:eastAsia="zh-CN" w:bidi="ar"/>
          <w14:textFill>
            <w14:solidFill>
              <w14:schemeClr w14:val="tx1"/>
            </w14:solidFill>
          </w14:textFill>
        </w:rPr>
        <w:t>32.06</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%，平均净初级生产力（常绿针叶林）为367.1gC/（m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w:t>
      </w:r>
    </w:p>
    <w:p>
      <w:pPr>
        <w:adjustRightInd w:val="0"/>
        <w:snapToGrid w:val="0"/>
        <w:spacing w:line="360" w:lineRule="auto"/>
        <w:ind w:firstLine="480"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②阔叶林植被：主要有麻栎、青冈、栓皮栎等阔叶树种，此植被类型广泛分布，面积</w:t>
      </w:r>
      <w:r>
        <w:rPr>
          <w:rFonts w:hint="default" w:ascii="Times New Roman" w:hAnsi="Times New Roman" w:eastAsia="宋体" w:cs="Times New Roman"/>
          <w:i w:val="0"/>
          <w:iCs w:val="0"/>
          <w:color w:val="000000" w:themeColor="text1"/>
          <w:kern w:val="0"/>
          <w:sz w:val="24"/>
          <w:szCs w:val="24"/>
          <w:highlight w:val="none"/>
          <w:u w:val="none"/>
          <w:lang w:val="en-US" w:eastAsia="zh-CN" w:bidi="ar"/>
          <w14:textFill>
            <w14:solidFill>
              <w14:schemeClr w14:val="tx1"/>
            </w14:solidFill>
          </w14:textFill>
        </w:rPr>
        <w:t>13.45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，占评价范围面积的</w:t>
      </w:r>
      <w:r>
        <w:rPr>
          <w:rFonts w:hint="default" w:ascii="Times New Roman" w:hAnsi="Times New Roman" w:eastAsia="宋体" w:cs="Times New Roman"/>
          <w:i w:val="0"/>
          <w:iCs w:val="0"/>
          <w:color w:val="000000" w:themeColor="text1"/>
          <w:kern w:val="0"/>
          <w:sz w:val="24"/>
          <w:szCs w:val="24"/>
          <w:highlight w:val="none"/>
          <w:u w:val="none"/>
          <w:lang w:val="en-US" w:eastAsia="zh-CN" w:bidi="ar"/>
          <w14:textFill>
            <w14:solidFill>
              <w14:schemeClr w14:val="tx1"/>
            </w14:solidFill>
          </w14:textFill>
        </w:rPr>
        <w:t>35.35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%，平均净初级生产力（落叶阔叶林）642.9gC/（m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w:t>
      </w:r>
    </w:p>
    <w:p>
      <w:pPr>
        <w:adjustRightInd w:val="0"/>
        <w:snapToGrid w:val="0"/>
        <w:spacing w:line="360" w:lineRule="auto"/>
        <w:ind w:firstLine="480"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③灌丛植被：代表植物有</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马桑、黄荆、火棘、荚蒾等</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。主要分布在林下、林缘、山脚、路边、农田两旁，对保护农田和水土保持起到很重要的作用，此植被类型面积为</w:t>
      </w:r>
      <w:r>
        <w:rPr>
          <w:rFonts w:hint="default" w:ascii="Times New Roman" w:hAnsi="Times New Roman" w:eastAsia="宋体" w:cs="Times New Roman"/>
          <w:i w:val="0"/>
          <w:iCs w:val="0"/>
          <w:color w:val="000000" w:themeColor="text1"/>
          <w:kern w:val="0"/>
          <w:sz w:val="24"/>
          <w:szCs w:val="24"/>
          <w:highlight w:val="none"/>
          <w:u w:val="none"/>
          <w:lang w:val="en-US" w:eastAsia="zh-CN" w:bidi="ar"/>
          <w14:textFill>
            <w14:solidFill>
              <w14:schemeClr w14:val="tx1"/>
            </w14:solidFill>
          </w14:textFill>
        </w:rPr>
        <w:t>3.09</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，占评价范围总面积的</w:t>
      </w:r>
      <w:r>
        <w:rPr>
          <w:rFonts w:hint="default" w:ascii="Times New Roman" w:hAnsi="Times New Roman" w:eastAsia="宋体" w:cs="Times New Roman"/>
          <w:i w:val="0"/>
          <w:iCs w:val="0"/>
          <w:color w:val="000000" w:themeColor="text1"/>
          <w:kern w:val="0"/>
          <w:sz w:val="24"/>
          <w:szCs w:val="24"/>
          <w:highlight w:val="none"/>
          <w:u w:val="none"/>
          <w:lang w:val="en-US" w:eastAsia="zh-CN" w:bidi="ar"/>
          <w14:textFill>
            <w14:solidFill>
              <w14:schemeClr w14:val="tx1"/>
            </w14:solidFill>
          </w14:textFill>
        </w:rPr>
        <w:t>8.12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%，平均净初级生产力为（灌木）367.7gC/（m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w:t>
      </w:r>
    </w:p>
    <w:p>
      <w:pPr>
        <w:adjustRightInd w:val="0"/>
        <w:snapToGrid w:val="0"/>
        <w:spacing w:line="360" w:lineRule="auto"/>
        <w:ind w:firstLine="480"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④草丛植被：代表植物有</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芒、白茅</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等。主要分布在分布的林下、林缘、路边、农田两旁，此植被类型面积为</w:t>
      </w:r>
      <w:r>
        <w:rPr>
          <w:rFonts w:hint="default" w:ascii="Times New Roman" w:hAnsi="Times New Roman" w:eastAsia="宋体" w:cs="Times New Roman"/>
          <w:i w:val="0"/>
          <w:iCs w:val="0"/>
          <w:color w:val="000000" w:themeColor="text1"/>
          <w:kern w:val="0"/>
          <w:sz w:val="24"/>
          <w:szCs w:val="24"/>
          <w:highlight w:val="none"/>
          <w:u w:val="none"/>
          <w:lang w:val="en-US" w:eastAsia="zh-CN" w:bidi="ar"/>
          <w14:textFill>
            <w14:solidFill>
              <w14:schemeClr w14:val="tx1"/>
            </w14:solidFill>
          </w14:textFill>
        </w:rPr>
        <w:t>4.36</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，占评价范围总面积的</w:t>
      </w:r>
      <w:r>
        <w:rPr>
          <w:rFonts w:hint="default" w:ascii="Times New Roman" w:hAnsi="Times New Roman" w:eastAsia="宋体" w:cs="Times New Roman"/>
          <w:i w:val="0"/>
          <w:iCs w:val="0"/>
          <w:color w:val="000000" w:themeColor="text1"/>
          <w:kern w:val="0"/>
          <w:sz w:val="24"/>
          <w:szCs w:val="24"/>
          <w:highlight w:val="none"/>
          <w:u w:val="none"/>
          <w:lang w:val="en-US" w:eastAsia="zh-CN" w:bidi="ar"/>
          <w14:textFill>
            <w14:solidFill>
              <w14:schemeClr w14:val="tx1"/>
            </w14:solidFill>
          </w14:textFill>
        </w:rPr>
        <w:t>11.46</w:t>
      </w:r>
      <w:r>
        <w:rPr>
          <w:rFonts w:hint="default" w:ascii="Times New Roman" w:hAnsi="Times New Roman" w:eastAsia="宋体" w:cs="Times New Roman"/>
          <w:b w:val="0"/>
          <w:bCs/>
          <w:snapToGrid w:val="0"/>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，平均净初级生产力（坡面草地）为</w:t>
      </w:r>
      <w:r>
        <w:rPr>
          <w:rFonts w:hint="default" w:ascii="Times New Roman" w:hAnsi="Times New Roman" w:eastAsia="宋体" w:cs="Times New Roman"/>
          <w:b w:val="0"/>
          <w:bCs/>
          <w:color w:val="000000" w:themeColor="text1"/>
          <w:kern w:val="0"/>
          <w:sz w:val="24"/>
          <w:szCs w:val="24"/>
          <w:highlight w:val="none"/>
          <w:lang w:bidi="ar"/>
          <w14:textFill>
            <w14:solidFill>
              <w14:schemeClr w14:val="tx1"/>
            </w14:solidFill>
          </w14:textFill>
        </w:rPr>
        <w:t>507.4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gC/(m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w:t>
      </w:r>
    </w:p>
    <w:p>
      <w:pPr>
        <w:adjustRightInd w:val="0"/>
        <w:snapToGrid w:val="0"/>
        <w:spacing w:line="360" w:lineRule="auto"/>
        <w:ind w:firstLine="537" w:firstLineChars="224"/>
        <w:jc w:val="left"/>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⑤农作物植被：该地区的农作物主要有水稻、玉米、红苕、棉花、花生、小麦、马铃薯、豌豆等，主要分布在山谷、河谷两侧等低海拔区；农作物植被面积</w:t>
      </w:r>
      <w:r>
        <w:rPr>
          <w:rFonts w:hint="default" w:ascii="Times New Roman" w:hAnsi="Times New Roman" w:eastAsia="宋体" w:cs="Times New Roman"/>
          <w:i w:val="0"/>
          <w:iCs w:val="0"/>
          <w:color w:val="000000" w:themeColor="text1"/>
          <w:kern w:val="0"/>
          <w:sz w:val="24"/>
          <w:szCs w:val="24"/>
          <w:highlight w:val="none"/>
          <w:u w:val="none"/>
          <w:lang w:val="en-US" w:eastAsia="zh-CN" w:bidi="ar"/>
          <w14:textFill>
            <w14:solidFill>
              <w14:schemeClr w14:val="tx1"/>
            </w14:solidFill>
          </w14:textFill>
        </w:rPr>
        <w:t>2.34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，占评价范围面积的</w:t>
      </w:r>
      <w:r>
        <w:rPr>
          <w:rFonts w:hint="default" w:ascii="Times New Roman" w:hAnsi="Times New Roman" w:eastAsia="宋体" w:cs="Times New Roman"/>
          <w:i w:val="0"/>
          <w:iCs w:val="0"/>
          <w:color w:val="000000" w:themeColor="text1"/>
          <w:kern w:val="0"/>
          <w:sz w:val="24"/>
          <w:szCs w:val="24"/>
          <w:highlight w:val="none"/>
          <w:u w:val="none"/>
          <w:lang w:val="en-US" w:eastAsia="zh-CN" w:bidi="ar"/>
          <w14:textFill>
            <w14:solidFill>
              <w14:schemeClr w14:val="tx1"/>
            </w14:solidFill>
          </w14:textFill>
        </w:rPr>
        <w:t>6.15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%，平均净初级生产力426.5gC/（m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w:t>
      </w:r>
    </w:p>
    <w:p>
      <w:pPr>
        <w:adjustRightInd w:val="0"/>
        <w:snapToGrid w:val="0"/>
        <w:spacing w:line="360" w:lineRule="auto"/>
        <w:ind w:firstLine="480" w:firstLineChars="0"/>
        <w:jc w:val="left"/>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评价范围内各植被类型净生产力情况见下表。</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表4.3-10 评价范围植被自然生产力情况表</w:t>
      </w:r>
    </w:p>
    <w:tbl>
      <w:tblPr>
        <w:tblStyle w:val="58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4"/>
        <w:gridCol w:w="2126"/>
        <w:gridCol w:w="973"/>
        <w:gridCol w:w="852"/>
        <w:gridCol w:w="1229"/>
        <w:gridCol w:w="1199"/>
        <w:gridCol w:w="1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植被</w:t>
            </w:r>
          </w:p>
          <w:p>
            <w:pPr>
              <w:adjustRightInd/>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类型</w:t>
            </w:r>
          </w:p>
        </w:tc>
        <w:tc>
          <w:tcPr>
            <w:tcW w:w="1249" w:type="pct"/>
            <w:vAlign w:val="center"/>
          </w:tcPr>
          <w:p>
            <w:pPr>
              <w:adjustRightInd/>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代表植物</w:t>
            </w:r>
          </w:p>
        </w:tc>
        <w:tc>
          <w:tcPr>
            <w:tcW w:w="558" w:type="pct"/>
            <w:vAlign w:val="center"/>
          </w:tcPr>
          <w:p>
            <w:pPr>
              <w:adjustRightInd/>
              <w:snapToGrid w:val="0"/>
              <w:spacing w:line="240" w:lineRule="auto"/>
              <w:ind w:firstLine="0" w:firstLineChars="0"/>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面积（hm</w:t>
            </w:r>
            <w:r>
              <w:rPr>
                <w:rFonts w:hint="default" w:ascii="Times New Roman" w:hAnsi="Times New Roman" w:eastAsia="宋体" w:cs="Times New Roman"/>
                <w:b w:val="0"/>
                <w:bCs/>
                <w:snapToGrid w:val="0"/>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w:t>
            </w:r>
          </w:p>
        </w:tc>
        <w:tc>
          <w:tcPr>
            <w:tcW w:w="502" w:type="pct"/>
            <w:vAlign w:val="center"/>
          </w:tcPr>
          <w:p>
            <w:pPr>
              <w:adjustRightInd/>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占评价范围（%）</w:t>
            </w:r>
          </w:p>
        </w:tc>
        <w:tc>
          <w:tcPr>
            <w:tcW w:w="723" w:type="pct"/>
            <w:vAlign w:val="center"/>
          </w:tcPr>
          <w:p>
            <w:pPr>
              <w:adjustRightInd/>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平均净生产力[</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gC/（m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w:t>
            </w: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w:t>
            </w:r>
          </w:p>
        </w:tc>
        <w:tc>
          <w:tcPr>
            <w:tcW w:w="705"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总生产力[tC/（a）]</w:t>
            </w:r>
          </w:p>
        </w:tc>
        <w:tc>
          <w:tcPr>
            <w:tcW w:w="714"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生产力比重</w:t>
            </w:r>
          </w:p>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Align w:val="center"/>
          </w:tcPr>
          <w:p>
            <w:pPr>
              <w:adjustRightInd/>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针叶林植被</w:t>
            </w:r>
          </w:p>
        </w:tc>
        <w:tc>
          <w:tcPr>
            <w:tcW w:w="1249"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lang w:eastAsia="zh-CN"/>
                <w14:textFill>
                  <w14:solidFill>
                    <w14:schemeClr w14:val="tx1"/>
                  </w14:solidFill>
                </w14:textFill>
              </w:rPr>
              <w:t>马尾松</w:t>
            </w:r>
          </w:p>
        </w:tc>
        <w:tc>
          <w:tcPr>
            <w:tcW w:w="973" w:type="dxa"/>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12.2</w:t>
            </w:r>
          </w:p>
        </w:tc>
        <w:tc>
          <w:tcPr>
            <w:tcW w:w="852"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highlight w:val="none"/>
                <w:u w:val="none"/>
                <w:lang w:val="en-US" w:eastAsia="zh-CN" w:bidi="ar"/>
                <w14:textFill>
                  <w14:solidFill>
                    <w14:schemeClr w14:val="tx1"/>
                  </w14:solidFill>
                </w14:textFill>
              </w:rPr>
              <w:t xml:space="preserve">32.06 </w:t>
            </w:r>
          </w:p>
        </w:tc>
        <w:tc>
          <w:tcPr>
            <w:tcW w:w="122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367.1</w:t>
            </w:r>
          </w:p>
        </w:tc>
        <w:tc>
          <w:tcPr>
            <w:tcW w:w="119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44.79 </w:t>
            </w:r>
          </w:p>
        </w:tc>
        <w:tc>
          <w:tcPr>
            <w:tcW w:w="121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27.57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550"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阔叶林植被</w:t>
            </w:r>
          </w:p>
        </w:tc>
        <w:tc>
          <w:tcPr>
            <w:tcW w:w="1249"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麻栎、青冈、栓皮栎</w:t>
            </w:r>
          </w:p>
        </w:tc>
        <w:tc>
          <w:tcPr>
            <w:tcW w:w="973" w:type="dxa"/>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13.45</w:t>
            </w:r>
          </w:p>
        </w:tc>
        <w:tc>
          <w:tcPr>
            <w:tcW w:w="852"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highlight w:val="none"/>
                <w:u w:val="none"/>
                <w:lang w:val="en-US" w:eastAsia="zh-CN" w:bidi="ar"/>
                <w14:textFill>
                  <w14:solidFill>
                    <w14:schemeClr w14:val="tx1"/>
                  </w14:solidFill>
                </w14:textFill>
              </w:rPr>
              <w:t xml:space="preserve">35.35 </w:t>
            </w:r>
          </w:p>
        </w:tc>
        <w:tc>
          <w:tcPr>
            <w:tcW w:w="122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642.9</w:t>
            </w:r>
          </w:p>
        </w:tc>
        <w:tc>
          <w:tcPr>
            <w:tcW w:w="119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86.47 </w:t>
            </w:r>
          </w:p>
        </w:tc>
        <w:tc>
          <w:tcPr>
            <w:tcW w:w="121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53.23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50"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灌丛植被</w:t>
            </w:r>
          </w:p>
        </w:tc>
        <w:tc>
          <w:tcPr>
            <w:tcW w:w="1249"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lang w:eastAsia="zh-CN"/>
                <w14:textFill>
                  <w14:solidFill>
                    <w14:schemeClr w14:val="tx1"/>
                  </w14:solidFill>
                </w14:textFill>
              </w:rPr>
              <w:t>马桑、黄荆、火棘、荚蒾</w:t>
            </w:r>
          </w:p>
        </w:tc>
        <w:tc>
          <w:tcPr>
            <w:tcW w:w="973" w:type="dxa"/>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3.09</w:t>
            </w:r>
          </w:p>
        </w:tc>
        <w:tc>
          <w:tcPr>
            <w:tcW w:w="852"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highlight w:val="none"/>
                <w:u w:val="none"/>
                <w:lang w:val="en-US" w:eastAsia="zh-CN" w:bidi="ar"/>
                <w14:textFill>
                  <w14:solidFill>
                    <w14:schemeClr w14:val="tx1"/>
                  </w14:solidFill>
                </w14:textFill>
              </w:rPr>
              <w:t xml:space="preserve">8.12 </w:t>
            </w:r>
          </w:p>
        </w:tc>
        <w:tc>
          <w:tcPr>
            <w:tcW w:w="122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367.7</w:t>
            </w:r>
          </w:p>
        </w:tc>
        <w:tc>
          <w:tcPr>
            <w:tcW w:w="119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11.36 </w:t>
            </w:r>
          </w:p>
        </w:tc>
        <w:tc>
          <w:tcPr>
            <w:tcW w:w="121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6.99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jc w:val="center"/>
        </w:trPr>
        <w:tc>
          <w:tcPr>
            <w:tcW w:w="550"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草丛植被</w:t>
            </w:r>
          </w:p>
        </w:tc>
        <w:tc>
          <w:tcPr>
            <w:tcW w:w="1249"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lang w:eastAsia="zh-CN"/>
                <w14:textFill>
                  <w14:solidFill>
                    <w14:schemeClr w14:val="tx1"/>
                  </w14:solidFill>
                </w14:textFill>
              </w:rPr>
              <w:t>芒、白茅</w:t>
            </w:r>
          </w:p>
        </w:tc>
        <w:tc>
          <w:tcPr>
            <w:tcW w:w="973" w:type="dxa"/>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4.36</w:t>
            </w:r>
          </w:p>
        </w:tc>
        <w:tc>
          <w:tcPr>
            <w:tcW w:w="852"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highlight w:val="none"/>
                <w:u w:val="none"/>
                <w:lang w:val="en-US" w:eastAsia="zh-CN" w:bidi="ar"/>
                <w14:textFill>
                  <w14:solidFill>
                    <w14:schemeClr w14:val="tx1"/>
                  </w14:solidFill>
                </w14:textFill>
              </w:rPr>
              <w:t xml:space="preserve">11.46 </w:t>
            </w:r>
          </w:p>
        </w:tc>
        <w:tc>
          <w:tcPr>
            <w:tcW w:w="122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226.2</w:t>
            </w:r>
          </w:p>
        </w:tc>
        <w:tc>
          <w:tcPr>
            <w:tcW w:w="119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9.86 </w:t>
            </w:r>
          </w:p>
        </w:tc>
        <w:tc>
          <w:tcPr>
            <w:tcW w:w="121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6.07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550" w:type="pct"/>
            <w:vAlign w:val="center"/>
          </w:tcPr>
          <w:p>
            <w:pPr>
              <w:adjustRightInd/>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农作物植被</w:t>
            </w:r>
          </w:p>
        </w:tc>
        <w:tc>
          <w:tcPr>
            <w:tcW w:w="1249"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水稻、玉米、红苕、棉花、花生、小麦、马铃薯、豌豆</w:t>
            </w:r>
          </w:p>
        </w:tc>
        <w:tc>
          <w:tcPr>
            <w:tcW w:w="973" w:type="dxa"/>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2.34</w:t>
            </w:r>
          </w:p>
        </w:tc>
        <w:tc>
          <w:tcPr>
            <w:tcW w:w="852"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highlight w:val="none"/>
                <w:u w:val="none"/>
                <w:lang w:val="en-US" w:eastAsia="zh-CN" w:bidi="ar"/>
                <w14:textFill>
                  <w14:solidFill>
                    <w14:schemeClr w14:val="tx1"/>
                  </w14:solidFill>
                </w14:textFill>
              </w:rPr>
              <w:t xml:space="preserve">6.15 </w:t>
            </w:r>
          </w:p>
        </w:tc>
        <w:tc>
          <w:tcPr>
            <w:tcW w:w="122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426.5</w:t>
            </w:r>
          </w:p>
        </w:tc>
        <w:tc>
          <w:tcPr>
            <w:tcW w:w="119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9.98 </w:t>
            </w:r>
          </w:p>
        </w:tc>
        <w:tc>
          <w:tcPr>
            <w:tcW w:w="121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6.14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Align w:val="center"/>
          </w:tcPr>
          <w:p>
            <w:pPr>
              <w:adjustRightInd/>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无植被</w:t>
            </w:r>
          </w:p>
        </w:tc>
        <w:tc>
          <w:tcPr>
            <w:tcW w:w="1249"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w:t>
            </w:r>
          </w:p>
        </w:tc>
        <w:tc>
          <w:tcPr>
            <w:tcW w:w="97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2.61</w:t>
            </w:r>
          </w:p>
        </w:tc>
        <w:tc>
          <w:tcPr>
            <w:tcW w:w="852"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highlight w:val="none"/>
                <w:u w:val="none"/>
                <w:lang w:val="en-US" w:eastAsia="zh-CN" w:bidi="ar"/>
                <w14:textFill>
                  <w14:solidFill>
                    <w14:schemeClr w14:val="tx1"/>
                  </w14:solidFill>
                </w14:textFill>
              </w:rPr>
              <w:t xml:space="preserve">6.86 </w:t>
            </w:r>
          </w:p>
        </w:tc>
        <w:tc>
          <w:tcPr>
            <w:tcW w:w="122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19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 </w:t>
            </w:r>
          </w:p>
        </w:tc>
        <w:tc>
          <w:tcPr>
            <w:tcW w:w="121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pct"/>
            <w:vAlign w:val="center"/>
          </w:tcPr>
          <w:p>
            <w:pPr>
              <w:adjustRightInd/>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合计</w:t>
            </w:r>
          </w:p>
        </w:tc>
        <w:tc>
          <w:tcPr>
            <w:tcW w:w="1249"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w:t>
            </w:r>
          </w:p>
        </w:tc>
        <w:tc>
          <w:tcPr>
            <w:tcW w:w="97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38.04 </w:t>
            </w:r>
          </w:p>
        </w:tc>
        <w:tc>
          <w:tcPr>
            <w:tcW w:w="852"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100.00 </w:t>
            </w:r>
          </w:p>
        </w:tc>
        <w:tc>
          <w:tcPr>
            <w:tcW w:w="122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19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162.46 </w:t>
            </w:r>
          </w:p>
        </w:tc>
        <w:tc>
          <w:tcPr>
            <w:tcW w:w="121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100.00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pct"/>
            <w:vAlign w:val="center"/>
          </w:tcPr>
          <w:p>
            <w:pPr>
              <w:adjustRightInd/>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平均</w:t>
            </w:r>
          </w:p>
        </w:tc>
        <w:tc>
          <w:tcPr>
            <w:tcW w:w="1249"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w:t>
            </w:r>
          </w:p>
        </w:tc>
        <w:tc>
          <w:tcPr>
            <w:tcW w:w="97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852"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22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426.97 </w:t>
            </w:r>
          </w:p>
        </w:tc>
        <w:tc>
          <w:tcPr>
            <w:tcW w:w="1199" w:type="dxa"/>
            <w:vAlign w:val="center"/>
          </w:tcPr>
          <w:p>
            <w:pPr>
              <w:adjustRightInd/>
              <w:snapToGrid/>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p>
        </w:tc>
        <w:tc>
          <w:tcPr>
            <w:tcW w:w="1213" w:type="dxa"/>
            <w:vAlign w:val="center"/>
          </w:tcPr>
          <w:p>
            <w:pPr>
              <w:adjustRightInd/>
              <w:snapToGrid/>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pct"/>
            <w:vAlign w:val="center"/>
          </w:tcPr>
          <w:p>
            <w:pPr>
              <w:adjustRightInd/>
              <w:snapToGrid w:val="0"/>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参考标准</w:t>
            </w:r>
          </w:p>
        </w:tc>
        <w:tc>
          <w:tcPr>
            <w:tcW w:w="1249" w:type="pct"/>
            <w:vAlign w:val="center"/>
          </w:tcPr>
          <w:p>
            <w:pPr>
              <w:adjustRightInd/>
              <w:snapToGrid w:val="0"/>
              <w:spacing w:line="240" w:lineRule="auto"/>
              <w:ind w:firstLine="0" w:firstLineChars="0"/>
              <w:jc w:val="cente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snapToGrid w:val="0"/>
                <w:color w:val="000000" w:themeColor="text1"/>
                <w:sz w:val="21"/>
                <w:szCs w:val="21"/>
                <w:highlight w:val="none"/>
                <w14:textFill>
                  <w14:solidFill>
                    <w14:schemeClr w14:val="tx1"/>
                  </w14:solidFill>
                </w14:textFill>
              </w:rPr>
              <w:t>-</w:t>
            </w:r>
          </w:p>
        </w:tc>
        <w:tc>
          <w:tcPr>
            <w:tcW w:w="97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852"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22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684</w:t>
            </w:r>
          </w:p>
        </w:tc>
        <w:tc>
          <w:tcPr>
            <w:tcW w:w="1199"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213" w:type="dxa"/>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宋体" w:cs="Times New Roman"/>
                <w:b w:val="0"/>
                <w:bCs/>
                <w:snapToGrid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r>
    </w:tbl>
    <w:p>
      <w:pPr>
        <w:adjustRightInd/>
        <w:snapToGrid/>
        <w:spacing w:line="240" w:lineRule="auto"/>
        <w:ind w:firstLine="363" w:firstLineChars="0"/>
        <w:jc w:val="left"/>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注：表中平均生产力值来源于《中国陆地植被净初级生产力遥感估算》等文献，参考标准采用全国1989-1993中国陆地生态系统平均NPP值</w:t>
      </w:r>
    </w:p>
    <w:p>
      <w:pPr>
        <w:keepNext w:val="0"/>
        <w:keepLines w:val="0"/>
        <w:pageBreakBefore w:val="0"/>
        <w:widowControl w:val="0"/>
        <w:kinsoku/>
        <w:wordWrap/>
        <w:overflowPunct/>
        <w:topLinePunct w:val="0"/>
        <w:autoSpaceDE/>
        <w:autoSpaceDN/>
        <w:bidi w:val="0"/>
        <w:adjustRightInd w:val="0"/>
        <w:snapToGrid w:val="0"/>
        <w:spacing w:before="0" w:beforeLines="50"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0" w:beforeLines="50" w:line="360" w:lineRule="auto"/>
        <w:ind w:firstLine="480" w:firstLineChars="200"/>
        <w:textAlignment w:val="auto"/>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从表4.3-1</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0</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中可以看出，评价范围总</w:t>
      </w:r>
      <w:r>
        <w:rPr>
          <w:rFonts w:hint="default" w:ascii="Times New Roman" w:hAnsi="Times New Roman" w:eastAsia="宋体" w:cs="Times New Roman"/>
          <w:b w:val="0"/>
          <w:bCs/>
          <w:snapToGrid w:val="0"/>
          <w:color w:val="000000" w:themeColor="text1"/>
          <w:sz w:val="24"/>
          <w:szCs w:val="24"/>
          <w:highlight w:val="none"/>
          <w14:textFill>
            <w14:solidFill>
              <w14:schemeClr w14:val="tx1"/>
            </w14:solidFill>
          </w14:textFill>
        </w:rPr>
        <w:t>生产力</w:t>
      </w:r>
      <w:r>
        <w:rPr>
          <w:rFonts w:hint="default" w:ascii="Times New Roman" w:hAnsi="Times New Roman" w:eastAsia="宋体" w:cs="Times New Roman"/>
          <w:b w:val="0"/>
          <w:bCs/>
          <w:color w:val="000000" w:themeColor="text1"/>
          <w:kern w:val="0"/>
          <w:sz w:val="24"/>
          <w:szCs w:val="24"/>
          <w:highlight w:val="none"/>
          <w:lang w:val="en-US" w:eastAsia="zh-CN" w:bidi="ar"/>
          <w14:textFill>
            <w14:solidFill>
              <w14:schemeClr w14:val="tx1"/>
            </w14:solidFill>
          </w14:textFill>
        </w:rPr>
        <w:t>162.46</w:t>
      </w:r>
      <w:r>
        <w:rPr>
          <w:rFonts w:hint="default" w:ascii="Times New Roman" w:hAnsi="Times New Roman" w:eastAsia="宋体" w:cs="Times New Roman"/>
          <w:b w:val="0"/>
          <w:bCs/>
          <w:snapToGrid w:val="0"/>
          <w:color w:val="000000" w:themeColor="text1"/>
          <w:sz w:val="24"/>
          <w:szCs w:val="24"/>
          <w:highlight w:val="none"/>
          <w14:textFill>
            <w14:solidFill>
              <w14:schemeClr w14:val="tx1"/>
            </w14:solidFill>
          </w14:textFill>
        </w:rPr>
        <w:t>tC/（a），</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平均净生产</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426.79</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gC/（m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.a），比中国陆地生态系统</w:t>
      </w:r>
      <w:r>
        <w:rPr>
          <w:rFonts w:hint="default" w:ascii="Times New Roman" w:hAnsi="Times New Roman" w:eastAsia="宋体" w:cs="Times New Roman"/>
          <w:b w:val="0"/>
          <w:bCs/>
          <w:snapToGrid w:val="0"/>
          <w:color w:val="000000" w:themeColor="text1"/>
          <w:sz w:val="24"/>
          <w:szCs w:val="24"/>
          <w:highlight w:val="none"/>
          <w14:textFill>
            <w14:solidFill>
              <w14:schemeClr w14:val="tx1"/>
            </w14:solidFill>
          </w14:textFill>
        </w:rPr>
        <w:t>平均值低</w:t>
      </w:r>
      <w:r>
        <w:rPr>
          <w:rFonts w:hint="default" w:ascii="Times New Roman" w:hAnsi="Times New Roman" w:eastAsia="宋体" w:cs="Times New Roman"/>
          <w:b w:val="0"/>
          <w:bCs/>
          <w:snapToGrid w:val="0"/>
          <w:color w:val="000000" w:themeColor="text1"/>
          <w:sz w:val="24"/>
          <w:szCs w:val="24"/>
          <w:highlight w:val="none"/>
          <w:lang w:val="en-US" w:eastAsia="zh-CN"/>
          <w14:textFill>
            <w14:solidFill>
              <w14:schemeClr w14:val="tx1"/>
            </w14:solidFill>
          </w14:textFill>
        </w:rPr>
        <w:t>257.03</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gC/（m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.a），远不及评价范围土地自然生产力1585.88t/hm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/a，主要是由于评价范围内</w:t>
      </w:r>
      <w:r>
        <w:rPr>
          <w:rFonts w:hint="default" w:ascii="Times New Roman" w:hAnsi="Times New Roman" w:eastAsia="宋体" w:cs="Times New Roman"/>
          <w:b w:val="0"/>
          <w:bCs/>
          <w:snapToGrid w:val="0"/>
          <w:color w:val="000000" w:themeColor="text1"/>
          <w:sz w:val="24"/>
          <w:szCs w:val="24"/>
          <w:highlight w:val="none"/>
          <w14:textFill>
            <w14:solidFill>
              <w14:schemeClr w14:val="tx1"/>
            </w14:solidFill>
          </w14:textFill>
        </w:rPr>
        <w:t>平均净生产力水平较高的地带性常绿阔叶林植被，因为人为干扰，已经基本不复存在，取而代之的是平均净生产力水平</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较低的常绿针叶林和落叶阔叶林植被及耕地植被</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（3）评价范围植被生物量现状评价</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植被的生物量是指一定地段面积内植物群落在某一时期生存着的活有机物质之重量，以t/hm</w:t>
      </w:r>
      <w:r>
        <w:rPr>
          <w:rFonts w:hint="default" w:ascii="Times New Roman" w:hAnsi="Times New Roman" w:eastAsia="宋体" w:cs="Times New Roman"/>
          <w:b w:val="0"/>
          <w:bCs/>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表示。群落类型不同，其生物量测定的方法也有所不同。</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1、森林群落生物量</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森林生物量目前常用材积推算法来估算，用此方法估算出的生物量被称为材积源生物量。由于在作材积分析时需要对森林群落样地的林木进行砍伐取样，在实际操作中要</w:t>
      </w:r>
      <w:r>
        <w:rPr>
          <w:rFonts w:hint="eastAsia" w:cs="Times New Roman"/>
          <w:b w:val="0"/>
          <w:bCs/>
          <w:color w:val="000000" w:themeColor="text1"/>
          <w:kern w:val="0"/>
          <w:sz w:val="24"/>
          <w:szCs w:val="24"/>
          <w:highlight w:val="none"/>
          <w:lang w:eastAsia="zh-CN"/>
          <w14:textFill>
            <w14:solidFill>
              <w14:schemeClr w14:val="tx1"/>
            </w14:solidFill>
          </w14:textFill>
        </w:rPr>
        <w:t>涉及</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取样木砍伐的审批手续及样木赔偿付费等问题，因此，本次森林生物量的估算采取借用中国科学院生态环境研究中心专家建立的我国森林生物量的基本参数，以79.2t/hm</w:t>
      </w:r>
      <w:r>
        <w:rPr>
          <w:rFonts w:hint="default" w:ascii="Times New Roman" w:hAnsi="Times New Roman" w:eastAsia="宋体" w:cs="Times New Roman"/>
          <w:b w:val="0"/>
          <w:bCs/>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作为本次森林生物量估算的基础。考虑到上述参数未将森林群落的林下灌木、草本之生物量计入，因此，又借用中山大学学者在我国南方地区（广州林区）所进行的森林生物量测定中增加的灌木草本层生物量之补充，即在材积源生物量中增加10t/hm</w:t>
      </w:r>
      <w:r>
        <w:rPr>
          <w:rFonts w:hint="default" w:ascii="Times New Roman" w:hAnsi="Times New Roman" w:eastAsia="宋体" w:cs="Times New Roman"/>
          <w:b w:val="0"/>
          <w:bCs/>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，即以（79.2＋10）t/hm</w:t>
      </w:r>
      <w:r>
        <w:rPr>
          <w:rFonts w:hint="default" w:ascii="Times New Roman" w:hAnsi="Times New Roman" w:eastAsia="宋体" w:cs="Times New Roman"/>
          <w:b w:val="0"/>
          <w:bCs/>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来作为本评价</w:t>
      </w:r>
      <w:r>
        <w:rPr>
          <w:rFonts w:hint="default" w:ascii="Times New Roman" w:hAnsi="Times New Roman" w:eastAsia="宋体" w:cs="Times New Roman"/>
          <w:b w:val="0"/>
          <w:bCs/>
          <w:color w:val="000000" w:themeColor="text1"/>
          <w:kern w:val="0"/>
          <w:sz w:val="24"/>
          <w:szCs w:val="24"/>
          <w:highlight w:val="none"/>
          <w:lang w:eastAsia="zh-CN"/>
          <w14:textFill>
            <w14:solidFill>
              <w14:schemeClr w14:val="tx1"/>
            </w14:solidFill>
          </w14:textFill>
        </w:rPr>
        <w:t>范围</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森林群落生物量的基数。</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2、灌丛和灌草丛生物量</w:t>
      </w:r>
    </w:p>
    <w:p>
      <w:pPr>
        <w:adjustRightInd w:val="0"/>
        <w:snapToGrid w:val="0"/>
        <w:spacing w:line="360" w:lineRule="auto"/>
        <w:ind w:firstLine="0" w:firstLineChars="0"/>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 xml:space="preserve">    灌丛和灌草丛生物量采用收获法测定。本次野外实地调查中，选择不同灌丛和灌草丛类型，进行了典型样方生物量测定，考虑到不同灌丛类型其生物量有很大的差异，故分别对本区内两种类型的灌丛进行生物量的测定。灌丛共作4个5×5m的生物量样方，在每个样方内均匀取样4m</w:t>
      </w:r>
      <w:r>
        <w:rPr>
          <w:rFonts w:hint="default" w:ascii="Times New Roman" w:hAnsi="Times New Roman" w:eastAsia="宋体" w:cs="Times New Roman"/>
          <w:b w:val="0"/>
          <w:bCs/>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的生物量（鲜重），并将部分鲜样称重后带回实验室内恒温箱中80℃烘干至恒重，计算含水量及干物质重量，将生物量鲜重换算成干重，得到灌丛地上部分平均生物量为16.28t/hm</w:t>
      </w:r>
      <w:r>
        <w:rPr>
          <w:rFonts w:hint="default" w:ascii="Times New Roman" w:hAnsi="Times New Roman" w:eastAsia="宋体" w:cs="Times New Roman"/>
          <w:b w:val="0"/>
          <w:bCs/>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；灌草丛取4个1×1m的生物量样方，在每个样方内均匀取样1m</w:t>
      </w:r>
      <w:r>
        <w:rPr>
          <w:rFonts w:hint="default" w:ascii="Times New Roman" w:hAnsi="Times New Roman" w:eastAsia="宋体" w:cs="Times New Roman"/>
          <w:b w:val="0"/>
          <w:bCs/>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的生物量（鲜重），并将部分鲜样称重后带回实验室内恒温箱中80℃烘干至恒重，计算含水量及干物质重量，将生物量鲜重换算成干重，得到灌草丛地上部分平均生物量为4.52t/hm</w:t>
      </w:r>
      <w:r>
        <w:rPr>
          <w:rFonts w:hint="default" w:ascii="Times New Roman" w:hAnsi="Times New Roman" w:eastAsia="宋体" w:cs="Times New Roman"/>
          <w:b w:val="0"/>
          <w:bCs/>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由于现场测定仅作了灌丛和灌草丛的地上部分生物量的测定，地下部分生物量则利用已有的生物量资料中地上部分（T）与地下部分（R）之比例系数（T/R）为1.44的系数来推算出本评价范围内灌丛和灌草丛生物量的地下部分（屠玉麟，贵州中部喀斯特灌丛群落生物量研究，《中国岩溶》．Vol.14.No.3.1995）。因此，灌丛的生物量即为地上部分与地下部分之和：（16.28＋16.28/1.44）=27.58t/hm</w:t>
      </w:r>
      <w:r>
        <w:rPr>
          <w:rFonts w:hint="default" w:ascii="Times New Roman" w:hAnsi="Times New Roman" w:eastAsia="宋体" w:cs="Times New Roman"/>
          <w:b w:val="0"/>
          <w:bCs/>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，灌草丛的生物量即为地上部分与地下部分之和：（4.52＋4.52/1.44）=7.66t/hm</w:t>
      </w:r>
      <w:r>
        <w:rPr>
          <w:rFonts w:hint="default" w:ascii="Times New Roman" w:hAnsi="Times New Roman" w:eastAsia="宋体" w:cs="Times New Roman"/>
          <w:b w:val="0"/>
          <w:bCs/>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w:t>
      </w:r>
    </w:p>
    <w:p>
      <w:pPr>
        <w:adjustRightInd w:val="0"/>
        <w:snapToGrid w:val="0"/>
        <w:spacing w:line="360" w:lineRule="auto"/>
        <w:ind w:firstLine="0" w:firstLineChars="0"/>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 xml:space="preserve">    3、农田植被的生物量</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农田植被生物量由三部分组成，即作物子粒、</w:t>
      </w:r>
      <w:r>
        <w:rPr>
          <w:rFonts w:hint="eastAsia" w:cs="Times New Roman"/>
          <w:b w:val="0"/>
          <w:bCs/>
          <w:color w:val="000000" w:themeColor="text1"/>
          <w:sz w:val="24"/>
          <w:szCs w:val="24"/>
          <w:highlight w:val="none"/>
          <w:lang w:eastAsia="zh-CN"/>
          <w14:textFill>
            <w14:solidFill>
              <w14:schemeClr w14:val="tx1"/>
            </w14:solidFill>
          </w14:textFill>
        </w:rPr>
        <w:t>秸秆</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和根茬。由于目前尚无宣汉县农田的</w:t>
      </w:r>
      <w:r>
        <w:rPr>
          <w:rFonts w:hint="eastAsia" w:cs="Times New Roman"/>
          <w:b w:val="0"/>
          <w:bCs/>
          <w:color w:val="000000" w:themeColor="text1"/>
          <w:sz w:val="24"/>
          <w:szCs w:val="24"/>
          <w:highlight w:val="none"/>
          <w:lang w:eastAsia="zh-CN"/>
          <w14:textFill>
            <w14:solidFill>
              <w14:schemeClr w14:val="tx1"/>
            </w14:solidFill>
          </w14:textFill>
        </w:rPr>
        <w:t>秸秆</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、根茬单位面积产量数据，农田植被生物量基数参考周边已有案例。</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表4.3-11  评价范围内的植被生物量现状值</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2"/>
        <w:gridCol w:w="1699"/>
        <w:gridCol w:w="1883"/>
        <w:gridCol w:w="1690"/>
        <w:gridCol w:w="1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vMerge w:val="restar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植被类型</w:t>
            </w:r>
          </w:p>
        </w:tc>
        <w:tc>
          <w:tcPr>
            <w:tcW w:w="3091" w:type="pct"/>
            <w:gridSpan w:val="3"/>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项目评价范围</w:t>
            </w:r>
          </w:p>
        </w:tc>
        <w:tc>
          <w:tcPr>
            <w:tcW w:w="910" w:type="pc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vMerge w:val="continue"/>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p>
        </w:tc>
        <w:tc>
          <w:tcPr>
            <w:tcW w:w="996" w:type="pc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面积</w:t>
            </w:r>
            <w:r>
              <w:rPr>
                <w:rFonts w:hint="default" w:ascii="Times New Roman" w:hAnsi="Times New Roman" w:cs="Times New Roman"/>
                <w:b w:val="0"/>
                <w:bCs/>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hm</w:t>
            </w:r>
            <w:r>
              <w:rPr>
                <w:rFonts w:hint="default" w:ascii="Times New Roman" w:hAnsi="Times New Roman" w:eastAsia="宋体" w:cs="Times New Roman"/>
                <w:b w:val="0"/>
                <w:bCs/>
                <w:color w:val="000000" w:themeColor="text1"/>
                <w:kern w:val="0"/>
                <w:sz w:val="21"/>
                <w:szCs w:val="21"/>
                <w:highlight w:val="none"/>
                <w:vertAlign w:val="superscript"/>
                <w14:textFill>
                  <w14:solidFill>
                    <w14:schemeClr w14:val="tx1"/>
                  </w14:solidFill>
                </w14:textFill>
              </w:rPr>
              <w:t>2</w:t>
            </w:r>
            <w:r>
              <w:rPr>
                <w:rFonts w:hint="eastAsia" w:cs="Times New Roman"/>
                <w:b w:val="0"/>
                <w:bCs/>
                <w:color w:val="000000" w:themeColor="text1"/>
                <w:kern w:val="0"/>
                <w:sz w:val="21"/>
                <w:szCs w:val="21"/>
                <w:highlight w:val="none"/>
                <w:vertAlign w:val="superscript"/>
                <w:lang w:eastAsia="zh-CN"/>
                <w14:textFill>
                  <w14:solidFill>
                    <w14:schemeClr w14:val="tx1"/>
                  </w14:solidFill>
                </w14:textFill>
              </w:rPr>
              <w:t>）</w:t>
            </w:r>
          </w:p>
        </w:tc>
        <w:tc>
          <w:tcPr>
            <w:tcW w:w="1104" w:type="pc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基数</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（t/hm²）</w:t>
            </w:r>
          </w:p>
        </w:tc>
        <w:tc>
          <w:tcPr>
            <w:tcW w:w="990" w:type="pc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生物量</w:t>
            </w:r>
            <w:r>
              <w:rPr>
                <w:rFonts w:hint="default" w:ascii="Times New Roman" w:hAnsi="Times New Roman" w:cs="Times New Roman"/>
                <w:b w:val="0"/>
                <w:bCs/>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t</w:t>
            </w:r>
            <w:r>
              <w:rPr>
                <w:rFonts w:hint="eastAsia" w:cs="Times New Roman"/>
                <w:b w:val="0"/>
                <w:bCs/>
                <w:color w:val="000000" w:themeColor="text1"/>
                <w:kern w:val="0"/>
                <w:sz w:val="21"/>
                <w:szCs w:val="21"/>
                <w:highlight w:val="none"/>
                <w:lang w:eastAsia="zh-CN"/>
                <w14:textFill>
                  <w14:solidFill>
                    <w14:schemeClr w14:val="tx1"/>
                  </w14:solidFill>
                </w14:textFill>
              </w:rPr>
              <w:t>）</w:t>
            </w:r>
          </w:p>
        </w:tc>
        <w:tc>
          <w:tcPr>
            <w:tcW w:w="910" w:type="pc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旱地植被</w:t>
            </w:r>
          </w:p>
        </w:tc>
        <w:tc>
          <w:tcPr>
            <w:tcW w:w="1699" w:type="dxa"/>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2.34</w:t>
            </w:r>
          </w:p>
        </w:tc>
        <w:tc>
          <w:tcPr>
            <w:tcW w:w="1883" w:type="dxa"/>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10.31</w:t>
            </w:r>
          </w:p>
        </w:tc>
        <w:tc>
          <w:tcPr>
            <w:tcW w:w="1690"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24.13 </w:t>
            </w:r>
          </w:p>
        </w:tc>
        <w:tc>
          <w:tcPr>
            <w:tcW w:w="1552"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0.99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森林植被</w:t>
            </w:r>
          </w:p>
        </w:tc>
        <w:tc>
          <w:tcPr>
            <w:tcW w:w="1699" w:type="dxa"/>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25.65</w:t>
            </w:r>
          </w:p>
        </w:tc>
        <w:tc>
          <w:tcPr>
            <w:tcW w:w="1883" w:type="dxa"/>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89.2</w:t>
            </w:r>
          </w:p>
        </w:tc>
        <w:tc>
          <w:tcPr>
            <w:tcW w:w="1690"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2287.98 </w:t>
            </w:r>
          </w:p>
        </w:tc>
        <w:tc>
          <w:tcPr>
            <w:tcW w:w="1552"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94.13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灌丛植被</w:t>
            </w:r>
          </w:p>
        </w:tc>
        <w:tc>
          <w:tcPr>
            <w:tcW w:w="1699" w:type="dxa"/>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3.09</w:t>
            </w:r>
          </w:p>
        </w:tc>
        <w:tc>
          <w:tcPr>
            <w:tcW w:w="1883" w:type="dxa"/>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27.58</w:t>
            </w:r>
          </w:p>
        </w:tc>
        <w:tc>
          <w:tcPr>
            <w:tcW w:w="1690"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85.22 </w:t>
            </w:r>
          </w:p>
        </w:tc>
        <w:tc>
          <w:tcPr>
            <w:tcW w:w="1552"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3.51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灌草丛植被</w:t>
            </w:r>
          </w:p>
        </w:tc>
        <w:tc>
          <w:tcPr>
            <w:tcW w:w="1699" w:type="dxa"/>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4.36</w:t>
            </w:r>
          </w:p>
        </w:tc>
        <w:tc>
          <w:tcPr>
            <w:tcW w:w="1883" w:type="dxa"/>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7.66</w:t>
            </w:r>
          </w:p>
        </w:tc>
        <w:tc>
          <w:tcPr>
            <w:tcW w:w="1690"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33.40 </w:t>
            </w:r>
          </w:p>
        </w:tc>
        <w:tc>
          <w:tcPr>
            <w:tcW w:w="1552"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1.37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tcBorders>
              <w:tl2br w:val="nil"/>
              <w:tr2bl w:val="nil"/>
            </w:tcBorders>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合计</w:t>
            </w:r>
          </w:p>
        </w:tc>
        <w:tc>
          <w:tcPr>
            <w:tcW w:w="1699"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35.44</w:t>
            </w:r>
          </w:p>
        </w:tc>
        <w:tc>
          <w:tcPr>
            <w:tcW w:w="1883"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p>
        </w:tc>
        <w:tc>
          <w:tcPr>
            <w:tcW w:w="1690"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2430.73 </w:t>
            </w:r>
          </w:p>
        </w:tc>
        <w:tc>
          <w:tcPr>
            <w:tcW w:w="1552" w:type="dxa"/>
            <w:tcBorders>
              <w:tl2br w:val="nil"/>
              <w:tr2bl w:val="nil"/>
            </w:tcBorders>
            <w:vAlign w:val="bottom"/>
          </w:tcPr>
          <w:p>
            <w:pPr>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 xml:space="preserve">100.00 </w:t>
            </w:r>
          </w:p>
        </w:tc>
      </w:tr>
    </w:tbl>
    <w:p>
      <w:pPr>
        <w:keepNext w:val="0"/>
        <w:keepLines w:val="0"/>
        <w:pageBreakBefore w:val="0"/>
        <w:widowControl w:val="0"/>
        <w:kinsoku/>
        <w:wordWrap/>
        <w:overflowPunct/>
        <w:topLinePunct w:val="0"/>
        <w:autoSpaceDE/>
        <w:autoSpaceDN/>
        <w:bidi w:val="0"/>
        <w:adjustRightInd w:val="0"/>
        <w:snapToGrid w:val="0"/>
        <w:spacing w:before="0" w:beforeLines="50" w:line="360" w:lineRule="auto"/>
        <w:ind w:firstLine="480" w:firstLineChars="200"/>
        <w:textAlignment w:val="auto"/>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0" w:beforeLines="50" w:line="360" w:lineRule="auto"/>
        <w:ind w:firstLine="480" w:firstLineChars="200"/>
        <w:textAlignment w:val="auto"/>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由表4.3-1</w:t>
      </w:r>
      <w:r>
        <w:rPr>
          <w:rFonts w:hint="default" w:ascii="Times New Roman" w:hAnsi="Times New Roman" w:eastAsia="宋体" w:cs="Times New Roman"/>
          <w:b w:val="0"/>
          <w:bCs/>
          <w:color w:val="000000" w:themeColor="text1"/>
          <w:kern w:val="0"/>
          <w:sz w:val="24"/>
          <w:szCs w:val="24"/>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可知，在评价范围内植物总生物量中，森林植被生物量所占比重最大，达到</w:t>
      </w:r>
      <w:r>
        <w:rPr>
          <w:rFonts w:hint="default" w:ascii="Times New Roman" w:hAnsi="Times New Roman" w:eastAsia="宋体" w:cs="Times New Roman"/>
          <w:b w:val="0"/>
          <w:bCs/>
          <w:color w:val="000000" w:themeColor="text1"/>
          <w:kern w:val="0"/>
          <w:sz w:val="24"/>
          <w:szCs w:val="24"/>
          <w:highlight w:val="none"/>
          <w:lang w:val="en-US" w:eastAsia="zh-CN"/>
          <w14:textFill>
            <w14:solidFill>
              <w14:schemeClr w14:val="tx1"/>
            </w14:solidFill>
          </w14:textFill>
        </w:rPr>
        <w:t>94.13</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%，可见森林植被对区域生物量的贡献之大，同时也表明森林植被是本评价</w:t>
      </w:r>
      <w:r>
        <w:rPr>
          <w:rFonts w:hint="default" w:ascii="Times New Roman" w:hAnsi="Times New Roman" w:eastAsia="宋体" w:cs="Times New Roman"/>
          <w:b w:val="0"/>
          <w:bCs/>
          <w:color w:val="000000" w:themeColor="text1"/>
          <w:kern w:val="0"/>
          <w:sz w:val="24"/>
          <w:szCs w:val="24"/>
          <w:highlight w:val="none"/>
          <w:lang w:eastAsia="zh-CN"/>
          <w14:textFill>
            <w14:solidFill>
              <w14:schemeClr w14:val="tx1"/>
            </w14:solidFill>
          </w14:textFill>
        </w:rPr>
        <w:t>范围</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最重要的生态系统，森林生态效益不可忽视，在维持区域生态平衡方面有绝对的意义。</w:t>
      </w:r>
    </w:p>
    <w:p>
      <w:pPr>
        <w:keepNext/>
        <w:keepLines/>
        <w:widowControl/>
        <w:adjustRightInd w:val="0"/>
        <w:snapToGrid w:val="0"/>
        <w:spacing w:before="0" w:after="0" w:line="360" w:lineRule="auto"/>
        <w:ind w:firstLine="480" w:firstLineChars="200"/>
        <w:jc w:val="left"/>
        <w:outlineLvl w:val="2"/>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pPr>
      <w:bookmarkStart w:id="246" w:name="_Toc22583"/>
      <w:r>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t>4.3.6景观生态体系现状调查</w:t>
      </w:r>
      <w:bookmarkEnd w:id="246"/>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景观（Landscape）的定义有多种表述，但大部分都是反映内陆地形、地貌或景色的，或是反映某一地理区域的综合地形特征。而景观生态学（LandscapeEcology）将景观定义为：“一个空间异质性的区域，由相互作用的拼块（patch）或生态系统组成，以相似的形式重复出现的生态体系”。为了深入认识评价范围内的环境特征，下面用景观生态学的原理和方法来研究生态体系的组成、特征、生产力及其稳定性。</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1、景观生态体系组成与特征</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按照生态学中景观的概念描述可知，景观生态体系的组成即生态系统或土地利</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用类型组成，因而可以用评价范围内的主要土地利用类型——森林、灌丛、灌草丛、耕地、河流水面、建设用地等生态系统作为景观体系的基本单元——拼块来进行景观分析。</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马尾松、麻栎、青冈、栓皮栎</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及乔木经济树种等为主的森林拼块</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属于人工栽培或干预后经过一段时间自然生长发育形成，具有一定人工性，属于环境资源拼块。该拼块广泛分布，连通程度较高。该拼块面积为</w:t>
      </w:r>
      <w:r>
        <w:rPr>
          <w:rFonts w:hint="default" w:ascii="Times New Roman" w:hAnsi="Times New Roman" w:eastAsia="宋体" w:cs="Times New Roman"/>
          <w:b w:val="0"/>
          <w:bCs/>
          <w:color w:val="000000" w:themeColor="text1"/>
          <w:kern w:val="0"/>
          <w:sz w:val="24"/>
          <w:szCs w:val="24"/>
          <w:highlight w:val="none"/>
          <w:lang w:val="en-US" w:eastAsia="zh-CN" w:bidi="ar"/>
          <w14:textFill>
            <w14:solidFill>
              <w14:schemeClr w14:val="tx1"/>
            </w14:solidFill>
          </w14:textFill>
        </w:rPr>
        <w:t>25.65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hm²，约占评价</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范围</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总面积的</w:t>
      </w:r>
      <w:r>
        <w:rPr>
          <w:rFonts w:hint="default" w:ascii="Times New Roman" w:hAnsi="Times New Roman" w:eastAsia="宋体" w:cs="Times New Roman"/>
          <w:b w:val="0"/>
          <w:bCs/>
          <w:color w:val="000000" w:themeColor="text1"/>
          <w:kern w:val="0"/>
          <w:sz w:val="24"/>
          <w:szCs w:val="24"/>
          <w:highlight w:val="none"/>
          <w:lang w:val="en-US" w:eastAsia="zh-CN" w:bidi="ar"/>
          <w14:textFill>
            <w14:solidFill>
              <w14:schemeClr w14:val="tx1"/>
            </w14:solidFill>
          </w14:textFill>
        </w:rPr>
        <w:t>67.44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%，是评价区内较最重要的景观拼块，对评价区内生态起着绝对作用。</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马桑、黄荆、火棘、荚蒾</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及灌木经济树种等为主的灌丛拼块属于人类活动影响下形成的干扰拼块，多分布在林地边缘地带或荒坡田坎，由于人类活动频繁，受干扰程度高，水土流失和生物多样性受损较严重。该拼块面积为</w:t>
      </w:r>
      <w:r>
        <w:rPr>
          <w:rFonts w:hint="default" w:ascii="Times New Roman" w:hAnsi="Times New Roman" w:eastAsia="宋体" w:cs="Times New Roman"/>
          <w:b w:val="0"/>
          <w:bCs/>
          <w:color w:val="000000" w:themeColor="text1"/>
          <w:kern w:val="0"/>
          <w:sz w:val="24"/>
          <w:szCs w:val="24"/>
          <w:highlight w:val="none"/>
          <w:lang w:val="en-US" w:eastAsia="zh-CN" w:bidi="ar"/>
          <w14:textFill>
            <w14:solidFill>
              <w14:schemeClr w14:val="tx1"/>
            </w14:solidFill>
          </w14:textFill>
        </w:rPr>
        <w:t xml:space="preserve">3.09 </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hm²，占评价</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范围</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总面积的</w:t>
      </w:r>
      <w:r>
        <w:rPr>
          <w:rFonts w:hint="default" w:ascii="Times New Roman" w:hAnsi="Times New Roman" w:eastAsia="宋体" w:cs="Times New Roman"/>
          <w:b w:val="0"/>
          <w:bCs/>
          <w:color w:val="000000" w:themeColor="text1"/>
          <w:kern w:val="0"/>
          <w:sz w:val="24"/>
          <w:szCs w:val="24"/>
          <w:highlight w:val="none"/>
          <w:lang w:val="en-US" w:eastAsia="zh-CN"/>
          <w14:textFill>
            <w14:solidFill>
              <w14:schemeClr w14:val="tx1"/>
            </w14:solidFill>
          </w14:textFill>
        </w:rPr>
        <w:t>8.12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芒、白茅</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等为主的灌草丛拼块</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属于人类活动影响下形成的干扰拼块，分布广泛，由于人类活动频繁，受干扰程度高，水土流失和生物多样性受损较严重。该拼块面积为</w:t>
      </w:r>
      <w:r>
        <w:rPr>
          <w:rFonts w:hint="default" w:ascii="Times New Roman" w:hAnsi="Times New Roman" w:eastAsia="宋体" w:cs="Times New Roman"/>
          <w:b w:val="0"/>
          <w:bCs/>
          <w:color w:val="000000" w:themeColor="text1"/>
          <w:kern w:val="0"/>
          <w:sz w:val="24"/>
          <w:szCs w:val="24"/>
          <w:highlight w:val="none"/>
          <w:lang w:val="en-US" w:eastAsia="zh-CN" w:bidi="ar"/>
          <w14:textFill>
            <w14:solidFill>
              <w14:schemeClr w14:val="tx1"/>
            </w14:solidFill>
          </w14:textFill>
        </w:rPr>
        <w:t>4.36</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hm²，占评价区总面积的</w:t>
      </w:r>
      <w:r>
        <w:rPr>
          <w:rFonts w:hint="default" w:ascii="Times New Roman" w:hAnsi="Times New Roman" w:eastAsia="宋体" w:cs="Times New Roman"/>
          <w:b w:val="0"/>
          <w:bCs/>
          <w:color w:val="000000" w:themeColor="text1"/>
          <w:kern w:val="0"/>
          <w:sz w:val="24"/>
          <w:szCs w:val="24"/>
          <w:highlight w:val="none"/>
          <w:lang w:val="en-US" w:eastAsia="zh-CN"/>
          <w14:textFill>
            <w14:solidFill>
              <w14:schemeClr w14:val="tx1"/>
            </w14:solidFill>
          </w14:textFill>
        </w:rPr>
        <w:t>11.45</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（4）以玉米、红苕、棉花、花生、小麦、马铃薯、豌豆为主的耕地植被拼块</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属于人工引进的种植拼块。该拼块的生境、外貌及结构与水田均有明显区别，其生境一般比较干燥，地面具有一定坡度，作物种类比较多样化，并形成多种组合。该拼块面积为</w:t>
      </w:r>
      <w:r>
        <w:rPr>
          <w:rFonts w:hint="default" w:ascii="Times New Roman" w:hAnsi="Times New Roman" w:eastAsia="宋体" w:cs="Times New Roman"/>
          <w:b w:val="0"/>
          <w:bCs/>
          <w:color w:val="000000" w:themeColor="text1"/>
          <w:kern w:val="0"/>
          <w:sz w:val="24"/>
          <w:szCs w:val="24"/>
          <w:highlight w:val="none"/>
          <w:lang w:val="en-US" w:eastAsia="zh-CN" w:bidi="ar"/>
          <w14:textFill>
            <w14:solidFill>
              <w14:schemeClr w14:val="tx1"/>
            </w14:solidFill>
          </w14:textFill>
        </w:rPr>
        <w:t>2.34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hm²，占评价区面积的</w:t>
      </w:r>
      <w:r>
        <w:rPr>
          <w:rFonts w:hint="default" w:ascii="Times New Roman" w:hAnsi="Times New Roman" w:eastAsia="宋体" w:cs="Times New Roman"/>
          <w:b w:val="0"/>
          <w:bCs/>
          <w:color w:val="000000" w:themeColor="text1"/>
          <w:kern w:val="0"/>
          <w:sz w:val="24"/>
          <w:szCs w:val="24"/>
          <w:highlight w:val="none"/>
          <w:lang w:val="en-US" w:eastAsia="zh-CN"/>
          <w14:textFill>
            <w14:solidFill>
              <w14:schemeClr w14:val="tx1"/>
            </w14:solidFill>
          </w14:textFill>
        </w:rPr>
        <w:t>6.14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）建设用地为主的人工生态系统拼块</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该拼块是人工建造引进的拼块，为人类的聚居地，是拼块中受人类干扰最明显的组分之一，表现在拼块外貌和结构上不再具有自然属性，更具社会性，该拼块在区内分布比较局限，在村寨所在地有成片分布。该拼块面积约为</w:t>
      </w:r>
      <w:r>
        <w:rPr>
          <w:rFonts w:hint="default" w:ascii="Times New Roman" w:hAnsi="Times New Roman" w:eastAsia="宋体" w:cs="Times New Roman"/>
          <w:b w:val="0"/>
          <w:bCs/>
          <w:color w:val="000000" w:themeColor="text1"/>
          <w:kern w:val="0"/>
          <w:sz w:val="24"/>
          <w:szCs w:val="24"/>
          <w:highlight w:val="none"/>
          <w:lang w:val="en-US" w:eastAsia="zh-CN" w:bidi="ar"/>
          <w14:textFill>
            <w14:solidFill>
              <w14:schemeClr w14:val="tx1"/>
            </w14:solidFill>
          </w14:textFill>
        </w:rPr>
        <w:t>2.38</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hm²，占评价区总面积的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6.26</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numPr>
          <w:ilvl w:val="0"/>
          <w:numId w:val="14"/>
        </w:num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以坑塘水面为主的水面拼块</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主要为评价区房前屋后人工开挖的坑塘，</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该拼块面积约为</w:t>
      </w:r>
      <w:r>
        <w:rPr>
          <w:rFonts w:hint="default" w:ascii="Times New Roman" w:hAnsi="Times New Roman" w:eastAsia="宋体" w:cs="Times New Roman"/>
          <w:b w:val="0"/>
          <w:bCs/>
          <w:color w:val="000000" w:themeColor="text1"/>
          <w:kern w:val="0"/>
          <w:sz w:val="24"/>
          <w:szCs w:val="24"/>
          <w:highlight w:val="none"/>
          <w:lang w:val="en-US" w:eastAsia="zh-CN" w:bidi="ar"/>
          <w14:textFill>
            <w14:solidFill>
              <w14:schemeClr w14:val="tx1"/>
            </w14:solidFill>
          </w14:textFill>
        </w:rPr>
        <w:t>0.23</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hm²，占评价区总面积的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0.59</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以上拼块类型构成了本区景观生态体系，它们之间既相互联系又相互制约。</w:t>
      </w:r>
    </w:p>
    <w:p>
      <w:pPr>
        <w:adjustRightInd w:val="0"/>
        <w:snapToGrid w:val="0"/>
        <w:spacing w:line="360" w:lineRule="auto"/>
        <w:ind w:firstLine="0"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以</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马尾松、麻栎、青冈、栓皮栎</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及乔木经济树种的森林拼块，以</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马桑、黄荆、火棘、荚蒾</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及灌木经济树种为主的灌丛拼块等陆地生态系统决定了以河流水面为主的水生生态系统状况，同时对以水稻、玉米、红苕、棉花、花生、小麦、马铃薯、豌豆为主的耕地植被的生产力水平有着重要影响。环境资源拼块自然生产能力和稳定性的维护是决定本区生态环境质量的主导性因素，该类型拼块的总面积为</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33.09</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，占所有拼块总面积的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87</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%；人为活动影响产生的拼块总面积为</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4.94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，占所有拼块总面积的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13</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adjustRightInd w:val="0"/>
        <w:snapToGrid w:val="0"/>
        <w:spacing w:line="360" w:lineRule="auto"/>
        <w:ind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评价范围内以上各景观拼块相应特征见表4.3-1</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表4.3-12 评价范围拼块类型、数量及面积表</w:t>
      </w:r>
    </w:p>
    <w:tbl>
      <w:tblPr>
        <w:tblStyle w:val="52"/>
        <w:tblW w:w="5000" w:type="pct"/>
        <w:jc w:val="center"/>
        <w:tblLayout w:type="autofit"/>
        <w:tblCellMar>
          <w:top w:w="15" w:type="dxa"/>
          <w:left w:w="15" w:type="dxa"/>
          <w:bottom w:w="15" w:type="dxa"/>
          <w:right w:w="15" w:type="dxa"/>
        </w:tblCellMar>
      </w:tblPr>
      <w:tblGrid>
        <w:gridCol w:w="3121"/>
        <w:gridCol w:w="2786"/>
        <w:gridCol w:w="2433"/>
      </w:tblGrid>
      <w:tr>
        <w:tblPrEx>
          <w:tblCellMar>
            <w:top w:w="15" w:type="dxa"/>
            <w:left w:w="15" w:type="dxa"/>
            <w:bottom w:w="15" w:type="dxa"/>
            <w:right w:w="15" w:type="dxa"/>
          </w:tblCellMar>
        </w:tblPrEx>
        <w:trPr>
          <w:trHeight w:val="417" w:hRule="atLeast"/>
          <w:jc w:val="center"/>
        </w:trPr>
        <w:tc>
          <w:tcPr>
            <w:tcW w:w="187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拼块类型</w:t>
            </w:r>
          </w:p>
        </w:tc>
        <w:tc>
          <w:tcPr>
            <w:tcW w:w="167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面积（hm</w:t>
            </w:r>
            <w:r>
              <w:rPr>
                <w:rFonts w:hint="default" w:ascii="Times New Roman" w:hAnsi="Times New Roman" w:eastAsia="宋体" w:cs="Times New Roman"/>
                <w:b w:val="0"/>
                <w:bCs/>
                <w:color w:val="000000" w:themeColor="text1"/>
                <w:kern w:val="0"/>
                <w:sz w:val="21"/>
                <w:szCs w:val="21"/>
                <w:highlight w:val="none"/>
                <w:vertAlign w:val="superscript"/>
                <w:lang w:bidi="ar"/>
                <w14:textFill>
                  <w14:solidFill>
                    <w14:schemeClr w14:val="tx1"/>
                  </w14:solidFill>
                </w14:textFill>
              </w:rPr>
              <w:t>2</w:t>
            </w: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w:t>
            </w:r>
          </w:p>
        </w:tc>
        <w:tc>
          <w:tcPr>
            <w:tcW w:w="145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百分比（%）</w:t>
            </w:r>
          </w:p>
        </w:tc>
      </w:tr>
      <w:tr>
        <w:tblPrEx>
          <w:tblCellMar>
            <w:top w:w="15" w:type="dxa"/>
            <w:left w:w="15" w:type="dxa"/>
            <w:bottom w:w="15" w:type="dxa"/>
            <w:right w:w="15" w:type="dxa"/>
          </w:tblCellMar>
        </w:tblPrEx>
        <w:trPr>
          <w:trHeight w:val="315" w:hRule="atLeast"/>
          <w:jc w:val="center"/>
        </w:trPr>
        <w:tc>
          <w:tcPr>
            <w:tcW w:w="187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森林拼块</w:t>
            </w:r>
          </w:p>
        </w:tc>
        <w:tc>
          <w:tcPr>
            <w:tcW w:w="2786"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25.65 </w:t>
            </w:r>
          </w:p>
        </w:tc>
        <w:tc>
          <w:tcPr>
            <w:tcW w:w="2433"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67.44 </w:t>
            </w:r>
          </w:p>
        </w:tc>
      </w:tr>
      <w:tr>
        <w:tblPrEx>
          <w:tblCellMar>
            <w:top w:w="15" w:type="dxa"/>
            <w:left w:w="15" w:type="dxa"/>
            <w:bottom w:w="15" w:type="dxa"/>
            <w:right w:w="15" w:type="dxa"/>
          </w:tblCellMar>
        </w:tblPrEx>
        <w:trPr>
          <w:trHeight w:val="405" w:hRule="atLeast"/>
          <w:jc w:val="center"/>
        </w:trPr>
        <w:tc>
          <w:tcPr>
            <w:tcW w:w="187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灌丛拼块</w:t>
            </w:r>
          </w:p>
        </w:tc>
        <w:tc>
          <w:tcPr>
            <w:tcW w:w="2786"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3.09 </w:t>
            </w:r>
          </w:p>
        </w:tc>
        <w:tc>
          <w:tcPr>
            <w:tcW w:w="2433"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8.12 </w:t>
            </w:r>
          </w:p>
        </w:tc>
      </w:tr>
      <w:tr>
        <w:tblPrEx>
          <w:tblCellMar>
            <w:top w:w="15" w:type="dxa"/>
            <w:left w:w="15" w:type="dxa"/>
            <w:bottom w:w="15" w:type="dxa"/>
            <w:right w:w="15" w:type="dxa"/>
          </w:tblCellMar>
        </w:tblPrEx>
        <w:trPr>
          <w:trHeight w:val="385" w:hRule="atLeast"/>
          <w:jc w:val="center"/>
        </w:trPr>
        <w:tc>
          <w:tcPr>
            <w:tcW w:w="187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灌草丛拼块</w:t>
            </w:r>
          </w:p>
        </w:tc>
        <w:tc>
          <w:tcPr>
            <w:tcW w:w="2786"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4.36 </w:t>
            </w:r>
          </w:p>
        </w:tc>
        <w:tc>
          <w:tcPr>
            <w:tcW w:w="2433"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11.45 </w:t>
            </w:r>
          </w:p>
        </w:tc>
      </w:tr>
      <w:tr>
        <w:tblPrEx>
          <w:tblCellMar>
            <w:top w:w="15" w:type="dxa"/>
            <w:left w:w="15" w:type="dxa"/>
            <w:bottom w:w="15" w:type="dxa"/>
            <w:right w:w="15" w:type="dxa"/>
          </w:tblCellMar>
        </w:tblPrEx>
        <w:trPr>
          <w:trHeight w:val="330" w:hRule="atLeast"/>
          <w:jc w:val="center"/>
        </w:trPr>
        <w:tc>
          <w:tcPr>
            <w:tcW w:w="1871" w:type="pct"/>
            <w:tcBorders>
              <w:top w:val="single" w:color="000000" w:sz="4" w:space="0"/>
              <w:left w:val="single" w:color="000000" w:sz="4" w:space="0"/>
              <w:bottom w:val="single" w:color="auto"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耕地植被拼块</w:t>
            </w:r>
          </w:p>
        </w:tc>
        <w:tc>
          <w:tcPr>
            <w:tcW w:w="2786"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2.34 </w:t>
            </w:r>
          </w:p>
        </w:tc>
        <w:tc>
          <w:tcPr>
            <w:tcW w:w="2433"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6.14 </w:t>
            </w:r>
          </w:p>
        </w:tc>
      </w:tr>
      <w:tr>
        <w:tblPrEx>
          <w:tblCellMar>
            <w:top w:w="15" w:type="dxa"/>
            <w:left w:w="15" w:type="dxa"/>
            <w:bottom w:w="15" w:type="dxa"/>
            <w:right w:w="15" w:type="dxa"/>
          </w:tblCellMar>
        </w:tblPrEx>
        <w:trPr>
          <w:trHeight w:val="330" w:hRule="atLeast"/>
          <w:jc w:val="center"/>
        </w:trPr>
        <w:tc>
          <w:tcPr>
            <w:tcW w:w="1871" w:type="pct"/>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人工生态系统拼块</w:t>
            </w:r>
          </w:p>
        </w:tc>
        <w:tc>
          <w:tcPr>
            <w:tcW w:w="2786" w:type="dxa"/>
            <w:tcBorders>
              <w:top w:val="single" w:color="000000" w:sz="4" w:space="0"/>
              <w:left w:val="single" w:color="auto"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2.38</w:t>
            </w:r>
          </w:p>
        </w:tc>
        <w:tc>
          <w:tcPr>
            <w:tcW w:w="2432"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6.26 </w:t>
            </w:r>
          </w:p>
        </w:tc>
      </w:tr>
      <w:tr>
        <w:tblPrEx>
          <w:tblCellMar>
            <w:top w:w="15" w:type="dxa"/>
            <w:left w:w="15" w:type="dxa"/>
            <w:bottom w:w="15" w:type="dxa"/>
            <w:right w:w="15" w:type="dxa"/>
          </w:tblCellMar>
        </w:tblPrEx>
        <w:trPr>
          <w:trHeight w:val="330" w:hRule="atLeast"/>
          <w:jc w:val="center"/>
        </w:trPr>
        <w:tc>
          <w:tcPr>
            <w:tcW w:w="1871" w:type="pct"/>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水面拼块</w:t>
            </w:r>
          </w:p>
        </w:tc>
        <w:tc>
          <w:tcPr>
            <w:tcW w:w="2786" w:type="dxa"/>
            <w:tcBorders>
              <w:top w:val="single" w:color="000000" w:sz="4" w:space="0"/>
              <w:left w:val="single" w:color="auto"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0.23 </w:t>
            </w:r>
          </w:p>
        </w:tc>
        <w:tc>
          <w:tcPr>
            <w:tcW w:w="2432"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0.59 </w:t>
            </w:r>
          </w:p>
        </w:tc>
      </w:tr>
      <w:tr>
        <w:tblPrEx>
          <w:tblCellMar>
            <w:top w:w="15" w:type="dxa"/>
            <w:left w:w="15" w:type="dxa"/>
            <w:bottom w:w="15" w:type="dxa"/>
            <w:right w:w="15" w:type="dxa"/>
          </w:tblCellMar>
        </w:tblPrEx>
        <w:trPr>
          <w:trHeight w:val="330" w:hRule="atLeast"/>
          <w:jc w:val="center"/>
        </w:trPr>
        <w:tc>
          <w:tcPr>
            <w:tcW w:w="1871" w:type="pct"/>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总计</w:t>
            </w:r>
          </w:p>
        </w:tc>
        <w:tc>
          <w:tcPr>
            <w:tcW w:w="2786" w:type="dxa"/>
            <w:tcBorders>
              <w:top w:val="single" w:color="000000" w:sz="4" w:space="0"/>
              <w:left w:val="single" w:color="auto"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38.04 </w:t>
            </w:r>
          </w:p>
        </w:tc>
        <w:tc>
          <w:tcPr>
            <w:tcW w:w="2432"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100.00 </w:t>
            </w:r>
          </w:p>
        </w:tc>
      </w:tr>
    </w:tbl>
    <w:p>
      <w:pPr>
        <w:adjustRightInd/>
        <w:snapToGrid/>
        <w:spacing w:line="154" w:lineRule="exact"/>
        <w:ind w:firstLine="0" w:firstLineChars="0"/>
        <w:rPr>
          <w:rFonts w:hint="default" w:ascii="Times New Roman" w:hAnsi="Times New Roman" w:eastAsia="宋体" w:cs="Times New Roman"/>
          <w:b w:val="0"/>
          <w:bCs/>
          <w:color w:val="000000" w:themeColor="text1"/>
          <w:sz w:val="21"/>
          <w:szCs w:val="24"/>
          <w:highlight w:val="none"/>
          <w14:textFill>
            <w14:solidFill>
              <w14:schemeClr w14:val="tx1"/>
            </w14:solidFill>
          </w14:textFill>
        </w:rPr>
      </w:pPr>
    </w:p>
    <w:p>
      <w:pPr>
        <w:adjustRightInd/>
        <w:snapToGrid/>
        <w:spacing w:line="480" w:lineRule="exact"/>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2、景观生态体系现状质量评价</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景观稳定性是景观的各种参数的长期变化呈水平状态，或是在水平线上下摆动的幅度和周期性具有统计特征（Format，1990），它的稳定性本质上是景观各组分，即气候、地貌、岩石、土壤、植被、水文等稳定性的综合体现，它们之间既有一定联系，又有一定区别。因此，在评价景观的稳定性时应考虑到景观组分间的相互联系与相互作用，在实际中评价景观的稳定性时，主要考虑的是植被组分的变化。</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范围</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环境是一个以自然环境为主、受人类活动干扰强烈的区域环境，其环境质量状况是由区内自然环境各个因子与人类社会之间的相互作用来决定的。根据景观生态学中景观生态结构与功能相匹配的原理，景观结构的合理性将决定区域净功能状况的优劣，即决定景观生态体系的质量状况。因此，采取区内景观生态体系空间结构合理程度的方法，来判断区内景观生态体系的稳定性。具体方法采用《环境影响评价技术导则——生态影响》（HJ19-2011）中推荐的优势度计算法，各参数计算公式如下：</w:t>
      </w:r>
    </w:p>
    <w:p>
      <w:pPr>
        <w:adjustRightInd/>
        <w:snapToGrid/>
        <w:spacing w:line="500" w:lineRule="exact"/>
        <w:ind w:right="100" w:firstLine="0"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xml:space="preserve">    </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密度Rd=I拼块的数目/拼块的总数×100﹪；</w:t>
      </w:r>
    </w:p>
    <w:p>
      <w:pPr>
        <w:adjustRightInd/>
        <w:snapToGrid/>
        <w:spacing w:line="500" w:lineRule="exact"/>
        <w:ind w:right="100"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频率Rf=拼块I出现的小样方数/小样方总数×100﹪；</w:t>
      </w:r>
    </w:p>
    <w:p>
      <w:pPr>
        <w:adjustRightInd/>
        <w:snapToGrid/>
        <w:spacing w:line="500" w:lineRule="exact"/>
        <w:ind w:right="100"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景观比例Lp＝拼块I的面积/样地总面积×100﹪；</w:t>
      </w:r>
    </w:p>
    <w:p>
      <w:pPr>
        <w:adjustRightInd/>
        <w:snapToGrid/>
        <w:spacing w:line="500" w:lineRule="exact"/>
        <w:ind w:right="100"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景观优势度Do＝12[（Rd+Rf）/2＋Lp]×100﹪。</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在景观频率的评判中，采取在微机上的土地利用图上取样的方法，共选取200个小样方。统计各类拼块出现的小样方数，得出各个拼块的频度，计算出主要拼块的优势度，结果见表4.3-1</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表4.3-13 评价范围各拼块优势度值</w:t>
      </w:r>
    </w:p>
    <w:tbl>
      <w:tblPr>
        <w:tblStyle w:val="52"/>
        <w:tblW w:w="5000" w:type="pct"/>
        <w:jc w:val="center"/>
        <w:tblLayout w:type="autofit"/>
        <w:tblCellMar>
          <w:top w:w="15" w:type="dxa"/>
          <w:left w:w="15" w:type="dxa"/>
          <w:bottom w:w="15" w:type="dxa"/>
          <w:right w:w="15" w:type="dxa"/>
        </w:tblCellMar>
      </w:tblPr>
      <w:tblGrid>
        <w:gridCol w:w="1640"/>
        <w:gridCol w:w="1535"/>
        <w:gridCol w:w="1610"/>
        <w:gridCol w:w="1961"/>
        <w:gridCol w:w="1594"/>
      </w:tblGrid>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拼块类型</w:t>
            </w:r>
          </w:p>
        </w:tc>
        <w:tc>
          <w:tcPr>
            <w:tcW w:w="92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密度Rd（%）</w:t>
            </w:r>
          </w:p>
        </w:tc>
        <w:tc>
          <w:tcPr>
            <w:tcW w:w="96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频率Rf（%）</w:t>
            </w:r>
          </w:p>
        </w:tc>
        <w:tc>
          <w:tcPr>
            <w:tcW w:w="117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景观比例Lp（%）</w:t>
            </w:r>
          </w:p>
        </w:tc>
        <w:tc>
          <w:tcPr>
            <w:tcW w:w="95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优势度Do（%）</w:t>
            </w:r>
          </w:p>
        </w:tc>
      </w:tr>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森林</w:t>
            </w:r>
          </w:p>
        </w:tc>
        <w:tc>
          <w:tcPr>
            <w:tcW w:w="1535"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37.68 </w:t>
            </w:r>
          </w:p>
        </w:tc>
        <w:tc>
          <w:tcPr>
            <w:tcW w:w="1610"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66.44 </w:t>
            </w:r>
          </w:p>
        </w:tc>
        <w:tc>
          <w:tcPr>
            <w:tcW w:w="1961"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64.64</w:t>
            </w:r>
          </w:p>
        </w:tc>
        <w:tc>
          <w:tcPr>
            <w:tcW w:w="1594" w:type="dxa"/>
            <w:tcBorders>
              <w:top w:val="single" w:color="000000" w:sz="4" w:space="0"/>
              <w:left w:val="single" w:color="000000" w:sz="4" w:space="0"/>
              <w:bottom w:val="single" w:color="000000" w:sz="4" w:space="0"/>
              <w:right w:val="single" w:color="000000" w:sz="4" w:space="0"/>
            </w:tcBorders>
            <w:vAlign w:val="bottom"/>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58.35 </w:t>
            </w:r>
          </w:p>
        </w:tc>
      </w:tr>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灌丛</w:t>
            </w:r>
          </w:p>
        </w:tc>
        <w:tc>
          <w:tcPr>
            <w:tcW w:w="1535"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8.70 </w:t>
            </w:r>
          </w:p>
        </w:tc>
        <w:tc>
          <w:tcPr>
            <w:tcW w:w="1610"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8.12 </w:t>
            </w:r>
          </w:p>
        </w:tc>
        <w:tc>
          <w:tcPr>
            <w:tcW w:w="1961"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8.34</w:t>
            </w:r>
          </w:p>
        </w:tc>
        <w:tc>
          <w:tcPr>
            <w:tcW w:w="1594" w:type="dxa"/>
            <w:tcBorders>
              <w:top w:val="single" w:color="000000" w:sz="4" w:space="0"/>
              <w:left w:val="single" w:color="000000" w:sz="4" w:space="0"/>
              <w:bottom w:val="single" w:color="000000" w:sz="4" w:space="0"/>
              <w:right w:val="single" w:color="000000" w:sz="4" w:space="0"/>
            </w:tcBorders>
            <w:vAlign w:val="bottom"/>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8.38 </w:t>
            </w:r>
          </w:p>
        </w:tc>
      </w:tr>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灌草丛</w:t>
            </w:r>
          </w:p>
        </w:tc>
        <w:tc>
          <w:tcPr>
            <w:tcW w:w="1535"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28.99 </w:t>
            </w:r>
          </w:p>
        </w:tc>
        <w:tc>
          <w:tcPr>
            <w:tcW w:w="1610"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11.95 </w:t>
            </w:r>
          </w:p>
        </w:tc>
        <w:tc>
          <w:tcPr>
            <w:tcW w:w="1961"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12.34</w:t>
            </w:r>
          </w:p>
        </w:tc>
        <w:tc>
          <w:tcPr>
            <w:tcW w:w="1594" w:type="dxa"/>
            <w:tcBorders>
              <w:top w:val="single" w:color="000000" w:sz="4" w:space="0"/>
              <w:left w:val="single" w:color="000000" w:sz="4" w:space="0"/>
              <w:bottom w:val="single" w:color="000000" w:sz="4" w:space="0"/>
              <w:right w:val="single" w:color="000000" w:sz="4" w:space="0"/>
            </w:tcBorders>
            <w:vAlign w:val="bottom"/>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16.41 </w:t>
            </w:r>
          </w:p>
        </w:tc>
      </w:tr>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耕地</w:t>
            </w:r>
          </w:p>
        </w:tc>
        <w:tc>
          <w:tcPr>
            <w:tcW w:w="1535"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7.25 </w:t>
            </w:r>
          </w:p>
        </w:tc>
        <w:tc>
          <w:tcPr>
            <w:tcW w:w="1610"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6.34 </w:t>
            </w:r>
          </w:p>
        </w:tc>
        <w:tc>
          <w:tcPr>
            <w:tcW w:w="1961"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6.87</w:t>
            </w:r>
          </w:p>
        </w:tc>
        <w:tc>
          <w:tcPr>
            <w:tcW w:w="1594" w:type="dxa"/>
            <w:tcBorders>
              <w:top w:val="single" w:color="000000" w:sz="4" w:space="0"/>
              <w:left w:val="single" w:color="000000" w:sz="4" w:space="0"/>
              <w:bottom w:val="single" w:color="000000" w:sz="4" w:space="0"/>
              <w:right w:val="single" w:color="000000" w:sz="4" w:space="0"/>
            </w:tcBorders>
            <w:vAlign w:val="bottom"/>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6.83 </w:t>
            </w:r>
          </w:p>
        </w:tc>
      </w:tr>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人工生态系统</w:t>
            </w:r>
          </w:p>
        </w:tc>
        <w:tc>
          <w:tcPr>
            <w:tcW w:w="1535"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14.49 </w:t>
            </w:r>
          </w:p>
        </w:tc>
        <w:tc>
          <w:tcPr>
            <w:tcW w:w="1610"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6.47 </w:t>
            </w:r>
          </w:p>
        </w:tc>
        <w:tc>
          <w:tcPr>
            <w:tcW w:w="1961"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7.26</w:t>
            </w:r>
          </w:p>
        </w:tc>
        <w:tc>
          <w:tcPr>
            <w:tcW w:w="1594" w:type="dxa"/>
            <w:tcBorders>
              <w:top w:val="single" w:color="000000" w:sz="4" w:space="0"/>
              <w:left w:val="single" w:color="000000" w:sz="4" w:space="0"/>
              <w:bottom w:val="single" w:color="000000" w:sz="4" w:space="0"/>
              <w:right w:val="single" w:color="000000" w:sz="4" w:space="0"/>
            </w:tcBorders>
            <w:vAlign w:val="bottom"/>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8.87 </w:t>
            </w:r>
          </w:p>
        </w:tc>
      </w:tr>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水面</w:t>
            </w:r>
          </w:p>
        </w:tc>
        <w:tc>
          <w:tcPr>
            <w:tcW w:w="1535"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2.90 </w:t>
            </w:r>
          </w:p>
        </w:tc>
        <w:tc>
          <w:tcPr>
            <w:tcW w:w="1610"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0.59 </w:t>
            </w:r>
          </w:p>
        </w:tc>
        <w:tc>
          <w:tcPr>
            <w:tcW w:w="1961"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0.55</w:t>
            </w:r>
          </w:p>
        </w:tc>
        <w:tc>
          <w:tcPr>
            <w:tcW w:w="1594" w:type="dxa"/>
            <w:tcBorders>
              <w:top w:val="single" w:color="000000" w:sz="4" w:space="0"/>
              <w:left w:val="single" w:color="000000" w:sz="4" w:space="0"/>
              <w:bottom w:val="single" w:color="000000" w:sz="4" w:space="0"/>
              <w:right w:val="single" w:color="000000" w:sz="4" w:space="0"/>
            </w:tcBorders>
            <w:vAlign w:val="bottom"/>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1.15 </w:t>
            </w:r>
          </w:p>
        </w:tc>
      </w:tr>
    </w:tbl>
    <w:p>
      <w:pPr>
        <w:adjustRightInd/>
        <w:snapToGrid/>
        <w:spacing w:line="154" w:lineRule="exact"/>
        <w:ind w:firstLine="0" w:firstLineChars="0"/>
        <w:rPr>
          <w:rFonts w:hint="default" w:ascii="Times New Roman" w:hAnsi="Times New Roman" w:eastAsia="宋体" w:cs="Times New Roman"/>
          <w:b w:val="0"/>
          <w:bCs/>
          <w:color w:val="000000" w:themeColor="text1"/>
          <w:sz w:val="21"/>
          <w:szCs w:val="24"/>
          <w:highlight w:val="none"/>
          <w14:textFill>
            <w14:solidFill>
              <w14:schemeClr w14:val="tx1"/>
            </w14:solidFill>
          </w14:textFill>
        </w:rPr>
      </w:pP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从4.3-13可以看出，在本次评价范围，各类拼块的优势度值差异较大，具有一定连通度，但它们之间都存在一定差异。其中森林拼块的优势度Do值最高，为58.35%，景观比例Lp为64.64%，出现的频率为66.44%；其次是</w:t>
      </w:r>
      <w:r>
        <w:rPr>
          <w:rFonts w:hint="default" w:ascii="Times New Roman" w:hAnsi="Times New Roman" w:eastAsia="宋体" w:cs="Times New Roman"/>
          <w:b w:val="0"/>
          <w:bCs/>
          <w:color w:val="000000" w:themeColor="text1"/>
          <w:kern w:val="0"/>
          <w:sz w:val="24"/>
          <w:szCs w:val="24"/>
          <w:highlight w:val="none"/>
          <w:lang w:bidi="ar"/>
          <w14:textFill>
            <w14:solidFill>
              <w14:schemeClr w14:val="tx1"/>
            </w14:solidFill>
          </w14:textFill>
        </w:rPr>
        <w:t>灌草丛</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拼块，优势度Do值16.41%，景观比例Lp为12.34%，出现的频率Rf为11.95%，其他拼块所占比较均低于10%。</w:t>
      </w:r>
    </w:p>
    <w:p>
      <w:pPr>
        <w:keepNext/>
        <w:keepLines/>
        <w:widowControl/>
        <w:adjustRightInd w:val="0"/>
        <w:snapToGrid w:val="0"/>
        <w:spacing w:before="0" w:after="0" w:line="360" w:lineRule="auto"/>
        <w:ind w:firstLine="480" w:firstLineChars="200"/>
        <w:jc w:val="left"/>
        <w:outlineLvl w:val="2"/>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pPr>
      <w:bookmarkStart w:id="247" w:name="_Toc8062"/>
      <w:r>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t>4.3.7生态系统类型调查与评价</w:t>
      </w:r>
      <w:bookmarkEnd w:id="247"/>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地形地貌、土地利用类型以及植被类型的不同，将评价范围内生态系统划分为不同的类型。调查显示，评价范围内生态系统类型主要包括针叶林生态系统、阔叶林生态系统、阔叶灌丛生态系统、草丛生态系统、</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湖泊生态系统、</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耕地生态系统、居住地生态系统、工矿交通生态系统。生态系统整体开发强度大，区域内森林多为人工林，少量为次生林。</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根据现场调查，评价范围内的森林生态系统占</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绝对</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优势，面积</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25.65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，占比</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67.44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森林生态系统是以乔木为主的生物群落以及其非生物环境综合组成的陆地生态系统，生态系统中的植物以乔木为主，也有少量灌木和草本植物，还有不同种类的动物资源。森林生态系统生态服务功能高，在涵养水源、净化空气、保持水土、吸烟滞尘、改变区域水热状况等方面有着突出的作用。</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评价区生态系统类型分布特征及解译结果见下表。</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表4.3-14 生态系统类型面积统计表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3"/>
        <w:gridCol w:w="2812"/>
        <w:gridCol w:w="2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vMerge w:val="restart"/>
            <w:shd w:val="clear" w:color="auto" w:fill="auto"/>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生态系统类型</w:t>
            </w:r>
          </w:p>
        </w:tc>
        <w:tc>
          <w:tcPr>
            <w:tcW w:w="3238" w:type="pct"/>
            <w:gridSpan w:val="2"/>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评价区范围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61" w:type="pct"/>
            <w:vMerge w:val="continue"/>
            <w:shd w:val="clear" w:color="auto" w:fill="auto"/>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面积（hm</w:t>
            </w:r>
            <w:r>
              <w:rPr>
                <w:rFonts w:hint="default" w:ascii="Times New Roman" w:hAnsi="Times New Roman" w:eastAsia="宋体" w:cs="Times New Roman"/>
                <w:b w:val="0"/>
                <w:bCs/>
                <w:color w:val="000000" w:themeColor="text1"/>
                <w:kern w:val="0"/>
                <w:sz w:val="21"/>
                <w:szCs w:val="21"/>
                <w:highlight w:val="none"/>
                <w:vertAlign w:val="superscript"/>
                <w:lang w:bidi="ar"/>
                <w14:textFill>
                  <w14:solidFill>
                    <w14:schemeClr w14:val="tx1"/>
                  </w14:solidFill>
                </w14:textFill>
              </w:rPr>
              <w:t>2</w:t>
            </w: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w:t>
            </w:r>
          </w:p>
        </w:tc>
        <w:tc>
          <w:tcPr>
            <w:tcW w:w="1589" w:type="pct"/>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003" w:type="dxa"/>
            <w:shd w:val="clear" w:color="auto" w:fill="auto"/>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针叶林生态系统</w:t>
            </w:r>
          </w:p>
        </w:tc>
        <w:tc>
          <w:tcPr>
            <w:tcW w:w="2812"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12.20 </w:t>
            </w:r>
          </w:p>
        </w:tc>
        <w:tc>
          <w:tcPr>
            <w:tcW w:w="2711"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32.08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003" w:type="dxa"/>
            <w:shd w:val="clear" w:color="auto" w:fill="auto"/>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阔叶林生态系统</w:t>
            </w:r>
          </w:p>
        </w:tc>
        <w:tc>
          <w:tcPr>
            <w:tcW w:w="2812"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13.45 </w:t>
            </w:r>
          </w:p>
        </w:tc>
        <w:tc>
          <w:tcPr>
            <w:tcW w:w="2711"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35.35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003" w:type="dxa"/>
            <w:shd w:val="clear" w:color="auto" w:fill="auto"/>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阔叶灌丛生态系统</w:t>
            </w:r>
          </w:p>
        </w:tc>
        <w:tc>
          <w:tcPr>
            <w:tcW w:w="2812"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3.09 </w:t>
            </w:r>
          </w:p>
        </w:tc>
        <w:tc>
          <w:tcPr>
            <w:tcW w:w="2711"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8.12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003" w:type="dxa"/>
            <w:shd w:val="clear" w:color="auto" w:fill="auto"/>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草丛生态系统</w:t>
            </w:r>
          </w:p>
        </w:tc>
        <w:tc>
          <w:tcPr>
            <w:tcW w:w="2812"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4.36 </w:t>
            </w:r>
          </w:p>
        </w:tc>
        <w:tc>
          <w:tcPr>
            <w:tcW w:w="2711"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11.45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003" w:type="dxa"/>
            <w:shd w:val="clear" w:color="auto" w:fill="auto"/>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湖泊生态系统</w:t>
            </w:r>
          </w:p>
        </w:tc>
        <w:tc>
          <w:tcPr>
            <w:tcW w:w="2812"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0.23 </w:t>
            </w:r>
          </w:p>
        </w:tc>
        <w:tc>
          <w:tcPr>
            <w:tcW w:w="2711"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0.59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003" w:type="dxa"/>
            <w:shd w:val="clear" w:color="auto" w:fill="auto"/>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耕地生态系统</w:t>
            </w:r>
          </w:p>
        </w:tc>
        <w:tc>
          <w:tcPr>
            <w:tcW w:w="2812"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2.34 </w:t>
            </w:r>
          </w:p>
        </w:tc>
        <w:tc>
          <w:tcPr>
            <w:tcW w:w="2711"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6.14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003" w:type="dxa"/>
            <w:shd w:val="clear" w:color="auto" w:fill="auto"/>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居住地生态系统</w:t>
            </w:r>
          </w:p>
        </w:tc>
        <w:tc>
          <w:tcPr>
            <w:tcW w:w="2812"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0.10 </w:t>
            </w:r>
          </w:p>
        </w:tc>
        <w:tc>
          <w:tcPr>
            <w:tcW w:w="2711"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0.27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003" w:type="dxa"/>
            <w:shd w:val="clear" w:color="auto" w:fill="auto"/>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工矿交通生态系统</w:t>
            </w:r>
          </w:p>
        </w:tc>
        <w:tc>
          <w:tcPr>
            <w:tcW w:w="2812"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2.28 </w:t>
            </w:r>
          </w:p>
        </w:tc>
        <w:tc>
          <w:tcPr>
            <w:tcW w:w="2711"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5.99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003" w:type="dxa"/>
            <w:shd w:val="clear" w:color="auto" w:fill="auto"/>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合计</w:t>
            </w:r>
          </w:p>
        </w:tc>
        <w:tc>
          <w:tcPr>
            <w:tcW w:w="2812"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38.04 </w:t>
            </w:r>
          </w:p>
        </w:tc>
        <w:tc>
          <w:tcPr>
            <w:tcW w:w="2711" w:type="dxa"/>
            <w:shd w:val="clear" w:color="000000" w:fill="FFFFFF"/>
            <w:noWrap/>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 xml:space="preserve">100.00 </w:t>
            </w:r>
          </w:p>
        </w:tc>
      </w:tr>
    </w:tbl>
    <w:p>
      <w:pPr>
        <w:pStyle w:val="65"/>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pStyle w:val="65"/>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keepLines/>
        <w:widowControl/>
        <w:adjustRightInd w:val="0"/>
        <w:snapToGrid w:val="0"/>
        <w:spacing w:before="0" w:after="0" w:line="360" w:lineRule="auto"/>
        <w:ind w:firstLine="480" w:firstLineChars="200"/>
        <w:jc w:val="left"/>
        <w:outlineLvl w:val="2"/>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pPr>
      <w:bookmarkStart w:id="248" w:name="_Toc25098"/>
      <w:r>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t>4.3.8生态系统服务功能评价</w:t>
      </w:r>
      <w:bookmarkEnd w:id="248"/>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生态系统服务功能主要有水源涵养、土壤保持、生物多样性保护功能等，项目区处于属亚热带季风气候区，水热条件较好，植被总体覆盖度较高，生态系统服务功能主要为土壤保持功能、水源涵养功能、生物多样性保护功能，本次评价基于《生态保护红线划定指南》（环办生态[2017] 48号） 中关于生态系统服务重要性的评估方法，针对土壤保持功能、水源涵养功能、生物多样性保护功能进行分级评价。</w:t>
      </w:r>
    </w:p>
    <w:p>
      <w:pPr>
        <w:adjustRightInd w:val="0"/>
        <w:snapToGrid w:val="0"/>
        <w:spacing w:line="360" w:lineRule="auto"/>
        <w:ind w:firstLine="480" w:firstLineChars="200"/>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1、</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水土</w:t>
      </w:r>
      <w:r>
        <w:rPr>
          <w:rFonts w:hint="default" w:ascii="Times New Roman" w:hAnsi="Times New Roman" w:eastAsia="宋体" w:cs="Times New Roman"/>
          <w:bCs/>
          <w:color w:val="000000" w:themeColor="text1"/>
          <w:sz w:val="24"/>
          <w:highlight w:val="none"/>
          <w14:textFill>
            <w14:solidFill>
              <w14:schemeClr w14:val="tx1"/>
            </w14:solidFill>
          </w14:textFill>
        </w:rPr>
        <w:t>保持功能分级评价</w:t>
      </w:r>
    </w:p>
    <w:p>
      <w:pPr>
        <w:adjustRightInd w:val="0"/>
        <w:snapToGrid w:val="0"/>
        <w:spacing w:line="360" w:lineRule="auto"/>
        <w:ind w:firstLine="480" w:firstLineChars="200"/>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将反映水土保持功能各因素</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的单因</w:t>
      </w:r>
      <w:r>
        <w:rPr>
          <w:rFonts w:hint="default" w:ascii="Times New Roman" w:hAnsi="Times New Roman" w:eastAsia="宋体" w:cs="Times New Roman"/>
          <w:bCs/>
          <w:color w:val="000000" w:themeColor="text1"/>
          <w:sz w:val="24"/>
          <w:szCs w:val="24"/>
          <w:highlight w:val="none"/>
          <w14:textFill>
            <w14:solidFill>
              <w14:schemeClr w14:val="tx1"/>
            </w14:solidFill>
          </w14:textFill>
        </w:rPr>
        <w:t>子分布</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数据</w:t>
      </w:r>
      <w:r>
        <w:rPr>
          <w:rFonts w:hint="default" w:ascii="Times New Roman" w:hAnsi="Times New Roman" w:eastAsia="宋体" w:cs="Times New Roman"/>
          <w:bCs/>
          <w:color w:val="000000" w:themeColor="text1"/>
          <w:sz w:val="24"/>
          <w:szCs w:val="24"/>
          <w:highlight w:val="none"/>
          <w14:textFill>
            <w14:solidFill>
              <w14:schemeClr w14:val="tx1"/>
            </w14:solidFill>
          </w14:textFill>
        </w:rPr>
        <w:t>，用地理信息系统进行乘积运算，公式如下：</w:t>
      </w:r>
    </w:p>
    <w:p>
      <w:pPr>
        <w:keepNext w:val="0"/>
        <w:keepLines w:val="0"/>
        <w:pageBreakBefore w:val="0"/>
        <w:widowControl/>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sz w:val="21"/>
          <w:highlight w:val="none"/>
          <w14:textFill>
            <w14:solidFill>
              <w14:schemeClr w14:val="tx1"/>
            </w14:solidFill>
          </w14:textFill>
        </w:rPr>
        <w:drawing>
          <wp:inline distT="0" distB="0" distL="114300" distR="114300">
            <wp:extent cx="2276475" cy="464820"/>
            <wp:effectExtent l="0" t="0" r="9525" b="5080"/>
            <wp:docPr id="1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
                    <pic:cNvPicPr>
                      <a:picLocks noChangeAspect="1"/>
                    </pic:cNvPicPr>
                  </pic:nvPicPr>
                  <pic:blipFill>
                    <a:blip r:embed="rId61"/>
                    <a:stretch>
                      <a:fillRect/>
                    </a:stretch>
                  </pic:blipFill>
                  <pic:spPr>
                    <a:xfrm>
                      <a:off x="0" y="0"/>
                      <a:ext cx="2276475" cy="46482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式中：</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S</w:t>
      </w:r>
      <w:r>
        <w:rPr>
          <w:rFonts w:hint="default" w:ascii="Times New Roman" w:hAnsi="Times New Roman" w:eastAsia="宋体" w:cs="Times New Roman"/>
          <w:bCs/>
          <w:i/>
          <w:iCs/>
          <w:color w:val="000000" w:themeColor="text1"/>
          <w:sz w:val="24"/>
          <w:szCs w:val="24"/>
          <w:highlight w:val="none"/>
          <w:vertAlign w:val="baseline"/>
          <w:lang w:val="en-US" w:eastAsia="zh-CN"/>
          <w14:textFill>
            <w14:solidFill>
              <w14:schemeClr w14:val="tx1"/>
            </w14:solidFill>
          </w14:textFill>
        </w:rPr>
        <w:t>pro</w:t>
      </w:r>
      <w:r>
        <w:rPr>
          <w:rFonts w:hint="default" w:ascii="Times New Roman" w:hAnsi="Times New Roman" w:eastAsia="宋体" w:cs="Times New Roman"/>
          <w:bCs/>
          <w:color w:val="000000" w:themeColor="text1"/>
          <w:sz w:val="24"/>
          <w:szCs w:val="24"/>
          <w:highlight w:val="none"/>
          <w14:textFill>
            <w14:solidFill>
              <w14:schemeClr w14:val="tx1"/>
            </w14:solidFill>
          </w14:textFill>
        </w:rPr>
        <w:t>为</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水土</w:t>
      </w:r>
      <w:r>
        <w:rPr>
          <w:rFonts w:hint="default" w:ascii="Times New Roman" w:hAnsi="Times New Roman" w:eastAsia="宋体" w:cs="Times New Roman"/>
          <w:bCs/>
          <w:color w:val="000000" w:themeColor="text1"/>
          <w:sz w:val="24"/>
          <w:szCs w:val="24"/>
          <w:highlight w:val="none"/>
          <w14:textFill>
            <w14:solidFill>
              <w14:schemeClr w14:val="tx1"/>
            </w14:solidFill>
          </w14:textFill>
        </w:rPr>
        <w:t>保持服务</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能力指数</w:t>
      </w:r>
      <w:r>
        <w:rPr>
          <w:rFonts w:hint="default" w:ascii="Times New Roman" w:hAnsi="Times New Roman" w:eastAsia="宋体" w:cs="Times New Roman"/>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Cs/>
          <w:i w:val="0"/>
          <w:iCs w:val="0"/>
          <w:color w:val="000000" w:themeColor="text1"/>
          <w:sz w:val="24"/>
          <w:szCs w:val="24"/>
          <w:highlight w:val="none"/>
          <w14:textFill>
            <w14:solidFill>
              <w14:schemeClr w14:val="tx1"/>
            </w14:solidFill>
          </w14:textFill>
        </w:rPr>
        <w:t>NPP</w:t>
      </w:r>
      <w:r>
        <w:rPr>
          <w:rFonts w:hint="default" w:ascii="Times New Roman" w:hAnsi="Times New Roman" w:eastAsia="宋体" w:cs="Times New Roman"/>
          <w:bCs/>
          <w:i/>
          <w:iCs/>
          <w:color w:val="000000" w:themeColor="text1"/>
          <w:sz w:val="24"/>
          <w:szCs w:val="24"/>
          <w:highlight w:val="none"/>
          <w:vertAlign w:val="baseline"/>
          <w14:textFill>
            <w14:solidFill>
              <w14:schemeClr w14:val="tx1"/>
            </w14:solidFill>
          </w14:textFill>
        </w:rPr>
        <w:t>mean</w:t>
      </w:r>
      <w:r>
        <w:rPr>
          <w:rFonts w:hint="default" w:ascii="Times New Roman" w:hAnsi="Times New Roman" w:eastAsia="宋体" w:cs="Times New Roman"/>
          <w:bCs/>
          <w:color w:val="000000" w:themeColor="text1"/>
          <w:sz w:val="24"/>
          <w:szCs w:val="24"/>
          <w:highlight w:val="none"/>
          <w14:textFill>
            <w14:solidFill>
              <w14:schemeClr w14:val="tx1"/>
            </w14:solidFill>
          </w14:textFill>
        </w:rPr>
        <w:t>为评价区多年</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植被</w:t>
      </w:r>
      <w:r>
        <w:rPr>
          <w:rFonts w:hint="default" w:ascii="Times New Roman" w:hAnsi="Times New Roman" w:eastAsia="宋体" w:cs="Times New Roman"/>
          <w:bCs/>
          <w:color w:val="000000" w:themeColor="text1"/>
          <w:sz w:val="24"/>
          <w:szCs w:val="24"/>
          <w:highlight w:val="none"/>
          <w14:textFill>
            <w14:solidFill>
              <w14:schemeClr w14:val="tx1"/>
            </w14:solidFill>
          </w14:textFill>
        </w:rPr>
        <w:t>净初级生产力平均值；F</w:t>
      </w:r>
      <w:r>
        <w:rPr>
          <w:rFonts w:hint="default" w:ascii="Times New Roman" w:hAnsi="Times New Roman" w:eastAsia="宋体" w:cs="Times New Roman"/>
          <w:bCs/>
          <w:i/>
          <w:iCs/>
          <w:color w:val="000000" w:themeColor="text1"/>
          <w:sz w:val="24"/>
          <w:szCs w:val="24"/>
          <w:highlight w:val="none"/>
          <w:vertAlign w:val="baseline"/>
          <w14:textFill>
            <w14:solidFill>
              <w14:schemeClr w14:val="tx1"/>
            </w14:solidFill>
          </w14:textFill>
        </w:rPr>
        <w:t>slo</w:t>
      </w:r>
      <w:r>
        <w:rPr>
          <w:rFonts w:hint="default" w:ascii="Times New Roman" w:hAnsi="Times New Roman" w:eastAsia="宋体" w:cs="Times New Roman"/>
          <w:bCs/>
          <w:color w:val="000000" w:themeColor="text1"/>
          <w:sz w:val="24"/>
          <w:szCs w:val="24"/>
          <w:highlight w:val="none"/>
          <w14:textFill>
            <w14:solidFill>
              <w14:schemeClr w14:val="tx1"/>
            </w14:solidFill>
          </w14:textFill>
        </w:rPr>
        <w:t>为根据最大最小值法归一化到0-1之间的评价区坡度栅格</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数据、K为土壤可蚀性</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因子（评价范围较小，K因子考虑固定值，归一化到0-1之间后对结果无任何影响</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，可忽略该指标）。</w:t>
      </w:r>
    </w:p>
    <w:p>
      <w:pPr>
        <w:adjustRightInd w:val="0"/>
        <w:snapToGrid w:val="0"/>
        <w:spacing w:line="360" w:lineRule="auto"/>
        <w:ind w:firstLine="480" w:firstLineChars="200"/>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经过上述公式计算分析，水土保持功能极重要面积最大，达到23.44hm²，比例为61.62%，主要为森林及高覆盖度灌丛植被区且坡度平缓区，生态系统净初级生产力较高；其次为中度重要，面积5.69hm²，比例为14.96%，主要为中高覆盖度灌丛植被区且坡度陡峭区、草地分布区且有一定坡度地段；重要性等级比例最小的为较重要，面积2.34hm²，比例为6.15%，主要为耕地区，详见表4.3-15。</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表4.3-15   水土保持功能重要性评价分布表</w:t>
      </w:r>
    </w:p>
    <w:tbl>
      <w:tblPr>
        <w:tblStyle w:val="52"/>
        <w:tblW w:w="48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2"/>
        <w:gridCol w:w="1470"/>
        <w:gridCol w:w="1407"/>
        <w:gridCol w:w="42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分级</w:t>
            </w:r>
          </w:p>
        </w:tc>
        <w:tc>
          <w:tcPr>
            <w:tcW w:w="889"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面积（hm²）</w:t>
            </w:r>
          </w:p>
        </w:tc>
        <w:tc>
          <w:tcPr>
            <w:tcW w:w="85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比例（%）</w:t>
            </w:r>
          </w:p>
        </w:tc>
        <w:tc>
          <w:tcPr>
            <w:tcW w:w="256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分布特征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一般重要</w:t>
            </w:r>
          </w:p>
        </w:tc>
        <w:tc>
          <w:tcPr>
            <w:tcW w:w="147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2.62</w:t>
            </w:r>
          </w:p>
        </w:tc>
        <w:tc>
          <w:tcPr>
            <w:tcW w:w="1407"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6.89 </w:t>
            </w:r>
          </w:p>
        </w:tc>
        <w:tc>
          <w:tcPr>
            <w:tcW w:w="256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非植被区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较重要</w:t>
            </w:r>
          </w:p>
        </w:tc>
        <w:tc>
          <w:tcPr>
            <w:tcW w:w="147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2.34</w:t>
            </w:r>
          </w:p>
        </w:tc>
        <w:tc>
          <w:tcPr>
            <w:tcW w:w="1407"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6.15 </w:t>
            </w:r>
          </w:p>
        </w:tc>
        <w:tc>
          <w:tcPr>
            <w:tcW w:w="256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耕地区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exact"/>
          <w:jc w:val="center"/>
        </w:trPr>
        <w:tc>
          <w:tcPr>
            <w:tcW w:w="6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中度重要</w:t>
            </w:r>
          </w:p>
        </w:tc>
        <w:tc>
          <w:tcPr>
            <w:tcW w:w="147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5.69</w:t>
            </w:r>
          </w:p>
        </w:tc>
        <w:tc>
          <w:tcPr>
            <w:tcW w:w="1407"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14.96 </w:t>
            </w:r>
          </w:p>
        </w:tc>
        <w:tc>
          <w:tcPr>
            <w:tcW w:w="256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中高覆盖度灌丛植被区且坡度陡峭区、草地分布区且有一定坡度地段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exact"/>
          <w:jc w:val="center"/>
        </w:trPr>
        <w:tc>
          <w:tcPr>
            <w:tcW w:w="6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高度重要</w:t>
            </w:r>
          </w:p>
        </w:tc>
        <w:tc>
          <w:tcPr>
            <w:tcW w:w="147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3.95</w:t>
            </w:r>
          </w:p>
        </w:tc>
        <w:tc>
          <w:tcPr>
            <w:tcW w:w="1407"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10.38 </w:t>
            </w:r>
          </w:p>
        </w:tc>
        <w:tc>
          <w:tcPr>
            <w:tcW w:w="256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森林及高覆盖度灌丛植被区且坡度陡峭区、中高覆盖度灌丛植被区且坡度较缓地段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极重要</w:t>
            </w:r>
          </w:p>
        </w:tc>
        <w:tc>
          <w:tcPr>
            <w:tcW w:w="147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23.44</w:t>
            </w:r>
          </w:p>
        </w:tc>
        <w:tc>
          <w:tcPr>
            <w:tcW w:w="1407"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61.62 </w:t>
            </w:r>
          </w:p>
        </w:tc>
        <w:tc>
          <w:tcPr>
            <w:tcW w:w="256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森林及高覆盖度灌丛植被区且坡度平缓区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总计</w:t>
            </w:r>
          </w:p>
        </w:tc>
        <w:tc>
          <w:tcPr>
            <w:tcW w:w="147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38.04</w:t>
            </w:r>
          </w:p>
        </w:tc>
        <w:tc>
          <w:tcPr>
            <w:tcW w:w="1407"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100.00 </w:t>
            </w:r>
          </w:p>
        </w:tc>
        <w:tc>
          <w:tcPr>
            <w:tcW w:w="2561"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adjustRightInd w:val="0"/>
        <w:snapToGrid w:val="0"/>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adjustRightInd w:val="0"/>
        <w:snapToGrid w:val="0"/>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2、水源涵养功能分级评价</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水源涵养功能重要性评价采用基于降水和蒸散的水量分解模型法</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drawing>
          <wp:inline distT="0" distB="0" distL="0" distR="0">
            <wp:extent cx="1747520" cy="1095375"/>
            <wp:effectExtent l="0" t="0" r="5080" b="9525"/>
            <wp:docPr id="1801" name="图片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图片 180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1747520" cy="1095375"/>
                    </a:xfrm>
                    <a:prstGeom prst="rect">
                      <a:avLst/>
                    </a:prstGeom>
                    <a:noFill/>
                    <a:ln>
                      <a:noFill/>
                    </a:ln>
                  </pic:spPr>
                </pic:pic>
              </a:graphicData>
            </a:graphic>
          </wp:inline>
        </w:drawing>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式中：WY为地表总产水量，作为水源涵养服务能力的代用指标，P为多年平均年降水量，ET为蒸散量，PET为多年平均潜在蒸发量，ω为下垫面（土地覆盖）影响系数，依据土地利用类型取值。</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由于项目区面积较小，项目区水源涵养功能重要性分布差异主要受到ω下垫面的影响。其中，极重要的面积最大，达到</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25.65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hm²，占总面积的比例为</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 xml:space="preserve">67.44 </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中度</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重要的面积最小，为</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 xml:space="preserve">2.34 </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hm²，占总面积的比例为</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6.14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%，详见表4.3-1</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表4.3-16 评价区水源涵养功能重要性评价分布表</w:t>
      </w:r>
    </w:p>
    <w:tbl>
      <w:tblPr>
        <w:tblStyle w:val="58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3"/>
        <w:gridCol w:w="2068"/>
        <w:gridCol w:w="2212"/>
        <w:gridCol w:w="2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分级</w:t>
            </w:r>
          </w:p>
        </w:tc>
        <w:tc>
          <w:tcPr>
            <w:tcW w:w="121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面积（hm²）</w:t>
            </w:r>
          </w:p>
        </w:tc>
        <w:tc>
          <w:tcPr>
            <w:tcW w:w="12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比例（%）</w:t>
            </w:r>
          </w:p>
        </w:tc>
        <w:tc>
          <w:tcPr>
            <w:tcW w:w="158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分布特征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一般重要</w:t>
            </w:r>
          </w:p>
        </w:tc>
        <w:tc>
          <w:tcPr>
            <w:tcW w:w="121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2.61 </w:t>
            </w:r>
          </w:p>
        </w:tc>
        <w:tc>
          <w:tcPr>
            <w:tcW w:w="12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6.85 </w:t>
            </w:r>
          </w:p>
        </w:tc>
        <w:tc>
          <w:tcPr>
            <w:tcW w:w="158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非植被区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较重要</w:t>
            </w:r>
          </w:p>
        </w:tc>
        <w:tc>
          <w:tcPr>
            <w:tcW w:w="121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4.36 </w:t>
            </w:r>
          </w:p>
        </w:tc>
        <w:tc>
          <w:tcPr>
            <w:tcW w:w="12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11.45 </w:t>
            </w:r>
          </w:p>
        </w:tc>
        <w:tc>
          <w:tcPr>
            <w:tcW w:w="158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中低覆盖度10%-30%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中度重要</w:t>
            </w:r>
          </w:p>
        </w:tc>
        <w:tc>
          <w:tcPr>
            <w:tcW w:w="121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2.34 </w:t>
            </w:r>
          </w:p>
        </w:tc>
        <w:tc>
          <w:tcPr>
            <w:tcW w:w="12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6.14 </w:t>
            </w:r>
          </w:p>
        </w:tc>
        <w:tc>
          <w:tcPr>
            <w:tcW w:w="158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中覆盖度30%-50%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高度重要</w:t>
            </w:r>
          </w:p>
        </w:tc>
        <w:tc>
          <w:tcPr>
            <w:tcW w:w="121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3.09 </w:t>
            </w:r>
          </w:p>
        </w:tc>
        <w:tc>
          <w:tcPr>
            <w:tcW w:w="12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8.12 </w:t>
            </w:r>
          </w:p>
        </w:tc>
        <w:tc>
          <w:tcPr>
            <w:tcW w:w="158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中高覆盖度50%-70%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极重要</w:t>
            </w:r>
          </w:p>
        </w:tc>
        <w:tc>
          <w:tcPr>
            <w:tcW w:w="121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25.65 </w:t>
            </w:r>
          </w:p>
        </w:tc>
        <w:tc>
          <w:tcPr>
            <w:tcW w:w="12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67.44 </w:t>
            </w:r>
          </w:p>
        </w:tc>
        <w:tc>
          <w:tcPr>
            <w:tcW w:w="158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高覆盖度&gt;70%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5"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合计</w:t>
            </w:r>
          </w:p>
        </w:tc>
        <w:tc>
          <w:tcPr>
            <w:tcW w:w="121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38.04 </w:t>
            </w:r>
          </w:p>
        </w:tc>
        <w:tc>
          <w:tcPr>
            <w:tcW w:w="1297"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100.00 </w:t>
            </w:r>
          </w:p>
        </w:tc>
        <w:tc>
          <w:tcPr>
            <w:tcW w:w="1583"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adjustRightInd w:val="0"/>
        <w:snapToGrid w:val="0"/>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adjustRightInd w:val="0"/>
        <w:snapToGrid w:val="0"/>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3、生物多样性保护功能分级评价</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采用基于生境多样性的方法进行评价：</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drawing>
          <wp:inline distT="0" distB="0" distL="114300" distR="114300">
            <wp:extent cx="2117090" cy="244475"/>
            <wp:effectExtent l="0" t="0" r="3810" b="10160"/>
            <wp:docPr id="1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6"/>
                    <pic:cNvPicPr>
                      <a:picLocks noChangeAspect="1"/>
                    </pic:cNvPicPr>
                  </pic:nvPicPr>
                  <pic:blipFill>
                    <a:blip r:embed="rId63"/>
                    <a:stretch>
                      <a:fillRect/>
                    </a:stretch>
                  </pic:blipFill>
                  <pic:spPr>
                    <a:xfrm>
                      <a:off x="0" y="0"/>
                      <a:ext cx="2117090" cy="244475"/>
                    </a:xfrm>
                    <a:prstGeom prst="rect">
                      <a:avLst/>
                    </a:prstGeom>
                    <a:noFill/>
                    <a:ln>
                      <a:noFill/>
                    </a:ln>
                  </pic:spPr>
                </pic:pic>
              </a:graphicData>
            </a:graphic>
          </wp:inline>
        </w:drawing>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式中：S</w:t>
      </w:r>
      <w:r>
        <w:rPr>
          <w:rFonts w:hint="default" w:ascii="Times New Roman" w:hAnsi="Times New Roman" w:eastAsia="宋体" w:cs="Times New Roman"/>
          <w:b w:val="0"/>
          <w:bCs/>
          <w:i/>
          <w:iCs/>
          <w:color w:val="000000" w:themeColor="text1"/>
          <w:sz w:val="24"/>
          <w:szCs w:val="24"/>
          <w:highlight w:val="none"/>
          <w:vertAlign w:val="subscript"/>
          <w14:textFill>
            <w14:solidFill>
              <w14:schemeClr w14:val="tx1"/>
            </w14:solidFill>
          </w14:textFill>
        </w:rPr>
        <w:t>bio</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为生物多样性保护服务</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功能</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，NPP</w:t>
      </w:r>
      <w:r>
        <w:rPr>
          <w:rFonts w:hint="default" w:ascii="Times New Roman" w:hAnsi="Times New Roman" w:eastAsia="宋体" w:cs="Times New Roman"/>
          <w:b w:val="0"/>
          <w:bCs/>
          <w:i/>
          <w:iCs/>
          <w:color w:val="000000" w:themeColor="text1"/>
          <w:sz w:val="24"/>
          <w:szCs w:val="24"/>
          <w:highlight w:val="none"/>
          <w:vertAlign w:val="subscript"/>
          <w14:textFill>
            <w14:solidFill>
              <w14:schemeClr w14:val="tx1"/>
            </w14:solidFill>
          </w14:textFill>
        </w:rPr>
        <w:t>mean</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参数的计算方法同上，F</w:t>
      </w:r>
      <w:r>
        <w:rPr>
          <w:rFonts w:hint="default" w:ascii="Times New Roman" w:hAnsi="Times New Roman" w:eastAsia="宋体" w:cs="Times New Roman"/>
          <w:b w:val="0"/>
          <w:bCs/>
          <w:i/>
          <w:iCs/>
          <w:color w:val="000000" w:themeColor="text1"/>
          <w:sz w:val="24"/>
          <w:szCs w:val="24"/>
          <w:highlight w:val="none"/>
          <w:vertAlign w:val="subscript"/>
          <w14:textFill>
            <w14:solidFill>
              <w14:schemeClr w14:val="tx1"/>
            </w14:solidFill>
          </w14:textFill>
        </w:rPr>
        <w:t>tem</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为气温参数，由多年平均年降水量数据插值获得，得到的结果归一化到0~1之间。F</w:t>
      </w:r>
      <w:r>
        <w:rPr>
          <w:rFonts w:hint="default" w:ascii="Times New Roman" w:hAnsi="Times New Roman" w:eastAsia="宋体" w:cs="Times New Roman"/>
          <w:b w:val="0"/>
          <w:bCs/>
          <w:i/>
          <w:iCs/>
          <w:color w:val="000000" w:themeColor="text1"/>
          <w:sz w:val="24"/>
          <w:szCs w:val="24"/>
          <w:highlight w:val="none"/>
          <w:vertAlign w:val="subscript"/>
          <w14:textFill>
            <w14:solidFill>
              <w14:schemeClr w14:val="tx1"/>
            </w14:solidFill>
          </w14:textFill>
        </w:rPr>
        <w:t>alt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为海拔参数，由评价区海拔进行归一化获得。F</w:t>
      </w:r>
      <w:r>
        <w:rPr>
          <w:rFonts w:hint="default" w:ascii="Times New Roman" w:hAnsi="Times New Roman" w:eastAsia="宋体" w:cs="Times New Roman"/>
          <w:b w:val="0"/>
          <w:bCs/>
          <w:i/>
          <w:iCs/>
          <w:color w:val="000000" w:themeColor="text1"/>
          <w:sz w:val="24"/>
          <w:szCs w:val="24"/>
          <w:highlight w:val="none"/>
          <w:vertAlign w:val="subscript"/>
          <w14:textFill>
            <w14:solidFill>
              <w14:schemeClr w14:val="tx1"/>
            </w14:solidFill>
          </w14:textFill>
        </w:rPr>
        <w:t>pre</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参数根据降水量分布数据，利用计算机进行归一化处理得到，其分布规律与水源涵养功能重要性评价中平均降水量P值分布规律相同。</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经过计算分析，土壤保持功能等级比例最大的极重要，面积</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25.79</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hm²，比例为</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67.80</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%，重要性等级比例最小的为较重要，面积</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2.34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，比例为</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6.15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%，详见表4.3-1</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表4.3-17   评价区生物多样保护功能分级评价表</w:t>
      </w:r>
    </w:p>
    <w:tbl>
      <w:tblPr>
        <w:tblStyle w:val="52"/>
        <w:tblW w:w="48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2"/>
        <w:gridCol w:w="1554"/>
        <w:gridCol w:w="1590"/>
        <w:gridCol w:w="3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重要性</w:t>
            </w:r>
          </w:p>
        </w:tc>
        <w:tc>
          <w:tcPr>
            <w:tcW w:w="940"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面积（hm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tc>
        <w:tc>
          <w:tcPr>
            <w:tcW w:w="96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比例（%）</w:t>
            </w:r>
          </w:p>
        </w:tc>
        <w:tc>
          <w:tcPr>
            <w:tcW w:w="225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分布特征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一般重要</w:t>
            </w:r>
          </w:p>
        </w:tc>
        <w:tc>
          <w:tcPr>
            <w:tcW w:w="1554"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2.62</w:t>
            </w:r>
          </w:p>
        </w:tc>
        <w:tc>
          <w:tcPr>
            <w:tcW w:w="159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6.89 </w:t>
            </w:r>
          </w:p>
        </w:tc>
        <w:tc>
          <w:tcPr>
            <w:tcW w:w="225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非植被区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较重要</w:t>
            </w:r>
          </w:p>
        </w:tc>
        <w:tc>
          <w:tcPr>
            <w:tcW w:w="1554"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2.34</w:t>
            </w:r>
          </w:p>
        </w:tc>
        <w:tc>
          <w:tcPr>
            <w:tcW w:w="159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6.15 </w:t>
            </w:r>
          </w:p>
        </w:tc>
        <w:tc>
          <w:tcPr>
            <w:tcW w:w="225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耕地区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中度重要</w:t>
            </w:r>
          </w:p>
        </w:tc>
        <w:tc>
          <w:tcPr>
            <w:tcW w:w="1554"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4.42</w:t>
            </w:r>
          </w:p>
        </w:tc>
        <w:tc>
          <w:tcPr>
            <w:tcW w:w="159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11.62 </w:t>
            </w:r>
          </w:p>
        </w:tc>
        <w:tc>
          <w:tcPr>
            <w:tcW w:w="225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草地及低覆盖度灌丛植被分布区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高度重要</w:t>
            </w:r>
          </w:p>
        </w:tc>
        <w:tc>
          <w:tcPr>
            <w:tcW w:w="1554"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2.87</w:t>
            </w:r>
          </w:p>
        </w:tc>
        <w:tc>
          <w:tcPr>
            <w:tcW w:w="159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7.54 </w:t>
            </w:r>
          </w:p>
        </w:tc>
        <w:tc>
          <w:tcPr>
            <w:tcW w:w="225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中高覆盖度灌丛植被区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极重要</w:t>
            </w:r>
          </w:p>
        </w:tc>
        <w:tc>
          <w:tcPr>
            <w:tcW w:w="1554"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25.79</w:t>
            </w:r>
          </w:p>
        </w:tc>
        <w:tc>
          <w:tcPr>
            <w:tcW w:w="159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67.80 </w:t>
            </w:r>
          </w:p>
        </w:tc>
        <w:tc>
          <w:tcPr>
            <w:tcW w:w="225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森林及高覆盖度灌丛植被区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2"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合计</w:t>
            </w:r>
          </w:p>
        </w:tc>
        <w:tc>
          <w:tcPr>
            <w:tcW w:w="1554"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38.04</w:t>
            </w:r>
          </w:p>
        </w:tc>
        <w:tc>
          <w:tcPr>
            <w:tcW w:w="1590" w:type="dxa"/>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 xml:space="preserve">100.00 </w:t>
            </w:r>
          </w:p>
        </w:tc>
        <w:tc>
          <w:tcPr>
            <w:tcW w:w="2254" w:type="pct"/>
            <w:vAlign w:val="center"/>
          </w:tcPr>
          <w:p>
            <w:pPr>
              <w:adjustRightInd/>
              <w:snapToGrid/>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p>
        </w:tc>
      </w:tr>
    </w:tbl>
    <w:p>
      <w:pPr>
        <w:adjustRightInd w:val="0"/>
        <w:snapToGrid w:val="0"/>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adjustRightInd w:val="0"/>
        <w:snapToGrid w:val="0"/>
        <w:spacing w:before="120" w:beforeLines="50"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综上可见，评价区自然生态系统在水土保持功能、水源涵养功能、生物多样性保护功能等方面具有重要作用，为周边野生动物提供了一定的生存繁衍空间，在维持区域生态平衡中也具有良好的作用，也是维护评价区生态安全的重要屏障。</w:t>
      </w:r>
    </w:p>
    <w:p>
      <w:pPr>
        <w:keepNext/>
        <w:keepLines/>
        <w:widowControl/>
        <w:adjustRightInd w:val="0"/>
        <w:snapToGrid w:val="0"/>
        <w:spacing w:before="0" w:after="0" w:line="360" w:lineRule="auto"/>
        <w:ind w:firstLine="480" w:firstLineChars="200"/>
        <w:jc w:val="left"/>
        <w:outlineLvl w:val="2"/>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pPr>
      <w:bookmarkStart w:id="249" w:name="_Toc21490"/>
      <w:r>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t>4.3.9物种多样性分析</w:t>
      </w:r>
      <w:bookmarkEnd w:id="249"/>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评价区地处亚热带常绿阔叶林区域，气候温暖湿润，区内丘陵、低山分布其间，植被类型主要有</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马尾松、麻栎、青冈、栓皮栎</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等森林植被以及</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马桑、黄荆、火棘、荚蒾、芒、白茅</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等为主的灌草丛植被，群落结构和组成相对复杂，但均为当地常见类型，分布较广。</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物种多样性是物种丰富度和分布均匀性的综合反映，体现了群落结构类型、组织水平、发展阶段、稳定程度和生境差异。本项目采用“物种丰富度指数”（Margalef）来测量植被群落的物种多样性。</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公式：D=(S-1)/lnN</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其中：s为群落中物种数目</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 xml:space="preserve"> N为观察到的个体总数</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评价区各群落优势种物种优势度情况见下表。</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表4.3-18   评价范围各群落物种丰富度指数</w:t>
      </w:r>
    </w:p>
    <w:tbl>
      <w:tblPr>
        <w:tblStyle w:val="582"/>
        <w:tblW w:w="47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32"/>
        <w:gridCol w:w="3273"/>
        <w:gridCol w:w="16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40" w:type="pct"/>
            <w:vAlign w:val="center"/>
          </w:tcPr>
          <w:p>
            <w:pPr>
              <w:tabs>
                <w:tab w:val="left" w:pos="1440"/>
              </w:tabs>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群落名称</w:t>
            </w:r>
          </w:p>
        </w:tc>
        <w:tc>
          <w:tcPr>
            <w:tcW w:w="2027" w:type="pct"/>
            <w:vAlign w:val="center"/>
          </w:tcPr>
          <w:p>
            <w:pPr>
              <w:tabs>
                <w:tab w:val="left" w:pos="1440"/>
              </w:tabs>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优势种</w:t>
            </w:r>
          </w:p>
        </w:tc>
        <w:tc>
          <w:tcPr>
            <w:tcW w:w="1032" w:type="pct"/>
            <w:vAlign w:val="center"/>
          </w:tcPr>
          <w:p>
            <w:pPr>
              <w:tabs>
                <w:tab w:val="left" w:pos="1440"/>
              </w:tabs>
              <w:adjustRightInd/>
              <w:snapToGrid/>
              <w:spacing w:line="240" w:lineRule="auto"/>
              <w:ind w:firstLine="0" w:firstLineChars="0"/>
              <w:jc w:val="cente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Margalef指数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40"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14:textFill>
                  <w14:solidFill>
                    <w14:schemeClr w14:val="tx1"/>
                  </w14:solidFill>
                </w14:textFill>
              </w:rPr>
              <w:t>马尾松群落</w:t>
            </w:r>
          </w:p>
        </w:tc>
        <w:tc>
          <w:tcPr>
            <w:tcW w:w="2027"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14:textFill>
                  <w14:solidFill>
                    <w14:schemeClr w14:val="tx1"/>
                  </w14:solidFill>
                </w14:textFill>
              </w:rPr>
              <w:t>马尾松</w:t>
            </w:r>
          </w:p>
        </w:tc>
        <w:tc>
          <w:tcPr>
            <w:tcW w:w="1032"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0.</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exact"/>
          <w:jc w:val="center"/>
        </w:trPr>
        <w:tc>
          <w:tcPr>
            <w:tcW w:w="1940"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14:textFill>
                  <w14:solidFill>
                    <w14:schemeClr w14:val="tx1"/>
                  </w14:solidFill>
                </w14:textFill>
              </w:rPr>
              <w:t>麻栎、青冈、栓皮栎群落</w:t>
            </w:r>
          </w:p>
        </w:tc>
        <w:tc>
          <w:tcPr>
            <w:tcW w:w="2027"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14:textFill>
                  <w14:solidFill>
                    <w14:schemeClr w14:val="tx1"/>
                  </w14:solidFill>
                </w14:textFill>
              </w:rPr>
              <w:t>麻栎、青冈、栓皮栎、栓皮栎</w:t>
            </w:r>
          </w:p>
        </w:tc>
        <w:tc>
          <w:tcPr>
            <w:tcW w:w="1032"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0.</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794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exact"/>
          <w:jc w:val="center"/>
        </w:trPr>
        <w:tc>
          <w:tcPr>
            <w:tcW w:w="1940"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t>马桑、黄荆、火棘、荚蒾</w:t>
            </w:r>
            <w:r>
              <w:rPr>
                <w:rFonts w:hint="default" w:ascii="Times New Roman" w:hAnsi="Times New Roman" w:eastAsia="宋体" w:cs="Times New Roman"/>
                <w:b w:val="0"/>
                <w:bCs/>
                <w:color w:val="000000" w:themeColor="text1"/>
                <w:spacing w:val="15"/>
                <w:sz w:val="21"/>
                <w:szCs w:val="21"/>
                <w:highlight w:val="none"/>
                <w14:textFill>
                  <w14:solidFill>
                    <w14:schemeClr w14:val="tx1"/>
                  </w14:solidFill>
                </w14:textFill>
              </w:rPr>
              <w:t>灌丛</w:t>
            </w:r>
          </w:p>
        </w:tc>
        <w:tc>
          <w:tcPr>
            <w:tcW w:w="2027"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15"/>
                <w:sz w:val="21"/>
                <w:szCs w:val="21"/>
                <w:highlight w:val="none"/>
                <w:lang w:eastAsia="zh-CN"/>
                <w14:textFill>
                  <w14:solidFill>
                    <w14:schemeClr w14:val="tx1"/>
                  </w14:solidFill>
                </w14:textFill>
              </w:rPr>
              <w:t>马桑、黄荆、火棘、荚蒾</w:t>
            </w:r>
          </w:p>
        </w:tc>
        <w:tc>
          <w:tcPr>
            <w:tcW w:w="1032"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0.</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exact"/>
          <w:jc w:val="center"/>
        </w:trPr>
        <w:tc>
          <w:tcPr>
            <w:tcW w:w="1940"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芒、</w:t>
            </w:r>
            <w:r>
              <w:rPr>
                <w:rFonts w:hint="default" w:ascii="Times New Roman" w:hAnsi="Times New Roman" w:eastAsia="宋体" w:cs="Times New Roman"/>
                <w:b w:val="0"/>
                <w:bCs/>
                <w:color w:val="000000" w:themeColor="text1"/>
                <w:spacing w:val="-4"/>
                <w:sz w:val="21"/>
                <w:szCs w:val="21"/>
                <w:highlight w:val="none"/>
                <w14:textFill>
                  <w14:solidFill>
                    <w14:schemeClr w14:val="tx1"/>
                  </w14:solidFill>
                </w14:textFill>
              </w:rPr>
              <w:t>白茅草丛</w:t>
            </w: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群系</w:t>
            </w:r>
          </w:p>
        </w:tc>
        <w:tc>
          <w:tcPr>
            <w:tcW w:w="2027"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spacing w:val="15"/>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芒、</w:t>
            </w:r>
            <w:r>
              <w:rPr>
                <w:rFonts w:hint="default" w:ascii="Times New Roman" w:hAnsi="Times New Roman" w:eastAsia="宋体" w:cs="Times New Roman"/>
                <w:b w:val="0"/>
                <w:bCs/>
                <w:color w:val="000000" w:themeColor="text1"/>
                <w:spacing w:val="-4"/>
                <w:sz w:val="21"/>
                <w:szCs w:val="21"/>
                <w:highlight w:val="none"/>
                <w14:textFill>
                  <w14:solidFill>
                    <w14:schemeClr w14:val="tx1"/>
                  </w14:solidFill>
                </w14:textFill>
              </w:rPr>
              <w:t>白茅、五节芒</w:t>
            </w:r>
          </w:p>
        </w:tc>
        <w:tc>
          <w:tcPr>
            <w:tcW w:w="1032" w:type="pct"/>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14:textFill>
                  <w14:solidFill>
                    <w14:schemeClr w14:val="tx1"/>
                  </w14:solidFill>
                </w14:textFill>
              </w:rPr>
              <w:t>0.</w:t>
            </w:r>
            <w:r>
              <w:rPr>
                <w:rFonts w:hint="default" w:ascii="Times New Roman" w:hAnsi="Times New Roman" w:eastAsia="宋体" w:cs="Times New Roman"/>
                <w:b w:val="0"/>
                <w:bCs/>
                <w:color w:val="000000" w:themeColor="text1"/>
                <w:kern w:val="0"/>
                <w:sz w:val="21"/>
                <w:szCs w:val="21"/>
                <w:highlight w:val="none"/>
                <w:lang w:val="en-US" w:eastAsia="zh-CN"/>
                <w14:textFill>
                  <w14:solidFill>
                    <w14:schemeClr w14:val="tx1"/>
                  </w14:solidFill>
                </w14:textFill>
              </w:rPr>
              <w:t>390</w:t>
            </w:r>
          </w:p>
        </w:tc>
      </w:tr>
    </w:tbl>
    <w:p>
      <w:pPr>
        <w:keepNext w:val="0"/>
        <w:keepLines w:val="0"/>
        <w:pageBreakBefore w:val="0"/>
        <w:widowControl w:val="0"/>
        <w:kinsoku/>
        <w:wordWrap/>
        <w:overflowPunct/>
        <w:topLinePunct w:val="0"/>
        <w:autoSpaceDE/>
        <w:autoSpaceDN/>
        <w:bidi w:val="0"/>
        <w:adjustRightInd w:val="0"/>
        <w:snapToGrid w:val="0"/>
        <w:spacing w:before="0" w:beforeLines="50"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0" w:beforeLines="50"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由上表可见，项目处于亚热带常绿阔叶林区域，水热条件较好，植被总体覆盖度较高，评价区主要群落物种丰富度指数介于0.</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390</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-0.</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825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之间，表明评价区物种多样性水平较高，总体结构较复杂。</w:t>
      </w:r>
    </w:p>
    <w:p>
      <w:pPr>
        <w:keepNext/>
        <w:keepLines/>
        <w:widowControl/>
        <w:adjustRightInd w:val="0"/>
        <w:snapToGrid w:val="0"/>
        <w:spacing w:before="0" w:after="0" w:line="360" w:lineRule="auto"/>
        <w:ind w:firstLine="480" w:firstLineChars="200"/>
        <w:jc w:val="left"/>
        <w:outlineLvl w:val="2"/>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pPr>
      <w:bookmarkStart w:id="250" w:name="_Toc2433"/>
      <w:r>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t>4.3.10陆生野生动物现状调查</w:t>
      </w:r>
      <w:bookmarkEnd w:id="250"/>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1、项目评价范围内陆生野生脊椎动物现状和特点</w:t>
      </w:r>
    </w:p>
    <w:p>
      <w:pPr>
        <w:adjustRightInd w:val="0"/>
        <w:snapToGrid w:val="0"/>
        <w:spacing w:line="360" w:lineRule="auto"/>
        <w:ind w:right="100"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动物调查采用样线调查法，设置调查样线</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条，样线长为1-3km，单侧观察宽度为50m，样线分别设置在</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林地</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耕地居民点等地，涵盖了不同的生境条件，尽量在评价区内均匀分布。由于项目评价范围现有土地开发利用程度较高，人类活动对当地野生动物影响较大，野生动物组成比较简单，种类较少，多为鸟类和小型啮齿类动物，鸟类繁殖期多在食物资源丰富的春夏季，啮齿类动物多无固定繁殖期，蛇类越冬期主要在11-次年4月，本次评价以项目所在区域宣汉县陆生野生动物分布情况为准。</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表4.3-19 野生动物野外调查样线分布表</w:t>
      </w:r>
    </w:p>
    <w:p>
      <w:pPr>
        <w:adjustRightInd/>
        <w:snapToGrid/>
        <w:spacing w:line="99" w:lineRule="exact"/>
        <w:ind w:firstLine="0" w:firstLineChars="0"/>
        <w:rPr>
          <w:rFonts w:hint="default" w:ascii="Times New Roman" w:hAnsi="Times New Roman" w:eastAsia="宋体" w:cs="Times New Roman"/>
          <w:b w:val="0"/>
          <w:bCs/>
          <w:color w:val="000000" w:themeColor="text1"/>
          <w:sz w:val="21"/>
          <w:szCs w:val="24"/>
          <w:highlight w:val="none"/>
          <w14:textFill>
            <w14:solidFill>
              <w14:schemeClr w14:val="tx1"/>
            </w14:solidFill>
          </w14:textFill>
        </w:rPr>
      </w:pPr>
    </w:p>
    <w:tbl>
      <w:tblPr>
        <w:tblStyle w:val="584"/>
        <w:tblW w:w="4998"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1718"/>
        <w:gridCol w:w="2682"/>
        <w:gridCol w:w="3917"/>
      </w:tblGrid>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654" w:hRule="atLeast"/>
          <w:jc w:val="center"/>
        </w:trPr>
        <w:tc>
          <w:tcPr>
            <w:tcW w:w="1033" w:type="pct"/>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样带编号</w:t>
            </w:r>
          </w:p>
        </w:tc>
        <w:tc>
          <w:tcPr>
            <w:tcW w:w="1612" w:type="pct"/>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生态环境</w:t>
            </w:r>
          </w:p>
        </w:tc>
        <w:tc>
          <w:tcPr>
            <w:tcW w:w="2354" w:type="pct"/>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主要野生动物类型</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1033" w:type="pct"/>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01</w:t>
            </w: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-03</w:t>
            </w:r>
          </w:p>
        </w:tc>
        <w:tc>
          <w:tcPr>
            <w:tcW w:w="1612" w:type="pct"/>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林地</w:t>
            </w:r>
          </w:p>
        </w:tc>
        <w:tc>
          <w:tcPr>
            <w:tcW w:w="2354" w:type="pct"/>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鸟类、爬行类、兽类</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1033" w:type="pct"/>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0</w:t>
            </w: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4-06</w:t>
            </w:r>
          </w:p>
        </w:tc>
        <w:tc>
          <w:tcPr>
            <w:tcW w:w="1612" w:type="pct"/>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耕地</w:t>
            </w: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居民点</w:t>
            </w:r>
          </w:p>
        </w:tc>
        <w:tc>
          <w:tcPr>
            <w:tcW w:w="2354" w:type="pct"/>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鸟类、两栖类、爬行类、兽类</w:t>
            </w:r>
          </w:p>
        </w:tc>
      </w:tr>
    </w:tbl>
    <w:p>
      <w:pPr>
        <w:adjustRightInd/>
        <w:snapToGrid/>
        <w:spacing w:line="480" w:lineRule="exact"/>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adjustRightInd/>
        <w:snapToGrid/>
        <w:spacing w:line="480" w:lineRule="exact"/>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2、物种组成</w:t>
      </w:r>
    </w:p>
    <w:p>
      <w:pPr>
        <w:adjustRightInd/>
        <w:snapToGrid/>
        <w:spacing w:line="500" w:lineRule="exact"/>
        <w:ind w:left="60" w:right="100" w:firstLine="468" w:firstLineChars="195"/>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根据现场调查、访问，参考保护区科考报告资料，评价区及周边不完全统计有野生脊椎动物</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18</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科</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57</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种，其中两栖类1目3科5种，爬行类1目2科6种，哺乳类6目9科15种，鸟类</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18</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科</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outlineLvl w:val="9"/>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1"/>
          <w:szCs w:val="21"/>
          <w:highlight w:val="none"/>
          <w:lang w:val="en-US" w:eastAsia="zh-CN" w:bidi="ar-SA"/>
          <w14:textFill>
            <w14:solidFill>
              <w14:schemeClr w14:val="tx1"/>
            </w14:solidFill>
          </w14:textFill>
        </w:rPr>
        <w:t>表4.3-20  评价区野生脊椎动物物种组成</w:t>
      </w:r>
    </w:p>
    <w:tbl>
      <w:tblPr>
        <w:tblStyle w:val="584"/>
        <w:tblW w:w="8286" w:type="dxa"/>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1313"/>
        <w:gridCol w:w="1138"/>
        <w:gridCol w:w="1138"/>
        <w:gridCol w:w="1298"/>
        <w:gridCol w:w="1353"/>
        <w:gridCol w:w="1228"/>
        <w:gridCol w:w="818"/>
      </w:tblGrid>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30" w:hRule="atLeast"/>
          <w:jc w:val="center"/>
        </w:trPr>
        <w:tc>
          <w:tcPr>
            <w:tcW w:w="1313"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类别</w:t>
            </w:r>
          </w:p>
        </w:tc>
        <w:tc>
          <w:tcPr>
            <w:tcW w:w="113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目数</w:t>
            </w:r>
          </w:p>
        </w:tc>
        <w:tc>
          <w:tcPr>
            <w:tcW w:w="113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科数</w:t>
            </w:r>
          </w:p>
        </w:tc>
        <w:tc>
          <w:tcPr>
            <w:tcW w:w="129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物种数</w:t>
            </w:r>
          </w:p>
        </w:tc>
        <w:tc>
          <w:tcPr>
            <w:tcW w:w="1353"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国家Ⅰ级</w:t>
            </w:r>
          </w:p>
        </w:tc>
        <w:tc>
          <w:tcPr>
            <w:tcW w:w="122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国家Ⅱ级</w:t>
            </w:r>
          </w:p>
        </w:tc>
        <w:tc>
          <w:tcPr>
            <w:tcW w:w="81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省级</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1313"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两栖类</w:t>
            </w:r>
          </w:p>
        </w:tc>
        <w:tc>
          <w:tcPr>
            <w:tcW w:w="113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1</w:t>
            </w:r>
          </w:p>
        </w:tc>
        <w:tc>
          <w:tcPr>
            <w:tcW w:w="113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3</w:t>
            </w:r>
          </w:p>
        </w:tc>
        <w:tc>
          <w:tcPr>
            <w:tcW w:w="129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5</w:t>
            </w:r>
          </w:p>
        </w:tc>
        <w:tc>
          <w:tcPr>
            <w:tcW w:w="1353"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c>
          <w:tcPr>
            <w:tcW w:w="122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c>
          <w:tcPr>
            <w:tcW w:w="81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1313"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爬行类</w:t>
            </w:r>
          </w:p>
        </w:tc>
        <w:tc>
          <w:tcPr>
            <w:tcW w:w="113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1</w:t>
            </w:r>
          </w:p>
        </w:tc>
        <w:tc>
          <w:tcPr>
            <w:tcW w:w="113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2</w:t>
            </w:r>
          </w:p>
        </w:tc>
        <w:tc>
          <w:tcPr>
            <w:tcW w:w="129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6</w:t>
            </w:r>
          </w:p>
        </w:tc>
        <w:tc>
          <w:tcPr>
            <w:tcW w:w="1353"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c>
          <w:tcPr>
            <w:tcW w:w="122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c>
          <w:tcPr>
            <w:tcW w:w="81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1313"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鸟类</w:t>
            </w:r>
          </w:p>
        </w:tc>
        <w:tc>
          <w:tcPr>
            <w:tcW w:w="113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10</w:t>
            </w:r>
          </w:p>
        </w:tc>
        <w:tc>
          <w:tcPr>
            <w:tcW w:w="113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1</w:t>
            </w: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8</w:t>
            </w:r>
          </w:p>
        </w:tc>
        <w:tc>
          <w:tcPr>
            <w:tcW w:w="129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31</w:t>
            </w:r>
          </w:p>
        </w:tc>
        <w:tc>
          <w:tcPr>
            <w:tcW w:w="1353"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c>
          <w:tcPr>
            <w:tcW w:w="122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c>
          <w:tcPr>
            <w:tcW w:w="818" w:type="dxa"/>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1313" w:type="dxa"/>
            <w:tcBorders>
              <w:bottom w:val="single" w:color="000000" w:sz="10"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兽类</w:t>
            </w:r>
          </w:p>
        </w:tc>
        <w:tc>
          <w:tcPr>
            <w:tcW w:w="1138" w:type="dxa"/>
            <w:tcBorders>
              <w:bottom w:val="single" w:color="000000" w:sz="10"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6</w:t>
            </w:r>
          </w:p>
        </w:tc>
        <w:tc>
          <w:tcPr>
            <w:tcW w:w="1138" w:type="dxa"/>
            <w:tcBorders>
              <w:bottom w:val="single" w:color="000000" w:sz="10"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9</w:t>
            </w:r>
          </w:p>
        </w:tc>
        <w:tc>
          <w:tcPr>
            <w:tcW w:w="1298" w:type="dxa"/>
            <w:tcBorders>
              <w:bottom w:val="single" w:color="000000" w:sz="10"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15</w:t>
            </w:r>
          </w:p>
        </w:tc>
        <w:tc>
          <w:tcPr>
            <w:tcW w:w="1353" w:type="dxa"/>
            <w:tcBorders>
              <w:bottom w:val="single" w:color="000000" w:sz="10"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c>
          <w:tcPr>
            <w:tcW w:w="1228" w:type="dxa"/>
            <w:tcBorders>
              <w:bottom w:val="single" w:color="000000" w:sz="10"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c>
          <w:tcPr>
            <w:tcW w:w="818" w:type="dxa"/>
            <w:tcBorders>
              <w:bottom w:val="single" w:color="000000" w:sz="10"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33" w:hRule="atLeast"/>
          <w:jc w:val="center"/>
        </w:trPr>
        <w:tc>
          <w:tcPr>
            <w:tcW w:w="1313" w:type="dxa"/>
            <w:tcBorders>
              <w:right w:val="single" w:color="000000" w:sz="2"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合计</w:t>
            </w:r>
          </w:p>
        </w:tc>
        <w:tc>
          <w:tcPr>
            <w:tcW w:w="1138" w:type="dxa"/>
            <w:tcBorders>
              <w:left w:val="single" w:color="000000" w:sz="2" w:space="0"/>
              <w:right w:val="single" w:color="000000" w:sz="2"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18</w:t>
            </w:r>
          </w:p>
        </w:tc>
        <w:tc>
          <w:tcPr>
            <w:tcW w:w="1138" w:type="dxa"/>
            <w:tcBorders>
              <w:left w:val="single" w:color="000000" w:sz="2" w:space="0"/>
              <w:right w:val="single" w:color="000000" w:sz="2"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3</w:t>
            </w: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2</w:t>
            </w:r>
          </w:p>
        </w:tc>
        <w:tc>
          <w:tcPr>
            <w:tcW w:w="1298" w:type="dxa"/>
            <w:tcBorders>
              <w:left w:val="single" w:color="000000" w:sz="2" w:space="0"/>
              <w:right w:val="single" w:color="000000" w:sz="2"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57</w:t>
            </w:r>
          </w:p>
        </w:tc>
        <w:tc>
          <w:tcPr>
            <w:tcW w:w="1353" w:type="dxa"/>
            <w:tcBorders>
              <w:left w:val="single" w:color="000000" w:sz="2" w:space="0"/>
              <w:right w:val="single" w:color="000000" w:sz="2"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c>
          <w:tcPr>
            <w:tcW w:w="1228" w:type="dxa"/>
            <w:tcBorders>
              <w:left w:val="single" w:color="000000" w:sz="2" w:space="0"/>
              <w:right w:val="single" w:color="000000" w:sz="2"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c>
          <w:tcPr>
            <w:tcW w:w="818" w:type="dxa"/>
            <w:tcBorders>
              <w:left w:val="single" w:color="000000" w:sz="2"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en-US" w:bidi="ar"/>
                <w14:textFill>
                  <w14:solidFill>
                    <w14:schemeClr w14:val="tx1"/>
                  </w14:solidFill>
                </w14:textFill>
              </w:rPr>
              <w:t>/</w:t>
            </w:r>
          </w:p>
        </w:tc>
      </w:tr>
    </w:tbl>
    <w:p>
      <w:pPr>
        <w:adjustRightInd/>
        <w:snapToGrid/>
        <w:spacing w:line="480" w:lineRule="exact"/>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adjustRightInd/>
        <w:snapToGrid/>
        <w:spacing w:line="480" w:lineRule="exact"/>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adjustRightInd/>
        <w:snapToGrid/>
        <w:spacing w:line="480" w:lineRule="exact"/>
        <w:ind w:firstLine="480" w:firstLineChars="20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A</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兽类的组成及分布</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根据野外调查和文献资料核实，评价区共有兽类6目9科12属15种，即食虫目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科</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种、翼手目1科1种、</w:t>
      </w: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偶蹄目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科</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食肉目1科1种、啮齿目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科</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种、兔形目1科1属1种。从目一级水平看，啮齿目优势明显。由于人类活动影响，评价区的兽类主要以常见的小型兽类为主，基本难以寻觅大、中型兽类的痕迹，本次调查未发现保护兽类动物的踪迹。</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（1）区系分析</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区内有分布的15种兽类中，东洋界种类有5种，占该区域实际调查到有分布的兽类总种数的33.33%；古北界种类有3种，占20.00%，广布种有7种，占46.67%。</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（2）生态分布</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根据该区域的环境特征和兽类的生活特性，该区域兽类主要分为如下几种生态类型：</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溪流区兽类：指生活在评价区内溪流和沿岸的物种，主要包括：黄鼬、草兔、社鼠等。</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林区兽类：主要是指生活在森林环境的物种，森林环境在该区域主要分布于坡地中上部。为该区最广的生境类型，主要分布的兽类有隐纹花松鼠、社鼠等。</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灌草丛区兽类：该区域的生境类型主要包括灌丛、草丛和农耕地等，分布海拔相对较低，生活于其中的兽类主要包括：黄鼬、草兔、社鼠等，其中的优势种类为草兔、社鼠等。</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（3）保护物种</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评价区内未发现国家级重点保护动物，同时评价区的相关资料也未记载相关国家级重点保护动物。</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B</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鸟类的组成及分布</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根据文献查阅及现场调研，评价范围内共有鸟类3</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种，隶10目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18</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科。其中，从类群构成看，雀形目鸟类1</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种，占评价区鸟类总种数的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54.84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（1）区系分析</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评价区内鸟类中属古北界的有11种，占评价区内鸟类总数的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35.48</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%；属东洋界的有9种，占评价区内鸟类总数的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29.03</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%；属广布种的有</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种，占评价区内鸟类总数的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35.48</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%。调查评价区内鸟类以广布种占优势。</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（2）居留类型</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评价区内有留鸟</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18</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种，占鸟类总数的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58.06</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%；夏候鸟12种，约占</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38.71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%；冬候鸟1种，各占3.</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23</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%。调查评价区内鸟类以留鸟为主。</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（3）生态分布</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根据评价区植被分布的特点，将评价区鸟类分布的生境划分为以下几种类型：</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溪流区鸟类：该区域的生境类型主要包括水域、草丛、灌丛等基本类型，分布海拔相对较低，活动于其中的鸟类主要包括：鹳形目的种类。该区的优势种类是：白鹭、赤麻鸭等。</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森林区鸟类：森林环境在该区域较广泛。生活于该区的鸟类较多，主要为雉科、鸦科、雀科等。优势种类有雉鸡、山斑鸠、大杜鹃、树麻雀、噪鹃等。</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草灌丛、农区鸟类：该类生境在评价区内分布较狭窄。该区段生活的鸟类主要是鸡形目及雀形目的部分鸟类。其中的优势种类主要有家燕、毛脚燕、普通翠鸟等。</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（4）保护物种</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据调查和访问，评价区未发现属于国家级保护和四川省级保护的鸟类。</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C</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爬行动物的组成及分布</w:t>
      </w:r>
    </w:p>
    <w:p>
      <w:pPr>
        <w:adjustRightInd/>
        <w:snapToGrid/>
        <w:spacing w:line="500" w:lineRule="exact"/>
        <w:ind w:left="60" w:right="100" w:firstLine="482" w:firstLineChars="0"/>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根据野外调查和相关资料，确认评价</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范围</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内共分布有爬行动物6种，分属1目2科，分别为游蛇科5种，</w:t>
      </w:r>
      <w:r>
        <w:rPr>
          <w:rFonts w:hint="default" w:ascii="Times New Roman" w:hAnsi="Times New Roman" w:eastAsia="宋体" w:cs="Times New Roman"/>
          <w:b w:val="0"/>
          <w:bCs/>
          <w:color w:val="000000" w:themeColor="text1"/>
          <w:spacing w:val="-2"/>
          <w:kern w:val="0"/>
          <w:sz w:val="24"/>
          <w:szCs w:val="24"/>
          <w:highlight w:val="none"/>
          <w:lang w:val="en-US" w:eastAsia="zh-CN" w:bidi="ar"/>
          <w14:textFill>
            <w14:solidFill>
              <w14:schemeClr w14:val="tx1"/>
            </w14:solidFill>
          </w14:textFill>
        </w:rPr>
        <w:t>石龙子</w:t>
      </w:r>
      <w:r>
        <w:rPr>
          <w:rFonts w:hint="default" w:ascii="Times New Roman" w:hAnsi="Times New Roman" w:eastAsia="宋体" w:cs="Times New Roman"/>
          <w:b w:val="0"/>
          <w:bCs/>
          <w:color w:val="000000" w:themeColor="text1"/>
          <w:kern w:val="0"/>
          <w:sz w:val="24"/>
          <w:szCs w:val="24"/>
          <w:highlight w:val="none"/>
          <w:lang w:val="en-US" w:eastAsia="zh-CN" w:bidi="ar"/>
          <w14:textFill>
            <w14:solidFill>
              <w14:schemeClr w14:val="tx1"/>
            </w14:solidFill>
          </w14:textFill>
        </w:rPr>
        <w:t>科</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1种。评价范围内生境较广泛，主要有翠青蛇、赤链蛇、乌梢蛇、王锦蛇等种类。从物种的目级组成看，评价区的爬行类均为有鳞目蛇亚目的种类。从科级组成看，评价区爬行类以游蛇科种类占优势。</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（1）区系分布</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评价范围分布的6种爬行动物东洋界物种有3种，古北种1种，广布种2种。</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（2）生态分布</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评价区的爬行动物大多栖息在灌草丛中。</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（3）保护物种</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调查中未发现属于国家级保护和四川省级保护的爬行类物种。</w:t>
      </w:r>
    </w:p>
    <w:p>
      <w:pPr>
        <w:keepNext w:val="0"/>
        <w:keepLines w:val="0"/>
        <w:pageBreakBefore w:val="0"/>
        <w:widowControl w:val="0"/>
        <w:kinsoku/>
        <w:wordWrap/>
        <w:overflowPunct/>
        <w:topLinePunct w:val="0"/>
        <w:autoSpaceDE/>
        <w:autoSpaceDN/>
        <w:bidi w:val="0"/>
        <w:adjustRightInd/>
        <w:snapToGrid/>
        <w:spacing w:line="500" w:lineRule="exact"/>
        <w:ind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D</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两栖动物的组成及分布</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据不完全统计，评价</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范围</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内分布有两栖动物5种，隶属于1目3科，分别为蟾蜍科2种，蛙科2种，叉舌蛙科1种。</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（1）区系分析</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评价区内的两栖类以东洋界为主，仅有1个古北种和1个广布种。</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（2）生态分布</w:t>
      </w:r>
    </w:p>
    <w:p>
      <w:pPr>
        <w:keepNext w:val="0"/>
        <w:keepLines w:val="0"/>
        <w:pageBreakBefore w:val="0"/>
        <w:widowControl w:val="0"/>
        <w:kinsoku/>
        <w:wordWrap/>
        <w:overflowPunct/>
        <w:topLinePunct w:val="0"/>
        <w:autoSpaceDE/>
        <w:autoSpaceDN/>
        <w:bidi w:val="0"/>
        <w:adjustRightInd/>
        <w:snapToGrid/>
        <w:spacing w:line="500" w:lineRule="exact"/>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中华蟾蜍、黑眶蟾蜍、黑斑侧褶蛙等生活在河沟两侧或其附近环境植被较为茂密、阴湿的灌草丛区域；花臭蛙主要生活在大小溪两岸潮湿的岩石上；泽陆蛙主要在水域地区。</w:t>
      </w:r>
    </w:p>
    <w:p>
      <w:pPr>
        <w:keepNext w:val="0"/>
        <w:keepLines w:val="0"/>
        <w:pageBreakBefore w:val="0"/>
        <w:widowControl w:val="0"/>
        <w:kinsoku/>
        <w:wordWrap/>
        <w:overflowPunct/>
        <w:topLinePunct w:val="0"/>
        <w:autoSpaceDE/>
        <w:autoSpaceDN/>
        <w:bidi w:val="0"/>
        <w:adjustRightInd w:val="0"/>
        <w:snapToGrid w:val="0"/>
        <w:spacing w:line="360" w:lineRule="auto"/>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（3）保护物种</w:t>
      </w:r>
    </w:p>
    <w:p>
      <w:pPr>
        <w:keepNext w:val="0"/>
        <w:keepLines w:val="0"/>
        <w:pageBreakBefore w:val="0"/>
        <w:widowControl w:val="0"/>
        <w:kinsoku/>
        <w:wordWrap/>
        <w:overflowPunct/>
        <w:topLinePunct w:val="0"/>
        <w:autoSpaceDE/>
        <w:autoSpaceDN/>
        <w:bidi w:val="0"/>
        <w:adjustRightInd w:val="0"/>
        <w:snapToGrid w:val="0"/>
        <w:spacing w:line="360" w:lineRule="auto"/>
        <w:ind w:left="60" w:right="100" w:firstLine="482" w:firstLineChars="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调查中未发现属于国家级保护和省级保护的两栖类物种。</w:t>
      </w:r>
    </w:p>
    <w:p>
      <w:pPr>
        <w:keepNext/>
        <w:keepLines/>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2"/>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pPr>
      <w:bookmarkStart w:id="251" w:name="_Toc24365"/>
      <w:r>
        <w:rPr>
          <w:rFonts w:hint="default" w:ascii="Times New Roman" w:hAnsi="Times New Roman" w:eastAsia="黑体" w:cs="Times New Roman"/>
          <w:bCs/>
          <w:color w:val="000000" w:themeColor="text1"/>
          <w:kern w:val="2"/>
          <w:sz w:val="24"/>
          <w:szCs w:val="32"/>
          <w:highlight w:val="none"/>
          <w:lang w:val="en-US" w:eastAsia="zh-CN" w:bidi="ar-SA"/>
          <w14:textFill>
            <w14:solidFill>
              <w14:schemeClr w14:val="tx1"/>
            </w14:solidFill>
          </w14:textFill>
        </w:rPr>
        <w:t>4.3.11重要物种、迁徙物种、重要生境调查</w:t>
      </w:r>
      <w:bookmarkEnd w:id="251"/>
    </w:p>
    <w:p>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1、项目评价范围内重点保护野生植物和古树名木</w:t>
      </w:r>
    </w:p>
    <w:p>
      <w:pPr>
        <w:pageBreakBefore w:val="0"/>
        <w:kinsoku/>
        <w:wordWrap/>
        <w:overflowPunct/>
        <w:topLinePunct w:val="0"/>
        <w:autoSpaceDE/>
        <w:autoSpaceDN/>
        <w:bidi w:val="0"/>
        <w:adjustRightInd w:val="0"/>
        <w:snapToGrid w:val="0"/>
        <w:spacing w:line="360" w:lineRule="auto"/>
        <w:ind w:right="100" w:firstLine="456"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pacing w:val="-6"/>
          <w:sz w:val="24"/>
          <w:szCs w:val="24"/>
          <w:highlight w:val="none"/>
          <w14:textFill>
            <w14:solidFill>
              <w14:schemeClr w14:val="tx1"/>
            </w14:solidFill>
          </w14:textFill>
        </w:rPr>
        <w:t>根据现场调查及相关文献资料查阅，本次评价范围内的林地主要为人工林，区域植物种类主要为马尾松、</w:t>
      </w:r>
      <w:r>
        <w:rPr>
          <w:rFonts w:hint="default" w:ascii="Times New Roman" w:hAnsi="Times New Roman" w:eastAsia="宋体" w:cs="Times New Roman"/>
          <w:b w:val="0"/>
          <w:bCs/>
          <w:color w:val="000000" w:themeColor="text1"/>
          <w:spacing w:val="-6"/>
          <w:sz w:val="24"/>
          <w:szCs w:val="24"/>
          <w:highlight w:val="none"/>
          <w:lang w:eastAsia="zh-CN"/>
          <w14:textFill>
            <w14:solidFill>
              <w14:schemeClr w14:val="tx1"/>
            </w14:solidFill>
          </w14:textFill>
        </w:rPr>
        <w:t>栎类</w:t>
      </w:r>
      <w:r>
        <w:rPr>
          <w:rFonts w:hint="default" w:ascii="Times New Roman" w:hAnsi="Times New Roman" w:eastAsia="宋体" w:cs="Times New Roman"/>
          <w:b w:val="0"/>
          <w:bCs/>
          <w:color w:val="000000" w:themeColor="text1"/>
          <w:spacing w:val="-6"/>
          <w:sz w:val="24"/>
          <w:szCs w:val="24"/>
          <w:highlight w:val="none"/>
          <w14:textFill>
            <w14:solidFill>
              <w14:schemeClr w14:val="tx1"/>
            </w14:solidFill>
          </w14:textFill>
        </w:rPr>
        <w:t>及其他常见灌草植物和经济林木等。</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按照现行的《中华人民共和国野生植物保护条例（1999）</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6"/>
          <w:sz w:val="24"/>
          <w:szCs w:val="24"/>
          <w:highlight w:val="none"/>
          <w14:textFill>
            <w14:solidFill>
              <w14:schemeClr w14:val="tx1"/>
            </w14:solidFill>
          </w14:textFill>
        </w:rPr>
        <w:t>国家重点保护野生植物名录》</w:t>
      </w:r>
      <w:r>
        <w:rPr>
          <w:rFonts w:hint="default" w:ascii="Times New Roman" w:hAnsi="Times New Roman" w:cs="Times New Roman"/>
          <w:b w:val="0"/>
          <w:bCs/>
          <w:color w:val="000000" w:themeColor="text1"/>
          <w:spacing w:val="-6"/>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pacing w:val="-6"/>
          <w:sz w:val="24"/>
          <w:szCs w:val="24"/>
          <w:highlight w:val="none"/>
          <w14:textFill>
            <w14:solidFill>
              <w14:schemeClr w14:val="tx1"/>
            </w14:solidFill>
          </w14:textFill>
        </w:rPr>
        <w:t>国家林业和草原局农业农村部公告2021</w:t>
      </w:r>
      <w:r>
        <w:rPr>
          <w:rFonts w:hint="default" w:ascii="Times New Roman" w:hAnsi="Times New Roman" w:eastAsia="宋体" w:cs="Times New Roman"/>
          <w:b w:val="0"/>
          <w:bCs/>
          <w:color w:val="000000" w:themeColor="text1"/>
          <w:spacing w:val="-9"/>
          <w:sz w:val="24"/>
          <w:szCs w:val="24"/>
          <w:highlight w:val="none"/>
          <w14:textFill>
            <w14:solidFill>
              <w14:schemeClr w14:val="tx1"/>
            </w14:solidFill>
          </w14:textFill>
        </w:rPr>
        <w:t>年</w:t>
      </w:r>
      <w:r>
        <w:rPr>
          <w:rFonts w:hint="default" w:ascii="Times New Roman" w:hAnsi="Times New Roman" w:eastAsia="宋体" w:cs="Times New Roman"/>
          <w:b w:val="0"/>
          <w:bCs/>
          <w:color w:val="000000" w:themeColor="text1"/>
          <w:spacing w:val="-5"/>
          <w:sz w:val="24"/>
          <w:szCs w:val="24"/>
          <w:highlight w:val="none"/>
          <w14:textFill>
            <w14:solidFill>
              <w14:schemeClr w14:val="tx1"/>
            </w14:solidFill>
          </w14:textFill>
        </w:rPr>
        <w:t>第15号</w:t>
      </w:r>
      <w:r>
        <w:rPr>
          <w:rFonts w:hint="default" w:ascii="Times New Roman" w:hAnsi="Times New Roman" w:cs="Times New Roman"/>
          <w:b w:val="0"/>
          <w:bCs/>
          <w:color w:val="000000" w:themeColor="text1"/>
          <w:spacing w:val="-5"/>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pacing w:val="-6"/>
          <w:sz w:val="24"/>
          <w:szCs w:val="24"/>
          <w:highlight w:val="none"/>
          <w14:textFill>
            <w14:solidFill>
              <w14:schemeClr w14:val="tx1"/>
            </w14:solidFill>
          </w14:textFill>
        </w:rPr>
        <w:t>《四川省重点保护野生植物名录</w:t>
      </w:r>
      <w:r>
        <w:rPr>
          <w:rFonts w:hint="default" w:ascii="Times New Roman" w:hAnsi="Times New Roman" w:cs="Times New Roman"/>
          <w:b w:val="0"/>
          <w:bCs/>
          <w:color w:val="000000" w:themeColor="text1"/>
          <w:spacing w:val="-6"/>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全国古树名木普查建档技术规定（2001）》以及相关科考资料，评价区无重点保护野生植物和古树名木等重要物种分布。</w:t>
      </w:r>
      <w:r>
        <w:rPr>
          <w:rFonts w:hint="default" w:ascii="Times New Roman" w:hAnsi="Times New Roman" w:eastAsia="宋体" w:cs="Times New Roman"/>
          <w:b w:val="0"/>
          <w:bCs/>
          <w:color w:val="000000" w:themeColor="text1"/>
          <w:spacing w:val="-6"/>
          <w:sz w:val="24"/>
          <w:szCs w:val="24"/>
          <w:highlight w:val="none"/>
          <w14:textFill>
            <w14:solidFill>
              <w14:schemeClr w14:val="tx1"/>
            </w14:solidFill>
          </w14:textFill>
        </w:rPr>
        <w:t>后续应加强评价范围内保护植物的跟踪调查，对及时发现的重点保护植物采取就地保护措施</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，对发现的名木古树采取挂牌保护。</w:t>
      </w:r>
    </w:p>
    <w:p>
      <w:pPr>
        <w:pageBreakBefore w:val="0"/>
        <w:kinsoku/>
        <w:wordWrap/>
        <w:overflowPunct/>
        <w:topLinePunct w:val="0"/>
        <w:autoSpaceDE/>
        <w:autoSpaceDN/>
        <w:bidi w:val="0"/>
        <w:adjustRightInd w:val="0"/>
        <w:snapToGrid w:val="0"/>
        <w:spacing w:line="360" w:lineRule="auto"/>
        <w:ind w:right="100"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2、项目评价范围内重点保护野生动物</w:t>
      </w:r>
    </w:p>
    <w:p>
      <w:pPr>
        <w:pageBreakBefore w:val="0"/>
        <w:kinsoku/>
        <w:wordWrap/>
        <w:overflowPunct/>
        <w:topLinePunct w:val="0"/>
        <w:autoSpaceDE/>
        <w:autoSpaceDN/>
        <w:bidi w:val="0"/>
        <w:adjustRightInd w:val="0"/>
        <w:snapToGrid w:val="0"/>
        <w:spacing w:line="360" w:lineRule="auto"/>
        <w:ind w:right="100"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根据实际调查及现场复核，参照《国家重点保护野生动物名录2021</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四川省重点保护野生动物名录</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四川省新增重点保护野生动物名录》及相关科考资料，在项目评价范围，未发现属于国家级保护和四川省级保护的野生动物及栖息地，无分布生境，也无重要野生动物的迁徙通道。</w:t>
      </w:r>
    </w:p>
    <w:p>
      <w:pPr>
        <w:pageBreakBefore w:val="0"/>
        <w:kinsoku/>
        <w:wordWrap/>
        <w:overflowPunct/>
        <w:topLinePunct w:val="0"/>
        <w:autoSpaceDE/>
        <w:autoSpaceDN/>
        <w:bidi w:val="0"/>
        <w:adjustRightInd w:val="0"/>
        <w:snapToGrid w:val="0"/>
        <w:spacing w:line="360" w:lineRule="auto"/>
        <w:ind w:right="100"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3、项目评价范围内重要生境</w:t>
      </w:r>
    </w:p>
    <w:p>
      <w:pPr>
        <w:pageBreakBefore w:val="0"/>
        <w:kinsoku/>
        <w:wordWrap/>
        <w:overflowPunct/>
        <w:topLinePunct w:val="0"/>
        <w:autoSpaceDE/>
        <w:autoSpaceDN/>
        <w:bidi w:val="0"/>
        <w:adjustRightInd w:val="0"/>
        <w:snapToGrid w:val="0"/>
        <w:spacing w:line="360" w:lineRule="auto"/>
        <w:ind w:right="100"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项目评价范围无重要生境分布。</w:t>
      </w:r>
    </w:p>
    <w:p>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4、公益、林天然林分布情况</w:t>
      </w:r>
    </w:p>
    <w:p>
      <w:pPr>
        <w:pageBreakBefore w:val="0"/>
        <w:kinsoku/>
        <w:wordWrap/>
        <w:overflowPunct/>
        <w:topLinePunct w:val="0"/>
        <w:autoSpaceDE/>
        <w:autoSpaceDN/>
        <w:bidi w:val="0"/>
        <w:adjustRightInd w:val="0"/>
        <w:snapToGrid w:val="0"/>
        <w:spacing w:line="360" w:lineRule="auto"/>
        <w:ind w:right="100" w:firstLine="480" w:firstLineChars="20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根据项目评价范围与宣汉县林地一张图叠加分析（附图11、附图12），项目评价范围内不涉及天然林，但评价范围内涉及公益林</w:t>
      </w:r>
      <w:r>
        <w:rPr>
          <w:rFonts w:hint="eastAsia" w:cs="Times New Roman"/>
          <w:b w:val="0"/>
          <w:bCs/>
          <w:color w:val="000000" w:themeColor="text1"/>
          <w:sz w:val="24"/>
          <w:szCs w:val="24"/>
          <w:highlight w:val="none"/>
          <w:lang w:val="en-US" w:eastAsia="zh-CN"/>
          <w14:textFill>
            <w14:solidFill>
              <w14:schemeClr w14:val="tx1"/>
            </w14:solidFill>
          </w14:textFill>
        </w:rPr>
        <w:t>（位于项目西侧约102m处）</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。评价范围内公益林面积5.5041公顷，占评价范围面积的14.47%，</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全部为国家二级公益林，树种为马尾松，郁闭度为0.8，林种为水土保持林，</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其生态系统服务功能主要也是水源涵养、土壤保持、生物多样性保护功能等，与周边植被从现状看无明显差异</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p>
    <w:bookmarkEnd w:id="238"/>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p>
    <w:p>
      <w:pPr>
        <w:rPr>
          <w:rFonts w:hint="default" w:ascii="Times New Roman" w:hAnsi="Times New Roman" w:cs="Times New Roman"/>
          <w:b/>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br w:type="page"/>
      </w:r>
    </w:p>
    <w:p>
      <w:pPr>
        <w:pStyle w:val="2"/>
        <w:rPr>
          <w:rFonts w:hint="default" w:ascii="Times New Roman" w:hAnsi="Times New Roman" w:cs="Times New Roman"/>
          <w:b/>
          <w:color w:val="000000" w:themeColor="text1"/>
          <w:highlight w:val="none"/>
          <w:lang w:eastAsia="zh-CN"/>
          <w14:textFill>
            <w14:solidFill>
              <w14:schemeClr w14:val="tx1"/>
            </w14:solidFill>
          </w14:textFill>
        </w:rPr>
      </w:pPr>
      <w:bookmarkStart w:id="252" w:name="_Toc797"/>
      <w:r>
        <w:rPr>
          <w:rFonts w:hint="default" w:ascii="Times New Roman" w:hAnsi="Times New Roman" w:cs="Times New Roman"/>
          <w:color w:val="000000" w:themeColor="text1"/>
          <w:highlight w:val="none"/>
          <w:lang w:eastAsia="zh-CN"/>
          <w14:textFill>
            <w14:solidFill>
              <w14:schemeClr w14:val="tx1"/>
            </w14:solidFill>
          </w14:textFill>
        </w:rPr>
        <w:t>环境影响预测与评价</w:t>
      </w:r>
      <w:bookmarkEnd w:id="252"/>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253" w:name="5.1施工期环境影响分析"/>
      <w:bookmarkEnd w:id="253"/>
      <w:bookmarkStart w:id="254" w:name="_bookmark28"/>
      <w:bookmarkEnd w:id="254"/>
      <w:bookmarkStart w:id="255" w:name="_Toc31253"/>
      <w:r>
        <w:rPr>
          <w:rFonts w:hint="default" w:ascii="Times New Roman" w:hAnsi="Times New Roman" w:cs="Times New Roman"/>
          <w:color w:val="000000" w:themeColor="text1"/>
          <w:highlight w:val="none"/>
          <w:lang w:eastAsia="zh-CN"/>
          <w14:textFill>
            <w14:solidFill>
              <w14:schemeClr w14:val="tx1"/>
            </w14:solidFill>
          </w14:textFill>
        </w:rPr>
        <w:t>施工期环境影响分析</w:t>
      </w:r>
      <w:bookmarkEnd w:id="255"/>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256" w:name="_Toc120173150"/>
      <w:r>
        <w:rPr>
          <w:rFonts w:hint="default" w:ascii="Times New Roman" w:hAnsi="Times New Roman" w:cs="Times New Roman"/>
          <w:color w:val="000000" w:themeColor="text1"/>
          <w:highlight w:val="none"/>
          <w:lang w:eastAsia="zh-CN"/>
          <w14:textFill>
            <w14:solidFill>
              <w14:schemeClr w14:val="tx1"/>
            </w14:solidFill>
          </w14:textFill>
        </w:rPr>
        <w:t>施工期生态环境影响分析</w:t>
      </w:r>
      <w:bookmarkEnd w:id="256"/>
    </w:p>
    <w:p>
      <w:pPr>
        <w:ind w:firstLine="48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对土地利用类型的影响</w:t>
      </w:r>
    </w:p>
    <w:p>
      <w:pPr>
        <w:adjustRightInd w:val="0"/>
        <w:snapToGrid/>
        <w:spacing w:line="360" w:lineRule="auto"/>
        <w:ind w:firstLine="420" w:firstLineChars="200"/>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项目施工</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期利旧P106集气站、方井1口、放喷池2座、清水池1座等，新增占地内容为生活营地，面积</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0.14</w:t>
      </w:r>
      <w:r>
        <w:rPr>
          <w:rFonts w:hint="default" w:ascii="Times New Roman" w:hAnsi="Times New Roman" w:eastAsia="宋体" w:cs="Times New Roman"/>
          <w:b w:val="0"/>
          <w:bCs/>
          <w:color w:val="000000" w:themeColor="text1"/>
          <w:kern w:val="0"/>
          <w:sz w:val="24"/>
          <w:szCs w:val="24"/>
          <w:highlight w:val="none"/>
          <w:lang w:val="en-US" w:eastAsia="zh-CN"/>
          <w14:textFill>
            <w14:solidFill>
              <w14:schemeClr w14:val="tx1"/>
            </w14:solidFill>
          </w14:textFill>
        </w:rPr>
        <w:t>h</w:t>
      </w:r>
      <w:r>
        <w:rPr>
          <w:rFonts w:hint="default" w:ascii="Times New Roman" w:hAnsi="Times New Roman" w:eastAsia="宋体" w:cs="Times New Roman"/>
          <w:b w:val="0"/>
          <w:bCs/>
          <w:color w:val="000000" w:themeColor="text1"/>
          <w:kern w:val="0"/>
          <w:sz w:val="24"/>
          <w:szCs w:val="24"/>
          <w:highlight w:val="none"/>
          <w:lang w:eastAsia="zh-CN"/>
          <w14:textFill>
            <w14:solidFill>
              <w14:schemeClr w14:val="tx1"/>
            </w14:solidFill>
          </w14:textFill>
        </w:rPr>
        <w:t>m</w:t>
      </w:r>
      <w:r>
        <w:rPr>
          <w:rFonts w:hint="default" w:ascii="Times New Roman" w:hAnsi="Times New Roman" w:eastAsia="宋体" w:cs="Times New Roman"/>
          <w:b w:val="0"/>
          <w:bCs/>
          <w:color w:val="000000" w:themeColor="text1"/>
          <w:kern w:val="0"/>
          <w:sz w:val="24"/>
          <w:szCs w:val="24"/>
          <w:highlight w:val="none"/>
          <w:vertAlign w:val="superscript"/>
          <w:lang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，具体占地情况</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见下表：</w:t>
      </w:r>
    </w:p>
    <w:p>
      <w:pPr>
        <w:autoSpaceDE w:val="0"/>
        <w:autoSpaceDN w:val="0"/>
        <w:adjustRightInd w:val="0"/>
        <w:snapToGrid/>
        <w:spacing w:before="120" w:beforeLines="50" w:line="240" w:lineRule="auto"/>
        <w:ind w:firstLine="0" w:firstLineChars="0"/>
        <w:jc w:val="cente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表</w:t>
      </w: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 xml:space="preserve">5.1-1 </w:t>
      </w: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工程占地类型一览表   单位：</w:t>
      </w: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h</w:t>
      </w: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m</w:t>
      </w:r>
      <w:r>
        <w:rPr>
          <w:rFonts w:hint="default" w:ascii="Times New Roman" w:hAnsi="Times New Roman" w:eastAsia="宋体" w:cs="Times New Roman"/>
          <w:b w:val="0"/>
          <w:bCs/>
          <w:color w:val="000000" w:themeColor="text1"/>
          <w:kern w:val="0"/>
          <w:sz w:val="21"/>
          <w:szCs w:val="24"/>
          <w:highlight w:val="none"/>
          <w:vertAlign w:val="superscript"/>
          <w:lang w:eastAsia="zh-CN"/>
          <w14:textFill>
            <w14:solidFill>
              <w14:schemeClr w14:val="tx1"/>
            </w14:solidFill>
          </w14:textFill>
        </w:rPr>
        <w:t>2</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258"/>
        <w:gridCol w:w="1141"/>
        <w:gridCol w:w="1229"/>
        <w:gridCol w:w="1229"/>
        <w:gridCol w:w="1130"/>
        <w:gridCol w:w="1028"/>
        <w:gridCol w:w="1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0" w:hRule="atLeast"/>
          <w:jc w:val="center"/>
        </w:trPr>
        <w:tc>
          <w:tcPr>
            <w:tcW w:w="1258" w:type="dxa"/>
            <w:vMerge w:val="restar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项目组成</w:t>
            </w:r>
          </w:p>
        </w:tc>
        <w:tc>
          <w:tcPr>
            <w:tcW w:w="4729" w:type="dxa"/>
            <w:gridSpan w:val="4"/>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占地类型</w:t>
            </w:r>
          </w:p>
        </w:tc>
        <w:tc>
          <w:tcPr>
            <w:tcW w:w="1028" w:type="dxa"/>
            <w:vMerge w:val="restar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合计</w:t>
            </w:r>
          </w:p>
        </w:tc>
        <w:tc>
          <w:tcPr>
            <w:tcW w:w="1205" w:type="dxa"/>
            <w:vMerge w:val="restar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占地性质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0" w:hRule="atLeast"/>
          <w:jc w:val="center"/>
        </w:trPr>
        <w:tc>
          <w:tcPr>
            <w:tcW w:w="1258" w:type="dxa"/>
            <w:vMerge w:val="continue"/>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p>
        </w:tc>
        <w:tc>
          <w:tcPr>
            <w:tcW w:w="1141"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林地</w:t>
            </w:r>
          </w:p>
        </w:tc>
        <w:tc>
          <w:tcPr>
            <w:tcW w:w="1229"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草</w:t>
            </w: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地</w:t>
            </w:r>
          </w:p>
        </w:tc>
        <w:tc>
          <w:tcPr>
            <w:tcW w:w="1229"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耕地</w:t>
            </w:r>
          </w:p>
        </w:tc>
        <w:tc>
          <w:tcPr>
            <w:tcW w:w="113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其他</w:t>
            </w: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用地</w:t>
            </w:r>
          </w:p>
        </w:tc>
        <w:tc>
          <w:tcPr>
            <w:tcW w:w="1028" w:type="dxa"/>
            <w:vMerge w:val="continue"/>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p>
        </w:tc>
        <w:tc>
          <w:tcPr>
            <w:tcW w:w="1205" w:type="dxa"/>
            <w:vMerge w:val="continue"/>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0" w:hRule="atLeast"/>
          <w:jc w:val="center"/>
        </w:trPr>
        <w:tc>
          <w:tcPr>
            <w:tcW w:w="125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生活营区</w:t>
            </w:r>
          </w:p>
        </w:tc>
        <w:tc>
          <w:tcPr>
            <w:tcW w:w="1141"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0</w:t>
            </w:r>
          </w:p>
        </w:tc>
        <w:tc>
          <w:tcPr>
            <w:tcW w:w="1229"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0</w:t>
            </w:r>
          </w:p>
        </w:tc>
        <w:tc>
          <w:tcPr>
            <w:tcW w:w="1229"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0.14</w:t>
            </w:r>
          </w:p>
        </w:tc>
        <w:tc>
          <w:tcPr>
            <w:tcW w:w="113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w:t>
            </w:r>
          </w:p>
        </w:tc>
        <w:tc>
          <w:tcPr>
            <w:tcW w:w="102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0.14</w:t>
            </w:r>
          </w:p>
        </w:tc>
        <w:tc>
          <w:tcPr>
            <w:tcW w:w="1205"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临时征地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0" w:hRule="atLeast"/>
          <w:jc w:val="center"/>
        </w:trPr>
        <w:tc>
          <w:tcPr>
            <w:tcW w:w="125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合计</w:t>
            </w:r>
          </w:p>
        </w:tc>
        <w:tc>
          <w:tcPr>
            <w:tcW w:w="1141"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0</w:t>
            </w:r>
          </w:p>
        </w:tc>
        <w:tc>
          <w:tcPr>
            <w:tcW w:w="1229"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0</w:t>
            </w:r>
          </w:p>
        </w:tc>
        <w:tc>
          <w:tcPr>
            <w:tcW w:w="1229"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0.14</w:t>
            </w:r>
          </w:p>
        </w:tc>
        <w:tc>
          <w:tcPr>
            <w:tcW w:w="1130"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w:t>
            </w:r>
          </w:p>
        </w:tc>
        <w:tc>
          <w:tcPr>
            <w:tcW w:w="102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t>0.14</w:t>
            </w:r>
          </w:p>
        </w:tc>
        <w:tc>
          <w:tcPr>
            <w:tcW w:w="1205"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kern w:val="0"/>
                <w:sz w:val="21"/>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4"/>
                <w:highlight w:val="none"/>
                <w:lang w:eastAsia="zh-CN"/>
                <w14:textFill>
                  <w14:solidFill>
                    <w14:schemeClr w14:val="tx1"/>
                  </w14:solidFill>
                </w14:textFill>
              </w:rPr>
              <w:t>临时征地</w:t>
            </w:r>
          </w:p>
        </w:tc>
      </w:tr>
    </w:tbl>
    <w:p>
      <w:pPr>
        <w:keepNext w:val="0"/>
        <w:keepLines w:val="0"/>
        <w:pageBreakBefore w:val="0"/>
        <w:widowControl w:val="0"/>
        <w:kinsoku/>
        <w:wordWrap/>
        <w:overflowPunct/>
        <w:topLinePunct w:val="0"/>
        <w:autoSpaceDE/>
        <w:autoSpaceDN/>
        <w:bidi w:val="0"/>
        <w:adjustRightInd w:val="0"/>
        <w:snapToGrid w:val="0"/>
        <w:spacing w:before="0"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0"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由于施工</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新增</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占地将会改变</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占地区</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土地利用方式，减少地表植被。占地</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植被类型主要为耕地</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面积</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0.14hm</w:t>
      </w:r>
      <w:r>
        <w:rPr>
          <w:rFonts w:hint="default" w:ascii="Times New Roman" w:hAnsi="Times New Roman" w:eastAsia="宋体" w:cs="Times New Roman"/>
          <w:b w:val="0"/>
          <w:bCs/>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（全部为临时占地）</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。这些</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新增</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占地将使占用的地表植</w:t>
      </w:r>
      <w:bookmarkStart w:id="562" w:name="_GoBack"/>
      <w:bookmarkEnd w:id="562"/>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被被剥离，在一定时间内改变土地利用的类型，但施工时间较短，施工结束后临时占地区将采取土地</w:t>
      </w:r>
      <w:r>
        <w:rPr>
          <w:rFonts w:hint="default" w:ascii="Times New Roman" w:hAnsi="Times New Roman" w:cs="Times New Roman"/>
          <w:b w:val="0"/>
          <w:bCs/>
          <w:color w:val="000000" w:themeColor="text1"/>
          <w:sz w:val="24"/>
          <w:szCs w:val="24"/>
          <w:highlight w:val="none"/>
          <w:lang w:eastAsia="zh-CN"/>
          <w14:textFill>
            <w14:solidFill>
              <w14:schemeClr w14:val="tx1"/>
            </w14:solidFill>
          </w14:textFill>
        </w:rPr>
        <w:t>平整</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土地复垦</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措施，不会长期改变土地地类</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综合来看，整体上不会改变评价区内现有的土地利用类型的基本格局。</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由于本项目在</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生活营地</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建设期间</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会</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产生一</w:t>
      </w:r>
      <w:r>
        <w:rPr>
          <w:rFonts w:hint="default" w:ascii="Times New Roman" w:hAnsi="Times New Roman" w:eastAsia="宋体" w:cs="Times New Roman"/>
          <w:b w:val="0"/>
          <w:bCs/>
          <w:color w:val="000000" w:themeColor="text1"/>
          <w:sz w:val="24"/>
          <w:highlight w:val="none"/>
          <w14:textFill>
            <w14:solidFill>
              <w14:schemeClr w14:val="tx1"/>
            </w14:solidFill>
          </w14:textFill>
        </w:rPr>
        <w:t>定的裸露地面，施工区较易产生水土流失等特点，在项目建设中应当尽可能减少对土地的占用，严格在征地红线范围内施工，最大限度节约土地资源</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p>
    <w:p>
      <w:pPr>
        <w:ind w:firstLine="480"/>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highlight w:val="none"/>
          <w14:textFill>
            <w14:solidFill>
              <w14:schemeClr w14:val="tx1"/>
            </w14:solidFill>
          </w14:textFill>
        </w:rPr>
        <w:t>对植被及生物量的影响</w:t>
      </w:r>
    </w:p>
    <w:p>
      <w:pPr>
        <w:ind w:firstLine="48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1）项目占地</w:t>
      </w:r>
    </w:p>
    <w:p>
      <w:pPr>
        <w:ind w:firstLine="48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新增</w:t>
      </w:r>
      <w:r>
        <w:rPr>
          <w:rFonts w:hint="default" w:ascii="Times New Roman" w:hAnsi="Times New Roman" w:eastAsia="宋体" w:cs="Times New Roman"/>
          <w:b w:val="0"/>
          <w:bCs/>
          <w:color w:val="000000" w:themeColor="text1"/>
          <w:sz w:val="24"/>
          <w:highlight w:val="none"/>
          <w14:textFill>
            <w14:solidFill>
              <w14:schemeClr w14:val="tx1"/>
            </w14:solidFill>
          </w14:textFill>
        </w:rPr>
        <w:t>占地主要</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为生活营地</w:t>
      </w:r>
      <w:r>
        <w:rPr>
          <w:rFonts w:hint="default" w:ascii="Times New Roman" w:hAnsi="Times New Roman" w:eastAsia="宋体" w:cs="Times New Roman"/>
          <w:b w:val="0"/>
          <w:bCs/>
          <w:color w:val="000000" w:themeColor="text1"/>
          <w:sz w:val="24"/>
          <w:highlight w:val="none"/>
          <w14:textFill>
            <w14:solidFill>
              <w14:schemeClr w14:val="tx1"/>
            </w14:solidFill>
          </w14:textFill>
        </w:rPr>
        <w:t>，占地总面积</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0.14hm</w:t>
      </w:r>
      <w:r>
        <w:rPr>
          <w:rFonts w:hint="default" w:ascii="Times New Roman" w:hAnsi="Times New Roman" w:eastAsia="宋体" w:cs="Times New Roman"/>
          <w:b w:val="0"/>
          <w:bCs/>
          <w:color w:val="000000" w:themeColor="text1"/>
          <w:sz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highlight w:val="none"/>
          <w14:textFill>
            <w14:solidFill>
              <w14:schemeClr w14:val="tx1"/>
            </w14:solidFill>
          </w14:textFill>
        </w:rPr>
        <w:t>，占地范围内不涉及国家保护野生植物和四川省重点保护野生植物。</w:t>
      </w:r>
    </w:p>
    <w:p>
      <w:pPr>
        <w:ind w:firstLine="48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项目占地施工损毁的植被类型属于评价范围内普遍分布的类型，主要</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是耕地植被</w:t>
      </w:r>
      <w:r>
        <w:rPr>
          <w:rFonts w:hint="default" w:ascii="Times New Roman" w:hAnsi="Times New Roman" w:eastAsia="宋体" w:cs="Times New Roman"/>
          <w:b w:val="0"/>
          <w:bCs/>
          <w:color w:val="000000" w:themeColor="text1"/>
          <w:sz w:val="24"/>
          <w:highlight w:val="none"/>
          <w14:textFill>
            <w14:solidFill>
              <w14:schemeClr w14:val="tx1"/>
            </w14:solidFill>
          </w14:textFill>
        </w:rPr>
        <w:t>，其物区系组成成分不会发生变化，损失的只是局部群落及部分生产力和生物量，项目占地损失总生产力</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0.6</w:t>
      </w:r>
      <w:r>
        <w:rPr>
          <w:rFonts w:hint="default" w:ascii="Times New Roman" w:hAnsi="Times New Roman" w:eastAsia="宋体" w:cs="Times New Roman"/>
          <w:b w:val="0"/>
          <w:bCs/>
          <w:color w:val="000000" w:themeColor="text1"/>
          <w:sz w:val="24"/>
          <w:highlight w:val="none"/>
          <w14:textFill>
            <w14:solidFill>
              <w14:schemeClr w14:val="tx1"/>
            </w14:solidFill>
          </w14:textFill>
        </w:rPr>
        <w:t>tc/a，损失总生物量为</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1.44</w:t>
      </w:r>
      <w:r>
        <w:rPr>
          <w:rFonts w:hint="default" w:ascii="Times New Roman" w:hAnsi="Times New Roman" w:eastAsia="宋体" w:cs="Times New Roman"/>
          <w:b w:val="0"/>
          <w:bCs/>
          <w:color w:val="000000" w:themeColor="text1"/>
          <w:sz w:val="24"/>
          <w:highlight w:val="none"/>
          <w14:textFill>
            <w14:solidFill>
              <w14:schemeClr w14:val="tx1"/>
            </w14:solidFill>
          </w14:textFill>
        </w:rPr>
        <w:t>t，占评价区总生产力和总生物量的比例为</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0.37</w:t>
      </w:r>
      <w:r>
        <w:rPr>
          <w:rFonts w:hint="default" w:ascii="Times New Roman" w:hAnsi="Times New Roman" w:eastAsia="宋体" w:cs="Times New Roman"/>
          <w:b w:val="0"/>
          <w:bCs/>
          <w:color w:val="000000" w:themeColor="text1"/>
          <w:sz w:val="24"/>
          <w:highlight w:val="none"/>
          <w14:textFill>
            <w14:solidFill>
              <w14:schemeClr w14:val="tx1"/>
            </w14:solidFill>
          </w14:textFill>
        </w:rPr>
        <w:t>%和</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0.06</w:t>
      </w:r>
      <w:r>
        <w:rPr>
          <w:rFonts w:hint="default" w:ascii="Times New Roman" w:hAnsi="Times New Roman" w:eastAsia="宋体" w:cs="Times New Roman"/>
          <w:b w:val="0"/>
          <w:bCs/>
          <w:color w:val="000000" w:themeColor="text1"/>
          <w:sz w:val="24"/>
          <w:highlight w:val="none"/>
          <w14:textFill>
            <w14:solidFill>
              <w14:schemeClr w14:val="tx1"/>
            </w14:solidFill>
          </w14:textFill>
        </w:rPr>
        <w:t>%，占比极低，主要因为项目占地面积小，且占地</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主要</w:t>
      </w:r>
      <w:r>
        <w:rPr>
          <w:rFonts w:hint="default" w:ascii="Times New Roman" w:hAnsi="Times New Roman" w:eastAsia="宋体" w:cs="Times New Roman"/>
          <w:b w:val="0"/>
          <w:bCs/>
          <w:color w:val="000000" w:themeColor="text1"/>
          <w:sz w:val="24"/>
          <w:highlight w:val="none"/>
          <w14:textFill>
            <w14:solidFill>
              <w14:schemeClr w14:val="tx1"/>
            </w14:solidFill>
          </w14:textFill>
        </w:rPr>
        <w:t>为生态效能较低的</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耕地</w:t>
      </w:r>
      <w:r>
        <w:rPr>
          <w:rFonts w:hint="default" w:ascii="Times New Roman" w:hAnsi="Times New Roman" w:eastAsia="宋体" w:cs="Times New Roman"/>
          <w:b w:val="0"/>
          <w:bCs/>
          <w:color w:val="000000" w:themeColor="text1"/>
          <w:sz w:val="24"/>
          <w:highlight w:val="none"/>
          <w14:textFill>
            <w14:solidFill>
              <w14:schemeClr w14:val="tx1"/>
            </w14:solidFill>
          </w14:textFill>
        </w:rPr>
        <w:t>。损失植被类型及生物量见表5.1-</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highlight w:val="none"/>
          <w14:textFill>
            <w14:solidFill>
              <w14:schemeClr w14:val="tx1"/>
            </w14:solidFill>
          </w14:textFill>
        </w:rPr>
        <w:t>。</w:t>
      </w:r>
    </w:p>
    <w:p>
      <w:pPr>
        <w:widowControl/>
        <w:tabs>
          <w:tab w:val="left" w:pos="863"/>
        </w:tabs>
        <w:spacing w:before="0"/>
        <w:ind w:left="0"/>
        <w:jc w:val="center"/>
        <w:rPr>
          <w:rFonts w:hint="default" w:ascii="Times New Roman" w:hAnsi="Times New Roman" w:eastAsia="宋体" w:cs="Times New Roman"/>
          <w:b w:val="0"/>
          <w:bCs/>
          <w:color w:val="000000" w:themeColor="text1"/>
          <w:kern w:val="0"/>
          <w:sz w:val="21"/>
          <w:szCs w:val="21"/>
          <w:highlight w:val="none"/>
          <w:lang w:val="en-US" w:eastAsia="zh-CN" w:bidi="ar-SA"/>
          <w14:textFill>
            <w14:solidFill>
              <w14:schemeClr w14:val="tx1"/>
            </w14:solidFill>
          </w14:textFill>
        </w:rPr>
      </w:pPr>
    </w:p>
    <w:p>
      <w:pPr>
        <w:widowControl/>
        <w:tabs>
          <w:tab w:val="left" w:pos="863"/>
        </w:tabs>
        <w:spacing w:before="0"/>
        <w:ind w:left="0"/>
        <w:jc w:val="center"/>
        <w:rPr>
          <w:rFonts w:hint="default" w:ascii="Times New Roman" w:hAnsi="Times New Roman" w:eastAsia="宋体" w:cs="Times New Roman"/>
          <w:b w:val="0"/>
          <w:bCs/>
          <w:color w:val="000000" w:themeColor="text1"/>
          <w:kern w:val="0"/>
          <w:sz w:val="21"/>
          <w:szCs w:val="24"/>
          <w:highlight w:val="none"/>
          <w:lang w:val="en-US" w:eastAsia="zh-CN" w:bidi="ar-SA"/>
          <w14:textFill>
            <w14:solidFill>
              <w14:schemeClr w14:val="tx1"/>
            </w14:solidFill>
          </w14:textFill>
        </w:rPr>
      </w:pPr>
    </w:p>
    <w:p>
      <w:pPr>
        <w:widowControl/>
        <w:tabs>
          <w:tab w:val="left" w:pos="863"/>
        </w:tabs>
        <w:spacing w:before="0"/>
        <w:ind w:left="0"/>
        <w:jc w:val="center"/>
        <w:rPr>
          <w:rFonts w:hint="default" w:ascii="Times New Roman" w:hAnsi="Times New Roman" w:eastAsia="宋体" w:cs="Times New Roman"/>
          <w:b w:val="0"/>
          <w:bCs/>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黑体" w:cs="Times New Roman"/>
          <w:b w:val="0"/>
          <w:color w:val="000000" w:themeColor="text1"/>
          <w:kern w:val="2"/>
          <w:sz w:val="21"/>
          <w:szCs w:val="21"/>
          <w:highlight w:val="none"/>
          <w:lang w:val="en-US" w:eastAsia="zh-CN" w:bidi="ar-SA"/>
          <w14:textFill>
            <w14:solidFill>
              <w14:schemeClr w14:val="tx1"/>
            </w14:solidFill>
          </w14:textFill>
        </w:rPr>
        <w:t>表5.1-2  工程占地影响植被类型及生物量统计表</w:t>
      </w:r>
    </w:p>
    <w:tbl>
      <w:tblPr>
        <w:tblStyle w:val="52"/>
        <w:tblW w:w="7944" w:type="dxa"/>
        <w:jc w:val="center"/>
        <w:tblLayout w:type="fixed"/>
        <w:tblCellMar>
          <w:top w:w="0" w:type="dxa"/>
          <w:left w:w="108" w:type="dxa"/>
          <w:bottom w:w="0" w:type="dxa"/>
          <w:right w:w="108" w:type="dxa"/>
        </w:tblCellMar>
      </w:tblPr>
      <w:tblGrid>
        <w:gridCol w:w="434"/>
        <w:gridCol w:w="1636"/>
        <w:gridCol w:w="1009"/>
        <w:gridCol w:w="1528"/>
        <w:gridCol w:w="1787"/>
        <w:gridCol w:w="1550"/>
      </w:tblGrid>
      <w:tr>
        <w:tblPrEx>
          <w:tblCellMar>
            <w:top w:w="0" w:type="dxa"/>
            <w:left w:w="108" w:type="dxa"/>
            <w:bottom w:w="0" w:type="dxa"/>
            <w:right w:w="108" w:type="dxa"/>
          </w:tblCellMar>
        </w:tblPrEx>
        <w:trPr>
          <w:trHeight w:val="727" w:hRule="exact"/>
          <w:jc w:val="center"/>
        </w:trPr>
        <w:tc>
          <w:tcPr>
            <w:tcW w:w="43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序号</w:t>
            </w:r>
          </w:p>
        </w:tc>
        <w:tc>
          <w:tcPr>
            <w:tcW w:w="163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名称</w:t>
            </w:r>
          </w:p>
        </w:tc>
        <w:tc>
          <w:tcPr>
            <w:tcW w:w="100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占地面积</w:t>
            </w:r>
            <w:r>
              <w:rPr>
                <w:rFonts w:hint="default" w:ascii="Times New Roman" w:hAnsi="Times New Roman" w:cs="Times New Roman"/>
                <w:b w:val="0"/>
                <w:bCs/>
                <w:color w:val="000000" w:themeColor="text1"/>
                <w:kern w:val="0"/>
                <w:sz w:val="21"/>
                <w:szCs w:val="21"/>
                <w:highlight w:val="none"/>
                <w:lang w:eastAsia="zh-CN" w:bidi="ar"/>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hm</w:t>
            </w:r>
            <w:r>
              <w:rPr>
                <w:rFonts w:hint="default" w:ascii="Times New Roman" w:hAnsi="Times New Roman" w:eastAsia="宋体" w:cs="Times New Roman"/>
                <w:b w:val="0"/>
                <w:bCs/>
                <w:color w:val="000000" w:themeColor="text1"/>
                <w:kern w:val="0"/>
                <w:sz w:val="21"/>
                <w:szCs w:val="21"/>
                <w:highlight w:val="none"/>
                <w:vertAlign w:val="superscript"/>
                <w:lang w:bidi="ar"/>
                <w14:textFill>
                  <w14:solidFill>
                    <w14:schemeClr w14:val="tx1"/>
                  </w14:solidFill>
                </w14:textFill>
              </w:rPr>
              <w:t>2</w:t>
            </w:r>
            <w:r>
              <w:rPr>
                <w:rFonts w:hint="eastAsia" w:cs="Times New Roman"/>
                <w:b w:val="0"/>
                <w:bCs/>
                <w:color w:val="000000" w:themeColor="text1"/>
                <w:kern w:val="0"/>
                <w:sz w:val="21"/>
                <w:szCs w:val="21"/>
                <w:highlight w:val="none"/>
                <w:vertAlign w:val="superscript"/>
                <w:lang w:eastAsia="zh-CN" w:bidi="ar"/>
                <w14:textFill>
                  <w14:solidFill>
                    <w14:schemeClr w14:val="tx1"/>
                  </w14:solidFill>
                </w14:textFill>
              </w:rPr>
              <w:t>）</w:t>
            </w:r>
          </w:p>
        </w:tc>
        <w:tc>
          <w:tcPr>
            <w:tcW w:w="1528"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损失生产力（tC/（a））</w:t>
            </w:r>
          </w:p>
        </w:tc>
        <w:tc>
          <w:tcPr>
            <w:tcW w:w="178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损失生物量（t）</w:t>
            </w:r>
          </w:p>
        </w:tc>
        <w:tc>
          <w:tcPr>
            <w:tcW w:w="1550"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受影响的植被类型</w:t>
            </w:r>
          </w:p>
        </w:tc>
      </w:tr>
      <w:tr>
        <w:tblPrEx>
          <w:tblCellMar>
            <w:top w:w="0" w:type="dxa"/>
            <w:left w:w="108" w:type="dxa"/>
            <w:bottom w:w="0" w:type="dxa"/>
            <w:right w:w="108" w:type="dxa"/>
          </w:tblCellMar>
        </w:tblPrEx>
        <w:trPr>
          <w:trHeight w:val="446" w:hRule="exact"/>
          <w:jc w:val="center"/>
        </w:trPr>
        <w:tc>
          <w:tcPr>
            <w:tcW w:w="434" w:type="dxa"/>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1</w:t>
            </w:r>
          </w:p>
        </w:tc>
        <w:tc>
          <w:tcPr>
            <w:tcW w:w="1636"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旱地植被</w:t>
            </w:r>
          </w:p>
        </w:tc>
        <w:tc>
          <w:tcPr>
            <w:tcW w:w="1009"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0.14</w:t>
            </w:r>
          </w:p>
        </w:tc>
        <w:tc>
          <w:tcPr>
            <w:tcW w:w="1528"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0.6</w:t>
            </w:r>
          </w:p>
        </w:tc>
        <w:tc>
          <w:tcPr>
            <w:tcW w:w="1787"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1.44</w:t>
            </w:r>
          </w:p>
        </w:tc>
        <w:tc>
          <w:tcPr>
            <w:tcW w:w="1550"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耕地</w:t>
            </w:r>
          </w:p>
        </w:tc>
      </w:tr>
      <w:tr>
        <w:tblPrEx>
          <w:tblCellMar>
            <w:top w:w="0" w:type="dxa"/>
            <w:left w:w="108" w:type="dxa"/>
            <w:bottom w:w="0" w:type="dxa"/>
            <w:right w:w="108" w:type="dxa"/>
          </w:tblCellMar>
        </w:tblPrEx>
        <w:trPr>
          <w:trHeight w:val="397" w:hRule="exact"/>
          <w:jc w:val="center"/>
        </w:trPr>
        <w:tc>
          <w:tcPr>
            <w:tcW w:w="2070" w:type="dxa"/>
            <w:gridSpan w:val="2"/>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合计</w:t>
            </w:r>
          </w:p>
        </w:tc>
        <w:tc>
          <w:tcPr>
            <w:tcW w:w="1009"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0.14</w:t>
            </w:r>
          </w:p>
        </w:tc>
        <w:tc>
          <w:tcPr>
            <w:tcW w:w="1528"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val="en-US"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0.6</w:t>
            </w:r>
          </w:p>
        </w:tc>
        <w:tc>
          <w:tcPr>
            <w:tcW w:w="1787"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val="en-US"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t>1.44</w:t>
            </w:r>
          </w:p>
        </w:tc>
        <w:tc>
          <w:tcPr>
            <w:tcW w:w="1550"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textAlignment w:val="cente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　</w:t>
            </w:r>
          </w:p>
        </w:tc>
      </w:tr>
    </w:tbl>
    <w:p>
      <w:pPr>
        <w:keepNext w:val="0"/>
        <w:keepLines w:val="0"/>
        <w:pageBreakBefore w:val="0"/>
        <w:widowControl w:val="0"/>
        <w:kinsoku/>
        <w:wordWrap/>
        <w:overflowPunct/>
        <w:topLinePunct w:val="0"/>
        <w:autoSpaceDE/>
        <w:autoSpaceDN/>
        <w:bidi w:val="0"/>
        <w:adjustRightInd w:val="0"/>
        <w:snapToGrid w:val="0"/>
        <w:spacing w:before="0"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0"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2）人员进驻及施工活动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在项目建设期间，大量人员和车辆、机械的进场和建设活动将给施工区的生态环境造成一定的影响。施工人员的活动等都会对生活在本区域内的植被产生影响，主要表现在施工人员活动产生的废水、废渣、废气等废弃物对生态环境的影响等方面。施工区废水处理设施等施工活动对生态环境的影响最大，但是由于施工是临时的，在施工结束后随着临时用地区土地整平、植被更新恢复措施的实施，其影响会得到逐步恢复的。</w:t>
      </w:r>
    </w:p>
    <w:p>
      <w:pPr>
        <w:adjustRightInd w:val="0"/>
        <w:snapToGrid w:val="0"/>
        <w:spacing w:line="360" w:lineRule="auto"/>
        <w:ind w:firstLine="480" w:firstLineChars="200"/>
        <w:jc w:val="left"/>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由上可见，项目施工占地</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0.14hm</w:t>
      </w:r>
      <w:r>
        <w:rPr>
          <w:rFonts w:hint="default" w:ascii="Times New Roman" w:hAnsi="Times New Roman" w:eastAsia="宋体" w:cs="Times New Roman"/>
          <w:b w:val="0"/>
          <w:bCs/>
          <w:color w:val="000000" w:themeColor="text1"/>
          <w:sz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highlight w:val="none"/>
          <w14:textFill>
            <w14:solidFill>
              <w14:schemeClr w14:val="tx1"/>
            </w14:solidFill>
          </w14:textFill>
        </w:rPr>
        <w:t>，使得在栖息在这片土上的生物资源受到影响，部分</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耕地</w:t>
      </w:r>
      <w:r>
        <w:rPr>
          <w:rFonts w:hint="default" w:ascii="Times New Roman" w:hAnsi="Times New Roman" w:eastAsia="宋体" w:cs="Times New Roman"/>
          <w:b w:val="0"/>
          <w:bCs/>
          <w:color w:val="000000" w:themeColor="text1"/>
          <w:sz w:val="24"/>
          <w:highlight w:val="none"/>
          <w14:textFill>
            <w14:solidFill>
              <w14:schemeClr w14:val="tx1"/>
            </w14:solidFill>
          </w14:textFill>
        </w:rPr>
        <w:t>植被因生境发生改变而死亡，以此为栖息地的其他动物、微生物则失去原栖息场所，导致动、植物资源量减少，生物量受到一定影响。但项目占地相对整个</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宣汉县</w:t>
      </w:r>
      <w:r>
        <w:rPr>
          <w:rFonts w:hint="default" w:ascii="Times New Roman" w:hAnsi="Times New Roman" w:eastAsia="宋体" w:cs="Times New Roman"/>
          <w:b w:val="0"/>
          <w:bCs/>
          <w:color w:val="000000" w:themeColor="text1"/>
          <w:sz w:val="24"/>
          <w:highlight w:val="none"/>
          <w14:textFill>
            <w14:solidFill>
              <w14:schemeClr w14:val="tx1"/>
            </w14:solidFill>
          </w14:textFill>
        </w:rPr>
        <w:t>比例则极小，不会对该地区造成较大影响，同时，退役后，随着</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临时</w:t>
      </w:r>
      <w:r>
        <w:rPr>
          <w:rFonts w:hint="default" w:ascii="Times New Roman" w:hAnsi="Times New Roman" w:eastAsia="宋体" w:cs="Times New Roman"/>
          <w:b w:val="0"/>
          <w:bCs/>
          <w:color w:val="000000" w:themeColor="text1"/>
          <w:sz w:val="24"/>
          <w:highlight w:val="none"/>
          <w14:textFill>
            <w14:solidFill>
              <w14:schemeClr w14:val="tx1"/>
            </w14:solidFill>
          </w14:textFill>
        </w:rPr>
        <w:t>设施拆除及</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土地复垦措施</w:t>
      </w:r>
      <w:r>
        <w:rPr>
          <w:rFonts w:hint="default" w:ascii="Times New Roman" w:hAnsi="Times New Roman" w:eastAsia="宋体" w:cs="Times New Roman"/>
          <w:b w:val="0"/>
          <w:bCs/>
          <w:color w:val="000000" w:themeColor="text1"/>
          <w:sz w:val="24"/>
          <w:highlight w:val="none"/>
          <w14:textFill>
            <w14:solidFill>
              <w14:schemeClr w14:val="tx1"/>
            </w14:solidFill>
          </w14:textFill>
        </w:rPr>
        <w:t>的实施，占地影响也将逐渐消失。</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尽管如此，本报告仍然建议，在项目实施过程中通过优化施工布置，最大程度减少项目建设造成的植被资源损失，尽量减少对评价区</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耕地</w:t>
      </w:r>
      <w:r>
        <w:rPr>
          <w:rFonts w:hint="default" w:ascii="Times New Roman" w:hAnsi="Times New Roman" w:eastAsia="宋体" w:cs="Times New Roman"/>
          <w:b w:val="0"/>
          <w:bCs/>
          <w:color w:val="000000" w:themeColor="text1"/>
          <w:sz w:val="24"/>
          <w:highlight w:val="none"/>
          <w14:textFill>
            <w14:solidFill>
              <w14:schemeClr w14:val="tx1"/>
            </w14:solidFill>
          </w14:textFill>
        </w:rPr>
        <w:t>生态系统的影响。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对景观生态的影响分析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1）对自然生态体系稳定性的影响</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预测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①恢复稳定性影响分析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对景观生态体系稳定状况的影响可以从恢复稳定性和阻抗稳定性两方面进行分析。恢复稳定性的度量通常采取对植被生物量进行度量的方法进行度量。项目建设会使评价区内自然生态体系的植被生物总量减少，评价范围域内景观生态体系有一定影响，退役后，随着设施拆除、</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土地复垦措施</w:t>
      </w:r>
      <w:r>
        <w:rPr>
          <w:rFonts w:hint="default" w:ascii="Times New Roman" w:hAnsi="Times New Roman" w:eastAsia="宋体" w:cs="Times New Roman"/>
          <w:b w:val="0"/>
          <w:bCs/>
          <w:color w:val="000000" w:themeColor="text1"/>
          <w:sz w:val="24"/>
          <w:highlight w:val="none"/>
          <w14:textFill>
            <w14:solidFill>
              <w14:schemeClr w14:val="tx1"/>
            </w14:solidFill>
          </w14:textFill>
        </w:rPr>
        <w:t>的实施，将会使项目占地区生态环境质量得到改善，逐步恢复</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原有</w:t>
      </w:r>
      <w:r>
        <w:rPr>
          <w:rFonts w:hint="default" w:ascii="Times New Roman" w:hAnsi="Times New Roman" w:eastAsia="宋体" w:cs="Times New Roman"/>
          <w:b w:val="0"/>
          <w:bCs/>
          <w:color w:val="000000" w:themeColor="text1"/>
          <w:sz w:val="24"/>
          <w:highlight w:val="none"/>
          <w14:textFill>
            <w14:solidFill>
              <w14:schemeClr w14:val="tx1"/>
            </w14:solidFill>
          </w14:textFill>
        </w:rPr>
        <w:t>景观稳定性。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②阻抗稳定性影响分析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占地损失的</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是耕地植被</w:t>
      </w:r>
      <w:r>
        <w:rPr>
          <w:rFonts w:hint="default" w:ascii="Times New Roman" w:hAnsi="Times New Roman" w:eastAsia="宋体" w:cs="Times New Roman"/>
          <w:b w:val="0"/>
          <w:bCs/>
          <w:color w:val="000000" w:themeColor="text1"/>
          <w:sz w:val="24"/>
          <w:highlight w:val="none"/>
          <w14:textFill>
            <w14:solidFill>
              <w14:schemeClr w14:val="tx1"/>
            </w14:solidFill>
          </w14:textFill>
        </w:rPr>
        <w:t>，对物种种类没有影响，仅损失部分生物量。在景观异质性影响方面，本评价范围的</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耕地</w:t>
      </w:r>
      <w:r>
        <w:rPr>
          <w:rFonts w:hint="default" w:ascii="Times New Roman" w:hAnsi="Times New Roman" w:eastAsia="宋体" w:cs="Times New Roman"/>
          <w:b w:val="0"/>
          <w:bCs/>
          <w:color w:val="000000" w:themeColor="text1"/>
          <w:sz w:val="24"/>
          <w:highlight w:val="none"/>
          <w14:textFill>
            <w14:solidFill>
              <w14:schemeClr w14:val="tx1"/>
            </w14:solidFill>
          </w14:textFill>
        </w:rPr>
        <w:t>拼块在项目实施后所发生的变化主要是拼块面积的变化，而在拼块数量（密度）、拼块频率等要素特征上发生变化较小，随着</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临时</w:t>
      </w:r>
      <w:r>
        <w:rPr>
          <w:rFonts w:hint="default" w:ascii="Times New Roman" w:hAnsi="Times New Roman" w:eastAsia="宋体" w:cs="Times New Roman"/>
          <w:b w:val="0"/>
          <w:bCs/>
          <w:color w:val="000000" w:themeColor="text1"/>
          <w:sz w:val="24"/>
          <w:highlight w:val="none"/>
          <w14:textFill>
            <w14:solidFill>
              <w14:schemeClr w14:val="tx1"/>
            </w14:solidFill>
          </w14:textFill>
        </w:rPr>
        <w:t>设施拆除、</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土地复垦措施</w:t>
      </w:r>
      <w:r>
        <w:rPr>
          <w:rFonts w:hint="default" w:ascii="Times New Roman" w:hAnsi="Times New Roman" w:eastAsia="宋体" w:cs="Times New Roman"/>
          <w:b w:val="0"/>
          <w:bCs/>
          <w:color w:val="000000" w:themeColor="text1"/>
          <w:sz w:val="24"/>
          <w:highlight w:val="none"/>
          <w14:textFill>
            <w14:solidFill>
              <w14:schemeClr w14:val="tx1"/>
            </w14:solidFill>
          </w14:textFill>
        </w:rPr>
        <w:t>的实施，评价范围内森林植被还将是当地的模地，模地不会动摇，景观的异质性不会发生质的变化。</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2）景观生态体系质量影响</w:t>
      </w:r>
      <w:r>
        <w:rPr>
          <w:rFonts w:hint="default" w:ascii="Times New Roman" w:hAnsi="Times New Roman" w:eastAsia="宋体" w:cs="Times New Roman"/>
          <w:b w:val="0"/>
          <w:bCs/>
          <w:color w:val="000000" w:themeColor="text1"/>
          <w:kern w:val="0"/>
          <w:sz w:val="24"/>
          <w:szCs w:val="24"/>
          <w:highlight w:val="none"/>
          <w14:textFill>
            <w14:solidFill>
              <w14:schemeClr w14:val="tx1"/>
            </w14:solidFill>
          </w14:textFill>
        </w:rPr>
        <w:t>预测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根据</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前文</w:t>
      </w:r>
      <w:r>
        <w:rPr>
          <w:rFonts w:hint="default" w:ascii="Times New Roman" w:hAnsi="Times New Roman" w:eastAsia="宋体" w:cs="Times New Roman"/>
          <w:b w:val="0"/>
          <w:bCs/>
          <w:color w:val="000000" w:themeColor="text1"/>
          <w:sz w:val="24"/>
          <w:highlight w:val="none"/>
          <w14:textFill>
            <w14:solidFill>
              <w14:schemeClr w14:val="tx1"/>
            </w14:solidFill>
          </w14:textFill>
        </w:rPr>
        <w:t>表4.3-1</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森林</w:t>
      </w:r>
      <w:r>
        <w:rPr>
          <w:rFonts w:hint="default" w:ascii="Times New Roman" w:hAnsi="Times New Roman" w:eastAsia="宋体" w:cs="Times New Roman"/>
          <w:b w:val="0"/>
          <w:bCs/>
          <w:color w:val="000000" w:themeColor="text1"/>
          <w:sz w:val="24"/>
          <w:highlight w:val="none"/>
          <w14:textFill>
            <w14:solidFill>
              <w14:schemeClr w14:val="tx1"/>
            </w14:solidFill>
          </w14:textFill>
        </w:rPr>
        <w:t>拼块的景观优势度</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仍</w:t>
      </w:r>
      <w:r>
        <w:rPr>
          <w:rFonts w:hint="default" w:ascii="Times New Roman" w:hAnsi="Times New Roman" w:eastAsia="宋体" w:cs="Times New Roman"/>
          <w:b w:val="0"/>
          <w:bCs/>
          <w:color w:val="000000" w:themeColor="text1"/>
          <w:sz w:val="24"/>
          <w:highlight w:val="none"/>
          <w14:textFill>
            <w14:solidFill>
              <w14:schemeClr w14:val="tx1"/>
            </w14:solidFill>
          </w14:textFill>
        </w:rPr>
        <w:t>高于其他拼块，属模地。因此在评价范围内占有十分重要的地位。项目实施后，对当地的自然系统</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未</w:t>
      </w:r>
      <w:r>
        <w:rPr>
          <w:rFonts w:hint="default" w:ascii="Times New Roman" w:hAnsi="Times New Roman" w:eastAsia="宋体" w:cs="Times New Roman"/>
          <w:b w:val="0"/>
          <w:bCs/>
          <w:color w:val="000000" w:themeColor="text1"/>
          <w:sz w:val="24"/>
          <w:highlight w:val="none"/>
          <w14:textFill>
            <w14:solidFill>
              <w14:schemeClr w14:val="tx1"/>
            </w14:solidFill>
          </w14:textFill>
        </w:rPr>
        <w:t>造成</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实质</w:t>
      </w:r>
      <w:r>
        <w:rPr>
          <w:rFonts w:hint="default" w:ascii="Times New Roman" w:hAnsi="Times New Roman" w:eastAsia="宋体" w:cs="Times New Roman"/>
          <w:b w:val="0"/>
          <w:bCs/>
          <w:color w:val="000000" w:themeColor="text1"/>
          <w:sz w:val="24"/>
          <w:highlight w:val="none"/>
          <w14:textFill>
            <w14:solidFill>
              <w14:schemeClr w14:val="tx1"/>
            </w14:solidFill>
          </w14:textFill>
        </w:rPr>
        <w:t>损害，如下表。</w:t>
      </w:r>
    </w:p>
    <w:p>
      <w:pPr>
        <w:keepNext w:val="0"/>
        <w:keepLines w:val="0"/>
        <w:pageBreakBefore w:val="0"/>
        <w:widowControl/>
        <w:tabs>
          <w:tab w:val="left" w:pos="863"/>
        </w:tabs>
        <w:kinsoku/>
        <w:wordWrap/>
        <w:overflowPunct/>
        <w:topLinePunct w:val="0"/>
        <w:autoSpaceDE/>
        <w:autoSpaceDN/>
        <w:bidi w:val="0"/>
        <w:adjustRightInd/>
        <w:snapToGrid/>
        <w:spacing w:before="0" w:beforeLines="50"/>
        <w:ind w:left="0"/>
        <w:jc w:val="center"/>
        <w:textAlignment w:val="auto"/>
        <w:rPr>
          <w:rFonts w:hint="default" w:ascii="Times New Roman" w:hAnsi="Times New Roman" w:eastAsia="黑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b w:val="0"/>
          <w:color w:val="000000" w:themeColor="text1"/>
          <w:kern w:val="2"/>
          <w:sz w:val="21"/>
          <w:szCs w:val="21"/>
          <w:highlight w:val="none"/>
          <w:lang w:val="en-US" w:eastAsia="zh-CN" w:bidi="ar-SA"/>
          <w14:textFill>
            <w14:solidFill>
              <w14:schemeClr w14:val="tx1"/>
            </w14:solidFill>
          </w14:textFill>
        </w:rPr>
        <w:t>表5.1-3  评价范围自然体系受损前后的各类拼块的优势度值</w:t>
      </w:r>
    </w:p>
    <w:tbl>
      <w:tblPr>
        <w:tblStyle w:val="52"/>
        <w:tblW w:w="4858" w:type="pct"/>
        <w:jc w:val="center"/>
        <w:tblLayout w:type="autofit"/>
        <w:tblCellMar>
          <w:top w:w="15" w:type="dxa"/>
          <w:left w:w="15" w:type="dxa"/>
          <w:bottom w:w="15" w:type="dxa"/>
          <w:right w:w="15" w:type="dxa"/>
        </w:tblCellMar>
      </w:tblPr>
      <w:tblGrid>
        <w:gridCol w:w="1459"/>
        <w:gridCol w:w="955"/>
        <w:gridCol w:w="1049"/>
        <w:gridCol w:w="1174"/>
        <w:gridCol w:w="1153"/>
        <w:gridCol w:w="1159"/>
        <w:gridCol w:w="1154"/>
      </w:tblGrid>
      <w:tr>
        <w:tblPrEx>
          <w:tblCellMar>
            <w:top w:w="15" w:type="dxa"/>
            <w:left w:w="15" w:type="dxa"/>
            <w:bottom w:w="15" w:type="dxa"/>
            <w:right w:w="15" w:type="dxa"/>
          </w:tblCellMar>
        </w:tblPrEx>
        <w:trPr>
          <w:trHeight w:val="645" w:hRule="exact"/>
          <w:jc w:val="center"/>
        </w:trPr>
        <w:tc>
          <w:tcPr>
            <w:tcW w:w="90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拼块类型</w:t>
            </w:r>
          </w:p>
        </w:tc>
        <w:tc>
          <w:tcPr>
            <w:tcW w:w="589"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密度Rd（%）</w:t>
            </w:r>
          </w:p>
        </w:tc>
        <w:tc>
          <w:tcPr>
            <w:tcW w:w="647"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频率Rf（%）</w:t>
            </w:r>
          </w:p>
        </w:tc>
        <w:tc>
          <w:tcPr>
            <w:tcW w:w="724"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景观比例Lp（%）</w:t>
            </w:r>
          </w:p>
        </w:tc>
        <w:tc>
          <w:tcPr>
            <w:tcW w:w="711" w:type="pct"/>
            <w:tcBorders>
              <w:top w:val="single" w:color="000000" w:sz="4" w:space="0"/>
              <w:left w:val="single" w:color="000000" w:sz="4" w:space="0"/>
              <w:bottom w:val="single" w:color="000000" w:sz="4" w:space="0"/>
              <w:right w:val="single" w:color="000000" w:sz="4" w:space="0"/>
            </w:tcBorders>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优势度Do</w:t>
            </w: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w:t>
            </w:r>
          </w:p>
        </w:tc>
        <w:tc>
          <w:tcPr>
            <w:tcW w:w="715" w:type="pct"/>
            <w:tcBorders>
              <w:top w:val="single" w:color="000000" w:sz="4" w:space="0"/>
              <w:left w:val="single" w:color="000000" w:sz="4" w:space="0"/>
              <w:bottom w:val="single" w:color="000000" w:sz="4" w:space="0"/>
              <w:right w:val="single" w:color="000000" w:sz="4" w:space="0"/>
            </w:tcBorders>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原有优势度Do</w:t>
            </w: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w:t>
            </w:r>
          </w:p>
        </w:tc>
        <w:tc>
          <w:tcPr>
            <w:tcW w:w="711" w:type="pct"/>
            <w:tcBorders>
              <w:top w:val="single" w:color="000000" w:sz="4" w:space="0"/>
              <w:left w:val="single" w:color="000000" w:sz="4" w:space="0"/>
              <w:bottom w:val="single" w:color="000000" w:sz="4" w:space="0"/>
              <w:right w:val="single" w:color="000000" w:sz="4" w:space="0"/>
            </w:tcBorders>
            <w:vAlign w:val="center"/>
          </w:tcPr>
          <w:p>
            <w:pPr>
              <w:adjustRightInd w:val="0"/>
              <w:snapToGrid/>
              <w:spacing w:line="240" w:lineRule="auto"/>
              <w:ind w:firstLine="0" w:firstLineChars="0"/>
              <w:jc w:val="center"/>
              <w:textAlignment w:val="baseline"/>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变幅Do</w:t>
            </w: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w:t>
            </w:r>
          </w:p>
        </w:tc>
      </w:tr>
      <w:tr>
        <w:tblPrEx>
          <w:tblCellMar>
            <w:top w:w="15" w:type="dxa"/>
            <w:left w:w="15" w:type="dxa"/>
            <w:bottom w:w="15" w:type="dxa"/>
            <w:right w:w="15" w:type="dxa"/>
          </w:tblCellMar>
        </w:tblPrEx>
        <w:trPr>
          <w:trHeight w:val="340" w:hRule="exact"/>
          <w:jc w:val="center"/>
        </w:trPr>
        <w:tc>
          <w:tcPr>
            <w:tcW w:w="90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森林</w:t>
            </w:r>
          </w:p>
        </w:tc>
        <w:tc>
          <w:tcPr>
            <w:tcW w:w="95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37.68</w:t>
            </w:r>
          </w:p>
        </w:tc>
        <w:tc>
          <w:tcPr>
            <w:tcW w:w="10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66.44</w:t>
            </w:r>
          </w:p>
        </w:tc>
        <w:tc>
          <w:tcPr>
            <w:tcW w:w="117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64.64</w:t>
            </w:r>
          </w:p>
        </w:tc>
        <w:tc>
          <w:tcPr>
            <w:tcW w:w="115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58.35 </w:t>
            </w:r>
          </w:p>
        </w:tc>
        <w:tc>
          <w:tcPr>
            <w:tcW w:w="115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58.35</w:t>
            </w:r>
          </w:p>
        </w:tc>
        <w:tc>
          <w:tcPr>
            <w:tcW w:w="11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 </w:t>
            </w:r>
          </w:p>
        </w:tc>
      </w:tr>
      <w:tr>
        <w:tblPrEx>
          <w:tblCellMar>
            <w:top w:w="15" w:type="dxa"/>
            <w:left w:w="15" w:type="dxa"/>
            <w:bottom w:w="15" w:type="dxa"/>
            <w:right w:w="15" w:type="dxa"/>
          </w:tblCellMar>
        </w:tblPrEx>
        <w:trPr>
          <w:trHeight w:val="340" w:hRule="exact"/>
          <w:jc w:val="center"/>
        </w:trPr>
        <w:tc>
          <w:tcPr>
            <w:tcW w:w="90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灌丛</w:t>
            </w:r>
          </w:p>
        </w:tc>
        <w:tc>
          <w:tcPr>
            <w:tcW w:w="95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8.7</w:t>
            </w:r>
          </w:p>
        </w:tc>
        <w:tc>
          <w:tcPr>
            <w:tcW w:w="10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8.12</w:t>
            </w:r>
          </w:p>
        </w:tc>
        <w:tc>
          <w:tcPr>
            <w:tcW w:w="117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8.34</w:t>
            </w:r>
          </w:p>
        </w:tc>
        <w:tc>
          <w:tcPr>
            <w:tcW w:w="115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8.38 </w:t>
            </w:r>
          </w:p>
        </w:tc>
        <w:tc>
          <w:tcPr>
            <w:tcW w:w="115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8.38</w:t>
            </w:r>
          </w:p>
        </w:tc>
        <w:tc>
          <w:tcPr>
            <w:tcW w:w="11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 </w:t>
            </w:r>
          </w:p>
        </w:tc>
      </w:tr>
      <w:tr>
        <w:tblPrEx>
          <w:tblCellMar>
            <w:top w:w="15" w:type="dxa"/>
            <w:left w:w="15" w:type="dxa"/>
            <w:bottom w:w="15" w:type="dxa"/>
            <w:right w:w="15" w:type="dxa"/>
          </w:tblCellMar>
        </w:tblPrEx>
        <w:trPr>
          <w:trHeight w:val="340" w:hRule="exact"/>
          <w:jc w:val="center"/>
        </w:trPr>
        <w:tc>
          <w:tcPr>
            <w:tcW w:w="90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灌草丛</w:t>
            </w:r>
          </w:p>
        </w:tc>
        <w:tc>
          <w:tcPr>
            <w:tcW w:w="95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28.99</w:t>
            </w:r>
          </w:p>
        </w:tc>
        <w:tc>
          <w:tcPr>
            <w:tcW w:w="10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11.95</w:t>
            </w:r>
          </w:p>
        </w:tc>
        <w:tc>
          <w:tcPr>
            <w:tcW w:w="117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12.34</w:t>
            </w:r>
          </w:p>
        </w:tc>
        <w:tc>
          <w:tcPr>
            <w:tcW w:w="115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16.41 </w:t>
            </w:r>
          </w:p>
        </w:tc>
        <w:tc>
          <w:tcPr>
            <w:tcW w:w="115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16.41</w:t>
            </w:r>
          </w:p>
        </w:tc>
        <w:tc>
          <w:tcPr>
            <w:tcW w:w="11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 </w:t>
            </w:r>
          </w:p>
        </w:tc>
      </w:tr>
      <w:tr>
        <w:tblPrEx>
          <w:tblCellMar>
            <w:top w:w="15" w:type="dxa"/>
            <w:left w:w="15" w:type="dxa"/>
            <w:bottom w:w="15" w:type="dxa"/>
            <w:right w:w="15" w:type="dxa"/>
          </w:tblCellMar>
        </w:tblPrEx>
        <w:trPr>
          <w:trHeight w:val="340" w:hRule="exact"/>
          <w:jc w:val="center"/>
        </w:trPr>
        <w:tc>
          <w:tcPr>
            <w:tcW w:w="90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耕地</w:t>
            </w:r>
          </w:p>
        </w:tc>
        <w:tc>
          <w:tcPr>
            <w:tcW w:w="95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6.82 </w:t>
            </w:r>
          </w:p>
        </w:tc>
        <w:tc>
          <w:tcPr>
            <w:tcW w:w="10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5.96 </w:t>
            </w:r>
          </w:p>
        </w:tc>
        <w:tc>
          <w:tcPr>
            <w:tcW w:w="117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6.46 </w:t>
            </w:r>
          </w:p>
        </w:tc>
        <w:tc>
          <w:tcPr>
            <w:tcW w:w="115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6.42 </w:t>
            </w:r>
          </w:p>
        </w:tc>
        <w:tc>
          <w:tcPr>
            <w:tcW w:w="115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6.83</w:t>
            </w:r>
          </w:p>
        </w:tc>
        <w:tc>
          <w:tcPr>
            <w:tcW w:w="11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-0.4 </w:t>
            </w:r>
          </w:p>
        </w:tc>
      </w:tr>
      <w:tr>
        <w:tblPrEx>
          <w:tblCellMar>
            <w:top w:w="15" w:type="dxa"/>
            <w:left w:w="15" w:type="dxa"/>
            <w:bottom w:w="15" w:type="dxa"/>
            <w:right w:w="15" w:type="dxa"/>
          </w:tblCellMar>
        </w:tblPrEx>
        <w:trPr>
          <w:trHeight w:val="402" w:hRule="exact"/>
          <w:jc w:val="center"/>
        </w:trPr>
        <w:tc>
          <w:tcPr>
            <w:tcW w:w="90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bidi="ar"/>
                <w14:textFill>
                  <w14:solidFill>
                    <w14:schemeClr w14:val="tx1"/>
                  </w14:solidFill>
                </w14:textFill>
              </w:rPr>
              <w:t>人工生态系统</w:t>
            </w:r>
          </w:p>
        </w:tc>
        <w:tc>
          <w:tcPr>
            <w:tcW w:w="95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14.915</w:t>
            </w:r>
          </w:p>
        </w:tc>
        <w:tc>
          <w:tcPr>
            <w:tcW w:w="10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6.9404</w:t>
            </w:r>
          </w:p>
        </w:tc>
        <w:tc>
          <w:tcPr>
            <w:tcW w:w="117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7.6722</w:t>
            </w:r>
          </w:p>
        </w:tc>
        <w:tc>
          <w:tcPr>
            <w:tcW w:w="115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9.30 </w:t>
            </w:r>
          </w:p>
        </w:tc>
        <w:tc>
          <w:tcPr>
            <w:tcW w:w="115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8.87</w:t>
            </w:r>
          </w:p>
        </w:tc>
        <w:tc>
          <w:tcPr>
            <w:tcW w:w="11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0.4 </w:t>
            </w:r>
          </w:p>
        </w:tc>
      </w:tr>
      <w:tr>
        <w:tblPrEx>
          <w:tblCellMar>
            <w:top w:w="15" w:type="dxa"/>
            <w:left w:w="15" w:type="dxa"/>
            <w:bottom w:w="15" w:type="dxa"/>
            <w:right w:w="15" w:type="dxa"/>
          </w:tblCellMar>
        </w:tblPrEx>
        <w:trPr>
          <w:trHeight w:val="335" w:hRule="exact"/>
          <w:jc w:val="center"/>
        </w:trPr>
        <w:tc>
          <w:tcPr>
            <w:tcW w:w="90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pPr>
            <w:r>
              <w:rPr>
                <w:rFonts w:hint="default" w:ascii="Times New Roman" w:hAnsi="Times New Roman" w:eastAsia="宋体" w:cs="Times New Roman"/>
                <w:b w:val="0"/>
                <w:bCs/>
                <w:color w:val="000000" w:themeColor="text1"/>
                <w:kern w:val="0"/>
                <w:sz w:val="21"/>
                <w:szCs w:val="21"/>
                <w:highlight w:val="none"/>
                <w:lang w:eastAsia="zh-CN" w:bidi="ar"/>
                <w14:textFill>
                  <w14:solidFill>
                    <w14:schemeClr w14:val="tx1"/>
                  </w14:solidFill>
                </w14:textFill>
              </w:rPr>
              <w:t>水面</w:t>
            </w:r>
          </w:p>
        </w:tc>
        <w:tc>
          <w:tcPr>
            <w:tcW w:w="955"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2.9</w:t>
            </w:r>
          </w:p>
        </w:tc>
        <w:tc>
          <w:tcPr>
            <w:tcW w:w="10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0.59</w:t>
            </w:r>
          </w:p>
        </w:tc>
        <w:tc>
          <w:tcPr>
            <w:tcW w:w="117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0.55</w:t>
            </w:r>
          </w:p>
        </w:tc>
        <w:tc>
          <w:tcPr>
            <w:tcW w:w="115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1.15 </w:t>
            </w:r>
          </w:p>
        </w:tc>
        <w:tc>
          <w:tcPr>
            <w:tcW w:w="115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1.15</w:t>
            </w:r>
          </w:p>
        </w:tc>
        <w:tc>
          <w:tcPr>
            <w:tcW w:w="1154"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napToGrid/>
              <w:spacing w:line="240" w:lineRule="auto"/>
              <w:ind w:firstLine="0" w:firstLineChars="0"/>
              <w:jc w:val="center"/>
              <w:textAlignment w:val="bottom"/>
              <w:rPr>
                <w:rFonts w:hint="default" w:ascii="Times New Roman" w:hAnsi="Times New Roman" w:eastAsia="宋体" w:cs="Times New Roman"/>
                <w:b w:val="0"/>
                <w:bCs/>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 </w:t>
            </w:r>
          </w:p>
        </w:tc>
      </w:tr>
    </w:tbl>
    <w:p>
      <w:pPr>
        <w:keepNext w:val="0"/>
        <w:keepLines w:val="0"/>
        <w:pageBreakBefore w:val="0"/>
        <w:widowControl w:val="0"/>
        <w:kinsoku/>
        <w:wordWrap/>
        <w:overflowPunct/>
        <w:topLinePunct w:val="0"/>
        <w:autoSpaceDE/>
        <w:autoSpaceDN/>
        <w:bidi w:val="0"/>
        <w:adjustRightInd w:val="0"/>
        <w:snapToGrid w:val="0"/>
        <w:spacing w:before="0"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0" w:line="360" w:lineRule="auto"/>
        <w:ind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由表5.1-</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可以看出各拼块的优势度值变化较小，而人</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耕地和</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工生态系统拼块变幅是</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-0.4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和</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0.4</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森林拼块的景观优势度</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仍</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远高于其他拼块，属模地，生态环境不会发生质的变化</w:t>
      </w:r>
      <w:r>
        <w:rPr>
          <w:rFonts w:hint="default" w:ascii="Times New Roman" w:hAnsi="Times New Roman" w:eastAsia="宋体" w:cs="Times New Roman"/>
          <w:b w:val="0"/>
          <w:bCs/>
          <w:color w:val="000000" w:themeColor="text1"/>
          <w:sz w:val="24"/>
          <w:highlight w:val="none"/>
          <w14:textFill>
            <w14:solidFill>
              <w14:schemeClr w14:val="tx1"/>
            </w14:solidFill>
          </w14:textFill>
        </w:rPr>
        <w:t>。</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3）对自然景观协调性影响预测</w:t>
      </w:r>
    </w:p>
    <w:p>
      <w:pPr>
        <w:ind w:firstLine="48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施工在视觉上会对项目区产生一定的影响，占据一定的数据空间及景观节点，尤其是与周边绿色植被环境形成明显的视觉异质性。本项目施工对周边原本连续的自然景观环境形成切割，对其空间连续性造成一定的破坏。切割</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耕地</w:t>
      </w:r>
      <w:r>
        <w:rPr>
          <w:rFonts w:hint="default" w:ascii="Times New Roman" w:hAnsi="Times New Roman" w:eastAsia="宋体" w:cs="Times New Roman"/>
          <w:b w:val="0"/>
          <w:bCs/>
          <w:color w:val="000000" w:themeColor="text1"/>
          <w:sz w:val="24"/>
          <w:highlight w:val="none"/>
          <w14:textFill>
            <w14:solidFill>
              <w14:schemeClr w14:val="tx1"/>
            </w14:solidFill>
          </w14:textFill>
        </w:rPr>
        <w:t>植被，使绿色的背景呈现出明显的人工印迹。建议在项目退役后及时拆除临时建筑设施，</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进行土地复垦</w:t>
      </w:r>
      <w:r>
        <w:rPr>
          <w:rFonts w:hint="default" w:ascii="Times New Roman" w:hAnsi="Times New Roman" w:eastAsia="宋体" w:cs="Times New Roman"/>
          <w:b w:val="0"/>
          <w:bCs/>
          <w:color w:val="000000" w:themeColor="text1"/>
          <w:sz w:val="24"/>
          <w:highlight w:val="none"/>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恢复原状。</w:t>
      </w:r>
    </w:p>
    <w:p>
      <w:pPr>
        <w:ind w:firstLine="480"/>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b w:val="0"/>
          <w:bCs/>
          <w:color w:val="000000" w:themeColor="text1"/>
          <w:sz w:val="24"/>
          <w:highlight w:val="none"/>
          <w14:textFill>
            <w14:solidFill>
              <w14:schemeClr w14:val="tx1"/>
            </w14:solidFill>
          </w14:textFill>
        </w:rPr>
        <w:t>对生态系统类型影响分析</w:t>
      </w:r>
    </w:p>
    <w:p>
      <w:pPr>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根据项目《附图</w:t>
      </w:r>
      <w:r>
        <w:rPr>
          <w:rFonts w:hint="eastAsia" w:ascii="Times New Roman" w:hAnsi="Times New Roman" w:cs="Times New Roman"/>
          <w:b w:val="0"/>
          <w:bCs/>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b w:val="0"/>
          <w:bCs/>
          <w:color w:val="000000" w:themeColor="text1"/>
          <w:sz w:val="24"/>
          <w:highlight w:val="none"/>
          <w14:textFill>
            <w14:solidFill>
              <w14:schemeClr w14:val="tx1"/>
            </w14:solidFill>
          </w14:textFill>
        </w:rPr>
        <w:t xml:space="preserve"> 生态系统类型图》，利用GIS软件，采用图形叠置分析可知，项目占用的生态系统类型主要为</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耕地生态系统</w:t>
      </w:r>
      <w:r>
        <w:rPr>
          <w:rFonts w:hint="default" w:ascii="Times New Roman" w:hAnsi="Times New Roman" w:eastAsia="宋体" w:cs="Times New Roman"/>
          <w:b w:val="0"/>
          <w:bCs/>
          <w:color w:val="000000" w:themeColor="text1"/>
          <w:sz w:val="24"/>
          <w:highlight w:val="none"/>
          <w14:textFill>
            <w14:solidFill>
              <w14:schemeClr w14:val="tx1"/>
            </w14:solidFill>
          </w14:textFill>
        </w:rPr>
        <w:t>，面积为</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0.14</w:t>
      </w:r>
      <w:r>
        <w:rPr>
          <w:rFonts w:hint="default" w:ascii="Times New Roman" w:hAnsi="Times New Roman" w:eastAsia="宋体" w:cs="Times New Roman"/>
          <w:b w:val="0"/>
          <w:bCs/>
          <w:color w:val="000000" w:themeColor="text1"/>
          <w:sz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highlight w:val="none"/>
          <w14:textFill>
            <w14:solidFill>
              <w14:schemeClr w14:val="tx1"/>
            </w14:solidFill>
          </w14:textFill>
        </w:rPr>
        <w:t>。</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项目占用的生态系统类型属于评价范围内普遍分布的类型，项目占地损失总生产力</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0.6</w:t>
      </w:r>
      <w:r>
        <w:rPr>
          <w:rFonts w:hint="default" w:ascii="Times New Roman" w:hAnsi="Times New Roman" w:eastAsia="宋体" w:cs="Times New Roman"/>
          <w:b w:val="0"/>
          <w:bCs/>
          <w:color w:val="000000" w:themeColor="text1"/>
          <w:sz w:val="24"/>
          <w:highlight w:val="none"/>
          <w14:textFill>
            <w14:solidFill>
              <w14:schemeClr w14:val="tx1"/>
            </w14:solidFill>
          </w14:textFill>
        </w:rPr>
        <w:t>tc/a，损失总生物量为</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1.44</w:t>
      </w:r>
      <w:r>
        <w:rPr>
          <w:rFonts w:hint="default" w:ascii="Times New Roman" w:hAnsi="Times New Roman" w:eastAsia="宋体" w:cs="Times New Roman"/>
          <w:b w:val="0"/>
          <w:bCs/>
          <w:color w:val="000000" w:themeColor="text1"/>
          <w:sz w:val="24"/>
          <w:highlight w:val="none"/>
          <w14:textFill>
            <w14:solidFill>
              <w14:schemeClr w14:val="tx1"/>
            </w14:solidFill>
          </w14:textFill>
        </w:rPr>
        <w:t>t，占评价区总生产力和总生物量的比例为</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0.37</w:t>
      </w:r>
      <w:r>
        <w:rPr>
          <w:rFonts w:hint="default" w:ascii="Times New Roman" w:hAnsi="Times New Roman" w:eastAsia="宋体" w:cs="Times New Roman"/>
          <w:b w:val="0"/>
          <w:bCs/>
          <w:color w:val="000000" w:themeColor="text1"/>
          <w:sz w:val="24"/>
          <w:highlight w:val="none"/>
          <w14:textFill>
            <w14:solidFill>
              <w14:schemeClr w14:val="tx1"/>
            </w14:solidFill>
          </w14:textFill>
        </w:rPr>
        <w:t>%和</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0.06</w:t>
      </w:r>
      <w:r>
        <w:rPr>
          <w:rFonts w:hint="default" w:ascii="Times New Roman" w:hAnsi="Times New Roman" w:eastAsia="宋体" w:cs="Times New Roman"/>
          <w:b w:val="0"/>
          <w:bCs/>
          <w:color w:val="000000" w:themeColor="text1"/>
          <w:sz w:val="24"/>
          <w:highlight w:val="none"/>
          <w14:textFill>
            <w14:solidFill>
              <w14:schemeClr w14:val="tx1"/>
            </w14:solidFill>
          </w14:textFill>
        </w:rPr>
        <w:t>%，占比极低。</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项目建设不会对该区域植被分布情况造成大的改变，项目对评价区内的自然生态系统的完整性和结构稳定性影响较小，随着退役后占地设施拆除和地形地貌以及</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土地复垦措施</w:t>
      </w:r>
      <w:r>
        <w:rPr>
          <w:rFonts w:hint="default" w:ascii="Times New Roman" w:hAnsi="Times New Roman" w:eastAsia="宋体" w:cs="Times New Roman"/>
          <w:b w:val="0"/>
          <w:bCs/>
          <w:color w:val="000000" w:themeColor="text1"/>
          <w:sz w:val="24"/>
          <w:highlight w:val="none"/>
          <w14:textFill>
            <w14:solidFill>
              <w14:schemeClr w14:val="tx1"/>
            </w14:solidFill>
          </w14:textFill>
        </w:rPr>
        <w:t>的实施，评价区内生态系统面积、结构和功能会得到进一步恢复；生态系统的结构与功能完整性</w:t>
      </w:r>
      <w:r>
        <w:rPr>
          <w:rFonts w:hint="default" w:ascii="Times New Roman" w:hAnsi="Times New Roman" w:cs="Times New Roman"/>
          <w:b w:val="0"/>
          <w:bCs/>
          <w:color w:val="000000" w:themeColor="text1"/>
          <w:sz w:val="24"/>
          <w:highlight w:val="none"/>
          <w:lang w:eastAsia="zh-CN"/>
          <w14:textFill>
            <w14:solidFill>
              <w14:schemeClr w14:val="tx1"/>
            </w14:solidFill>
          </w14:textFill>
        </w:rPr>
        <w:t>，以及</w:t>
      </w:r>
      <w:r>
        <w:rPr>
          <w:rFonts w:hint="default" w:ascii="Times New Roman" w:hAnsi="Times New Roman" w:eastAsia="宋体" w:cs="Times New Roman"/>
          <w:b w:val="0"/>
          <w:bCs/>
          <w:color w:val="000000" w:themeColor="text1"/>
          <w:sz w:val="24"/>
          <w:highlight w:val="none"/>
          <w14:textFill>
            <w14:solidFill>
              <w14:schemeClr w14:val="tx1"/>
            </w14:solidFill>
          </w14:textFill>
        </w:rPr>
        <w:t>生态服务功能的完整性并不会受到项目建设的直接影响，依然具有维持良性发展的潜力。</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对生态系统结构稳定性分析</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项目占地主要为</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生活营地，</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占地总面积</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0.14hm</w:t>
      </w:r>
      <w:r>
        <w:rPr>
          <w:rFonts w:hint="default" w:ascii="Times New Roman" w:hAnsi="Times New Roman" w:eastAsia="宋体" w:cs="Times New Roman"/>
          <w:b w:val="0"/>
          <w:bCs/>
          <w:color w:val="000000" w:themeColor="text1"/>
          <w:sz w:val="24"/>
          <w:highlight w:val="none"/>
          <w:vertAlign w:val="superscript"/>
          <w:lang w:eastAsia="zh-CN"/>
          <w14:textFill>
            <w14:solidFill>
              <w14:schemeClr w14:val="tx1"/>
            </w14:solidFill>
          </w14:textFill>
        </w:rPr>
        <w:t>2</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，占评价范围总面积的</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0.37</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不会对该区域植被分布情况和植被群落结构造成任何改变，项目对评价区内的耕地生态系统的类型完整性和结构稳定性影响可忽略不计，随着退役后占地设施拆除和地形地貌以及土地复垦措施的实施，评价区内各生态系统（尤其是耕地）面积、结构和功能会得到进一步恢复；各类生态系统的结构与功能完整性</w:t>
      </w:r>
      <w:r>
        <w:rPr>
          <w:rFonts w:hint="default" w:ascii="Times New Roman" w:hAnsi="Times New Roman" w:cs="Times New Roman"/>
          <w:b w:val="0"/>
          <w:bCs/>
          <w:color w:val="000000" w:themeColor="text1"/>
          <w:sz w:val="24"/>
          <w:highlight w:val="none"/>
          <w:lang w:eastAsia="zh-CN"/>
          <w14:textFill>
            <w14:solidFill>
              <w14:schemeClr w14:val="tx1"/>
            </w14:solidFill>
          </w14:textFill>
        </w:rPr>
        <w:t>，以及</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生态服务功能的完整性并不会受到项目施工运营的直接影响，依然具有维持良性发展的潜力。</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对生态系统完整性的影响分析</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begin"/>
      </w:r>
      <w:r>
        <w:rPr>
          <w:rFonts w:hint="default" w:ascii="Times New Roman" w:hAnsi="Times New Roman" w:eastAsia="宋体" w:cs="Times New Roman"/>
          <w:b w:val="0"/>
          <w:bCs/>
          <w:color w:val="000000" w:themeColor="text1"/>
          <w:sz w:val="24"/>
          <w:highlight w:val="none"/>
          <w14:textFill>
            <w14:solidFill>
              <w14:schemeClr w14:val="tx1"/>
            </w14:solidFill>
          </w14:textFill>
        </w:rPr>
        <w:instrText xml:space="preserve"> = 1 \* GB3 \* MERGEFORMAT </w:instrText>
      </w: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①</w:t>
      </w: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end"/>
      </w:r>
      <w:r>
        <w:rPr>
          <w:rFonts w:hint="default" w:ascii="Times New Roman" w:hAnsi="Times New Roman" w:eastAsia="宋体" w:cs="Times New Roman"/>
          <w:b w:val="0"/>
          <w:bCs/>
          <w:color w:val="000000" w:themeColor="text1"/>
          <w:sz w:val="24"/>
          <w:highlight w:val="none"/>
          <w14:textFill>
            <w14:solidFill>
              <w14:schemeClr w14:val="tx1"/>
            </w14:solidFill>
          </w14:textFill>
        </w:rPr>
        <w:t>对生态效能的影响</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施工占用的植被均属于当地常见的物种，项目建设虽然会对该区域的生态环境和生态效能产生一定影响，但是局部植被资源的减少对区域生态效能影响不大。同时，项目在设计与施工各个环节中采取多种水土保持措施，项目退役后通过</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临时设施拆除及土地复垦措施的实施</w:t>
      </w:r>
      <w:r>
        <w:rPr>
          <w:rFonts w:hint="default" w:ascii="Times New Roman" w:hAnsi="Times New Roman" w:eastAsia="宋体" w:cs="Times New Roman"/>
          <w:b w:val="0"/>
          <w:bCs/>
          <w:color w:val="000000" w:themeColor="text1"/>
          <w:sz w:val="24"/>
          <w:highlight w:val="none"/>
          <w14:textFill>
            <w14:solidFill>
              <w14:schemeClr w14:val="tx1"/>
            </w14:solidFill>
          </w14:textFill>
        </w:rPr>
        <w:t>，可保持较稳定的生态系统，因此项目建设对生态效能的影响可忽略不计。</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begin"/>
      </w:r>
      <w:r>
        <w:rPr>
          <w:rFonts w:hint="default" w:ascii="Times New Roman" w:hAnsi="Times New Roman" w:eastAsia="宋体" w:cs="Times New Roman"/>
          <w:b w:val="0"/>
          <w:bCs/>
          <w:color w:val="000000" w:themeColor="text1"/>
          <w:sz w:val="24"/>
          <w:highlight w:val="none"/>
          <w14:textFill>
            <w14:solidFill>
              <w14:schemeClr w14:val="tx1"/>
            </w14:solidFill>
          </w14:textFill>
        </w:rPr>
        <w:instrText xml:space="preserve"> = 2 \* GB3 \* MERGEFORMAT </w:instrText>
      </w: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②</w:t>
      </w: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end"/>
      </w:r>
      <w:r>
        <w:rPr>
          <w:rFonts w:hint="default" w:ascii="Times New Roman" w:hAnsi="Times New Roman" w:eastAsia="宋体" w:cs="Times New Roman"/>
          <w:b w:val="0"/>
          <w:bCs/>
          <w:color w:val="000000" w:themeColor="text1"/>
          <w:sz w:val="24"/>
          <w:highlight w:val="none"/>
          <w14:textFill>
            <w14:solidFill>
              <w14:schemeClr w14:val="tx1"/>
            </w14:solidFill>
          </w14:textFill>
        </w:rPr>
        <w:t>对景观风貌的影响</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生活营区的</w:t>
      </w:r>
      <w:r>
        <w:rPr>
          <w:rFonts w:hint="default" w:ascii="Times New Roman" w:hAnsi="Times New Roman" w:eastAsia="宋体" w:cs="Times New Roman"/>
          <w:b w:val="0"/>
          <w:bCs/>
          <w:color w:val="000000" w:themeColor="text1"/>
          <w:sz w:val="24"/>
          <w:highlight w:val="none"/>
          <w14:textFill>
            <w14:solidFill>
              <w14:schemeClr w14:val="tx1"/>
            </w14:solidFill>
          </w14:textFill>
        </w:rPr>
        <w:t>建设产生的</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人为</w:t>
      </w:r>
      <w:r>
        <w:rPr>
          <w:rFonts w:hint="default" w:ascii="Times New Roman" w:hAnsi="Times New Roman" w:eastAsia="宋体" w:cs="Times New Roman"/>
          <w:b w:val="0"/>
          <w:bCs/>
          <w:color w:val="000000" w:themeColor="text1"/>
          <w:sz w:val="24"/>
          <w:highlight w:val="none"/>
          <w14:textFill>
            <w14:solidFill>
              <w14:schemeClr w14:val="tx1"/>
            </w14:solidFill>
          </w14:textFill>
        </w:rPr>
        <w:t>活动，会影响土体的结构，降低原来地表的固土保水能力，改变其结构特征，</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原有</w:t>
      </w:r>
      <w:r>
        <w:rPr>
          <w:rFonts w:hint="default" w:ascii="Times New Roman" w:hAnsi="Times New Roman" w:eastAsia="宋体" w:cs="Times New Roman"/>
          <w:b w:val="0"/>
          <w:bCs/>
          <w:color w:val="000000" w:themeColor="text1"/>
          <w:sz w:val="24"/>
          <w:highlight w:val="none"/>
          <w14:textFill>
            <w14:solidFill>
              <w14:schemeClr w14:val="tx1"/>
            </w14:solidFill>
          </w14:textFill>
        </w:rPr>
        <w:t>景观受到一定影响，但在项目退役后，随着占地设施拆除及</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土地复垦措施的事实</w:t>
      </w:r>
      <w:r>
        <w:rPr>
          <w:rFonts w:hint="default" w:ascii="Times New Roman" w:hAnsi="Times New Roman" w:eastAsia="宋体" w:cs="Times New Roman"/>
          <w:b w:val="0"/>
          <w:bCs/>
          <w:color w:val="000000" w:themeColor="text1"/>
          <w:sz w:val="24"/>
          <w:highlight w:val="none"/>
          <w14:textFill>
            <w14:solidFill>
              <w14:schemeClr w14:val="tx1"/>
            </w14:solidFill>
          </w14:textFill>
        </w:rPr>
        <w:t>，项目区范围内的动、植物的繁衍条件将得以恢复，景观风貌也会逐步恢复。</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begin"/>
      </w:r>
      <w:r>
        <w:rPr>
          <w:rFonts w:hint="default" w:ascii="Times New Roman" w:hAnsi="Times New Roman" w:eastAsia="宋体" w:cs="Times New Roman"/>
          <w:b w:val="0"/>
          <w:bCs/>
          <w:color w:val="000000" w:themeColor="text1"/>
          <w:sz w:val="24"/>
          <w:highlight w:val="none"/>
          <w14:textFill>
            <w14:solidFill>
              <w14:schemeClr w14:val="tx1"/>
            </w14:solidFill>
          </w14:textFill>
        </w:rPr>
        <w:instrText xml:space="preserve"> = 3 \* GB3 \* MERGEFORMAT </w:instrText>
      </w: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③</w:t>
      </w: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end"/>
      </w:r>
      <w:r>
        <w:rPr>
          <w:rFonts w:hint="default" w:ascii="Times New Roman" w:hAnsi="Times New Roman" w:eastAsia="宋体" w:cs="Times New Roman"/>
          <w:b w:val="0"/>
          <w:bCs/>
          <w:color w:val="000000" w:themeColor="text1"/>
          <w:sz w:val="24"/>
          <w:highlight w:val="none"/>
          <w14:textFill>
            <w14:solidFill>
              <w14:schemeClr w14:val="tx1"/>
            </w14:solidFill>
          </w14:textFill>
        </w:rPr>
        <w:t>对环境质量的影响</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项目建设过程中将造成一定的地表植被破坏，加剧水土流失；占地区</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施工</w:t>
      </w:r>
      <w:r>
        <w:rPr>
          <w:rFonts w:hint="default" w:ascii="Times New Roman" w:hAnsi="Times New Roman" w:eastAsia="宋体" w:cs="Times New Roman"/>
          <w:b w:val="0"/>
          <w:bCs/>
          <w:color w:val="000000" w:themeColor="text1"/>
          <w:sz w:val="24"/>
          <w:highlight w:val="none"/>
          <w14:textFill>
            <w14:solidFill>
              <w14:schemeClr w14:val="tx1"/>
            </w14:solidFill>
          </w14:textFill>
        </w:rPr>
        <w:t>过程产生的扬尘和粉尘，造成小部分空气环境污染；施工中产生的废水、生活污水可能引起周边水质暂时的污染。但其不利影响是短暂的，项目建设过程中采取的技术措施可最大程度减少负面影响，项目建设对环境质量的影响很小。</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begin"/>
      </w:r>
      <w:r>
        <w:rPr>
          <w:rFonts w:hint="default" w:ascii="Times New Roman" w:hAnsi="Times New Roman" w:eastAsia="宋体" w:cs="Times New Roman"/>
          <w:b w:val="0"/>
          <w:bCs/>
          <w:color w:val="000000" w:themeColor="text1"/>
          <w:sz w:val="24"/>
          <w:highlight w:val="none"/>
          <w14:textFill>
            <w14:solidFill>
              <w14:schemeClr w14:val="tx1"/>
            </w14:solidFill>
          </w14:textFill>
        </w:rPr>
        <w:instrText xml:space="preserve"> = 4 \* GB3 \* MERGEFORMAT </w:instrText>
      </w: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④</w:t>
      </w:r>
      <w:r>
        <w:rPr>
          <w:rFonts w:hint="default" w:ascii="Times New Roman" w:hAnsi="Times New Roman" w:eastAsia="宋体" w:cs="Times New Roman"/>
          <w:b w:val="0"/>
          <w:bCs/>
          <w:color w:val="000000" w:themeColor="text1"/>
          <w:sz w:val="24"/>
          <w:highlight w:val="none"/>
          <w14:textFill>
            <w14:solidFill>
              <w14:schemeClr w14:val="tx1"/>
            </w14:solidFill>
          </w14:textFill>
        </w:rPr>
        <w:fldChar w:fldCharType="end"/>
      </w:r>
      <w:r>
        <w:rPr>
          <w:rFonts w:hint="default" w:ascii="Times New Roman" w:hAnsi="Times New Roman" w:eastAsia="宋体" w:cs="Times New Roman"/>
          <w:b w:val="0"/>
          <w:bCs/>
          <w:color w:val="000000" w:themeColor="text1"/>
          <w:sz w:val="24"/>
          <w:highlight w:val="none"/>
          <w14:textFill>
            <w14:solidFill>
              <w14:schemeClr w14:val="tx1"/>
            </w14:solidFill>
          </w14:textFill>
        </w:rPr>
        <w:t>对物种多样性的影响</w:t>
      </w:r>
    </w:p>
    <w:p>
      <w:pPr>
        <w:adjustRightInd/>
        <w:snapToGrid/>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项目占地范围植被类型主要</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是耕地</w:t>
      </w:r>
      <w:r>
        <w:rPr>
          <w:rFonts w:hint="default" w:ascii="Times New Roman" w:hAnsi="Times New Roman" w:eastAsia="宋体" w:cs="Times New Roman"/>
          <w:b w:val="0"/>
          <w:bCs/>
          <w:color w:val="000000" w:themeColor="text1"/>
          <w:sz w:val="24"/>
          <w:highlight w:val="none"/>
          <w14:textFill>
            <w14:solidFill>
              <w14:schemeClr w14:val="tx1"/>
            </w14:solidFill>
          </w14:textFill>
        </w:rPr>
        <w:t>植被，群落结构和组成相对简单，且均为当地常见类型，分布较广，施工期对生物群落多样性、生态系统多样性及完整性的影响较小，项目占地不会对用地范围物种多样性和生态功能产生较大影响。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val="0"/>
          <w:color w:val="000000" w:themeColor="text1"/>
          <w:sz w:val="24"/>
          <w:highlight w:val="none"/>
          <w14:textFill>
            <w14:solidFill>
              <w14:schemeClr w14:val="tx1"/>
            </w14:solidFill>
          </w14:textFill>
        </w:rPr>
      </w:pPr>
      <w:r>
        <w:rPr>
          <w:rFonts w:hint="default" w:ascii="Times New Roman" w:hAnsi="Times New Roman" w:eastAsia="宋体" w:cs="Times New Roman"/>
          <w:b/>
          <w:bCs w:val="0"/>
          <w:color w:val="000000" w:themeColor="text1"/>
          <w:sz w:val="24"/>
          <w:highlight w:val="none"/>
          <w14:textFill>
            <w14:solidFill>
              <w14:schemeClr w14:val="tx1"/>
            </w14:solidFill>
          </w14:textFill>
        </w:rPr>
        <w:t>综上所述，项目建设对项目区及周边区域生态效能、景观风貌、环境质量、物种多样性等生态因子影响很小，项目建设不会对区域生态完整性产生影响。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对生态系统服务功能的影响分析</w:t>
      </w:r>
    </w:p>
    <w:p>
      <w:pPr>
        <w:pStyle w:val="13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b w:val="0"/>
          <w:bCs/>
          <w:color w:val="000000" w:themeColor="text1"/>
          <w:sz w:val="24"/>
          <w:highlight w:val="none"/>
          <w14:textFill>
            <w14:solidFill>
              <w14:schemeClr w14:val="tx1"/>
            </w14:solidFill>
          </w14:textFill>
        </w:rPr>
        <w:t>水土流失与水源涵养功能的影响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highlight w:val="none"/>
          <w:lang w:val="en-US" w:eastAsia="zh-CN"/>
          <w14:textFill>
            <w14:solidFill>
              <w14:schemeClr w14:val="tx1"/>
            </w14:solidFill>
          </w14:textFill>
        </w:rPr>
        <w:t>根据水利部办公厅关于印发《全国水土保持规划国家级水土流失重点预防区和重点治理区复核划分成果》（办水保〔2013〕188号）的通知及达州市水利局《关于水土保持“两区”划分的公告》“以下称《公告》”（详见附件1</w:t>
      </w:r>
      <w:r>
        <w:rPr>
          <w:rFonts w:hint="eastAsia" w:ascii="Times New Roman" w:hAnsi="Times New Roman" w:cs="Times New Roman"/>
          <w:bCs/>
          <w:color w:val="000000" w:themeColor="text1"/>
          <w:highlight w:val="none"/>
          <w:lang w:val="en-US" w:eastAsia="zh-CN"/>
          <w14:textFill>
            <w14:solidFill>
              <w14:schemeClr w14:val="tx1"/>
            </w14:solidFill>
          </w14:textFill>
        </w:rPr>
        <w:t>4</w:t>
      </w:r>
      <w:r>
        <w:rPr>
          <w:rFonts w:hint="default" w:ascii="Times New Roman" w:hAnsi="Times New Roman" w:eastAsia="宋体" w:cs="Times New Roman"/>
          <w:bCs/>
          <w:color w:val="000000" w:themeColor="text1"/>
          <w:highlight w:val="none"/>
          <w:lang w:val="en-US" w:eastAsia="zh-CN"/>
          <w14:textFill>
            <w14:solidFill>
              <w14:schemeClr w14:val="tx1"/>
            </w14:solidFill>
          </w14:textFill>
        </w:rPr>
        <w:t>），涉及《公告》中“附件1达州市水土流失重点防治区划分表”中所列生态分区中“Ⅱ区－重点预防区、Ⅱ区－重点治理区”，本项目所在地宣汉县普光镇属于水土流失重点预防区及水土流失重点治理区。</w:t>
      </w:r>
    </w:p>
    <w:p>
      <w:pPr>
        <w:ind w:firstLine="480"/>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highlight w:val="none"/>
          <w:lang w:val="en-US" w:eastAsia="zh-CN"/>
          <w14:textFill>
            <w14:solidFill>
              <w14:schemeClr w14:val="tx1"/>
            </w14:solidFill>
          </w14:textFill>
        </w:rPr>
        <w:t>宣汉县是一个水土流失严重的山区农业大县。据2011年全国水利普查，全县水土流失面积2136.93km</w:t>
      </w:r>
      <w:r>
        <w:rPr>
          <w:rFonts w:hint="default" w:ascii="Times New Roman" w:hAnsi="Times New Roman" w:eastAsia="宋体" w:cs="Times New Roman"/>
          <w:bCs/>
          <w:color w:val="000000" w:themeColor="text1"/>
          <w:highlight w:val="none"/>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highlight w:val="none"/>
          <w:lang w:val="en-US" w:eastAsia="zh-CN"/>
          <w14:textFill>
            <w14:solidFill>
              <w14:schemeClr w14:val="tx1"/>
            </w14:solidFill>
          </w14:textFill>
        </w:rPr>
        <w:t>，占土地面积的50.03%，水土流失以水力侵蚀为主，侵蚀强度以轻度和中度为主。项目所在行政区域水土流失概况详见表5.1-1。</w:t>
      </w:r>
    </w:p>
    <w:p>
      <w:pPr>
        <w:pStyle w:val="645"/>
        <w:rPr>
          <w:rFonts w:hint="default" w:ascii="Times New Roman" w:hAnsi="Times New Roman" w:eastAsia="黑体" w:cs="Times New Roman"/>
          <w:b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黑体" w:cs="Times New Roman"/>
          <w:b w:val="0"/>
          <w:color w:val="000000" w:themeColor="text1"/>
          <w:kern w:val="2"/>
          <w:sz w:val="21"/>
          <w:szCs w:val="21"/>
          <w:highlight w:val="none"/>
          <w:lang w:val="en-US" w:eastAsia="zh-CN" w:bidi="ar-SA"/>
          <w14:textFill>
            <w14:solidFill>
              <w14:schemeClr w14:val="tx1"/>
            </w14:solidFill>
          </w14:textFill>
        </w:rPr>
        <w:t>表5.1-1宣汉县水土流失现状统计表</w:t>
      </w:r>
    </w:p>
    <w:tbl>
      <w:tblPr>
        <w:tblStyle w:val="52"/>
        <w:tblW w:w="4984"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66"/>
        <w:gridCol w:w="1714"/>
        <w:gridCol w:w="3841"/>
        <w:gridCol w:w="177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0" w:hRule="atLeast"/>
        </w:trPr>
        <w:tc>
          <w:tcPr>
            <w:tcW w:w="3953"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行政区名称</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宣汉县</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3953"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土地总面积（km</w:t>
            </w:r>
            <w:r>
              <w:rPr>
                <w:rFonts w:hint="default" w:ascii="Times New Roman" w:hAnsi="Times New Roman" w:eastAsia="宋体" w:cs="Times New Roman"/>
                <w:color w:val="000000" w:themeColor="text1"/>
                <w:kern w:val="2"/>
                <w:sz w:val="21"/>
                <w:szCs w:val="20"/>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4271.54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1694"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土壤侵蚀</w:t>
            </w: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面积（km</w:t>
            </w:r>
            <w:r>
              <w:rPr>
                <w:rFonts w:hint="default" w:ascii="Times New Roman" w:hAnsi="Times New Roman" w:eastAsia="宋体" w:cs="Times New Roman"/>
                <w:color w:val="000000" w:themeColor="text1"/>
                <w:kern w:val="2"/>
                <w:sz w:val="21"/>
                <w:szCs w:val="20"/>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2136.93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1694"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占土地总面积（%）</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50.03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8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强</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度</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分</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级</w:t>
            </w:r>
          </w:p>
        </w:tc>
        <w:tc>
          <w:tcPr>
            <w:tcW w:w="1008"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轻度</w:t>
            </w: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面积（km</w:t>
            </w:r>
            <w:r>
              <w:rPr>
                <w:rFonts w:hint="default" w:ascii="Times New Roman" w:hAnsi="Times New Roman" w:eastAsia="宋体" w:cs="Times New Roman"/>
                <w:color w:val="000000" w:themeColor="text1"/>
                <w:kern w:val="2"/>
                <w:sz w:val="21"/>
                <w:szCs w:val="20"/>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1048.51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8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1008"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占土壤侵蚀总面积（%）</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49.07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8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1008"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中度</w:t>
            </w: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面积（km</w:t>
            </w:r>
            <w:r>
              <w:rPr>
                <w:rFonts w:hint="default" w:ascii="Times New Roman" w:hAnsi="Times New Roman" w:eastAsia="宋体" w:cs="Times New Roman"/>
                <w:color w:val="000000" w:themeColor="text1"/>
                <w:kern w:val="2"/>
                <w:sz w:val="21"/>
                <w:szCs w:val="20"/>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788.31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8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1008"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占土壤侵蚀总面积（%）</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36.89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8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1008"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强度</w:t>
            </w: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面积（km</w:t>
            </w:r>
            <w:r>
              <w:rPr>
                <w:rFonts w:hint="default" w:ascii="Times New Roman" w:hAnsi="Times New Roman" w:eastAsia="宋体" w:cs="Times New Roman"/>
                <w:color w:val="000000" w:themeColor="text1"/>
                <w:kern w:val="2"/>
                <w:sz w:val="21"/>
                <w:szCs w:val="20"/>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118.61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8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1008"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占土壤侵蚀总面积（%）</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5.55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8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1008"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极强度</w:t>
            </w: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面积（km</w:t>
            </w:r>
            <w:r>
              <w:rPr>
                <w:rFonts w:hint="default" w:ascii="Times New Roman" w:hAnsi="Times New Roman" w:eastAsia="宋体" w:cs="Times New Roman"/>
                <w:color w:val="000000" w:themeColor="text1"/>
                <w:kern w:val="2"/>
                <w:sz w:val="21"/>
                <w:szCs w:val="20"/>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79.66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8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1008"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占土壤侵蚀总面积（%）</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3.73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68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1008"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剧烈度</w:t>
            </w: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面积（km</w:t>
            </w:r>
            <w:r>
              <w:rPr>
                <w:rFonts w:hint="default" w:ascii="Times New Roman" w:hAnsi="Times New Roman" w:eastAsia="宋体" w:cs="Times New Roman"/>
                <w:color w:val="000000" w:themeColor="text1"/>
                <w:kern w:val="2"/>
                <w:sz w:val="21"/>
                <w:szCs w:val="20"/>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101.84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trPr>
        <w:tc>
          <w:tcPr>
            <w:tcW w:w="68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1008"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36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p>
        </w:tc>
        <w:tc>
          <w:tcPr>
            <w:tcW w:w="22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占土壤侵蚀总面积（%）</w:t>
            </w:r>
          </w:p>
        </w:tc>
        <w:tc>
          <w:tcPr>
            <w:tcW w:w="104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contextualSpacing/>
              <w:jc w:val="center"/>
              <w:textAlignment w:val="cente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t>4.76</w:t>
            </w:r>
          </w:p>
        </w:tc>
      </w:tr>
    </w:tbl>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Cs/>
          <w:color w:val="000000" w:themeColor="text1"/>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Cs/>
          <w:color w:val="000000" w:themeColor="text1"/>
          <w:kern w:val="2"/>
          <w:sz w:val="24"/>
          <w:szCs w:val="22"/>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Cs w:val="24"/>
          <w:highlight w:val="none"/>
          <w14:textFill>
            <w14:solidFill>
              <w14:schemeClr w14:val="tx1"/>
            </w14:solidFill>
          </w14:textFill>
        </w:rPr>
        <w:t>本工程根据现场勘察并结合</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项目水土保持方案资料，本</w:t>
      </w:r>
      <w:r>
        <w:rPr>
          <w:rFonts w:hint="default" w:ascii="Times New Roman" w:hAnsi="Times New Roman" w:eastAsia="宋体" w:cs="Times New Roman"/>
          <w:bCs/>
          <w:color w:val="000000" w:themeColor="text1"/>
          <w:szCs w:val="24"/>
          <w:highlight w:val="none"/>
          <w14:textFill>
            <w14:solidFill>
              <w14:schemeClr w14:val="tx1"/>
            </w14:solidFill>
          </w14:textFill>
        </w:rPr>
        <w:t>项目沿线土壤侵蚀现状以轻度水力侵蚀为主，平均土壤侵蚀模数在1765t/km</w:t>
      </w:r>
      <w:r>
        <w:rPr>
          <w:rFonts w:hint="default" w:ascii="Times New Roman" w:hAnsi="Times New Roman" w:eastAsia="宋体" w:cs="Times New Roman"/>
          <w:bCs/>
          <w:color w:val="000000" w:themeColor="text1"/>
          <w:szCs w:val="24"/>
          <w:highlight w:val="none"/>
          <w:vertAlign w:val="superscript"/>
          <w14:textFill>
            <w14:solidFill>
              <w14:schemeClr w14:val="tx1"/>
            </w14:solidFill>
          </w14:textFill>
        </w:rPr>
        <w:t>2</w:t>
      </w:r>
      <w:r>
        <w:rPr>
          <w:rFonts w:hint="default" w:ascii="Times New Roman" w:hAnsi="Times New Roman" w:eastAsia="宋体" w:cs="Times New Roman"/>
          <w:bCs/>
          <w:color w:val="000000" w:themeColor="text1"/>
          <w:szCs w:val="24"/>
          <w:highlight w:val="none"/>
          <w14:textFill>
            <w14:solidFill>
              <w14:schemeClr w14:val="tx1"/>
            </w14:solidFill>
          </w14:textFill>
        </w:rPr>
        <w:t>·a左右。</w:t>
      </w:r>
      <w:r>
        <w:rPr>
          <w:rFonts w:hint="default" w:ascii="Times New Roman" w:hAnsi="Times New Roman" w:eastAsia="宋体" w:cs="Times New Roman"/>
          <w:bCs/>
          <w:color w:val="000000" w:themeColor="text1"/>
          <w:kern w:val="2"/>
          <w:sz w:val="24"/>
          <w:szCs w:val="22"/>
          <w:highlight w:val="none"/>
          <w:lang w:val="en-US" w:eastAsia="zh-CN" w:bidi="ar-SA"/>
          <w14:textFill>
            <w14:solidFill>
              <w14:schemeClr w14:val="tx1"/>
            </w14:solidFill>
          </w14:textFill>
        </w:rPr>
        <w:t>结合工程区地貌条件、新增水土流失来源，在不采取水土流失防护措施前提下，工程区域内水土流失危害主要体现为对土地资源产生破坏，一方面由于工程建设占用土地，破坏原有地貌，损坏地表植被，土地耕作层和植被生长层被挖损、剥离或压埋，从而使施工区内裸地面积增加，降低土壤的抗蚀性，增大水土流失量，损坏了土地资源，影响农业耕作。另一方面开挖损坏的农田土层结构，即使复耕，短期内难以恢复地力，影响当地农业生产。在中山区，坡面集流将会冲毁具有水土保持功能的地埂、田坎，增加单位面积细沟和切沟数量，有进一步发育演变为冲沟的可能，又会产生大量水土流失，影响环境生态安全。</w:t>
      </w:r>
    </w:p>
    <w:p>
      <w:pPr>
        <w:ind w:firstLine="48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highlight w:val="none"/>
          <w:lang w:val="en-US" w:eastAsia="zh-CN"/>
          <w14:textFill>
            <w14:solidFill>
              <w14:schemeClr w14:val="tx1"/>
            </w14:solidFill>
          </w14:textFill>
        </w:rPr>
        <w:t>针对于本项目而言，</w:t>
      </w:r>
      <w:r>
        <w:rPr>
          <w:rFonts w:hint="default" w:ascii="Times New Roman" w:hAnsi="Times New Roman" w:eastAsia="宋体" w:cs="Times New Roman"/>
          <w:bCs/>
          <w:color w:val="000000" w:themeColor="text1"/>
          <w:highlight w:val="none"/>
          <w14:textFill>
            <w14:solidFill>
              <w14:schemeClr w14:val="tx1"/>
            </w14:solidFill>
          </w14:textFill>
        </w:rPr>
        <w:t>本项目对区域水土流失的影响主要是施工期的短暂影响，试采期各项工程均已建成，对地表的扰动基本不会发生，不会新增水土流失。施工期其引发水土流失的主要因素有：土石方及表土的量堆放；井场等基建造成的地表裸露；基础施工等对原地形地貌、植被等产生的扰动、破坏或再塑等。</w:t>
      </w:r>
    </w:p>
    <w:p>
      <w:pPr>
        <w:ind w:firstLine="480"/>
        <w:rPr>
          <w:rFonts w:hint="default" w:ascii="Times New Roman" w:hAnsi="Times New Roman" w:eastAsia="宋体" w:cs="Times New Roman"/>
          <w:bCs/>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本项目依托已有P106集气站进行建设，新增占地较少，造成的地表扰动和新增</w:t>
      </w:r>
      <w:r>
        <w:rPr>
          <w:rFonts w:hint="default" w:ascii="Times New Roman" w:hAnsi="Times New Roman" w:eastAsia="宋体" w:cs="Times New Roman"/>
          <w:bCs/>
          <w:color w:val="000000" w:themeColor="text1"/>
          <w:highlight w:val="none"/>
          <w14:textFill>
            <w14:solidFill>
              <w14:schemeClr w14:val="tx1"/>
            </w14:solidFill>
          </w14:textFill>
        </w:rPr>
        <w:t>开挖面积小。加之项目施工期短，产生的少量土石方就近占地进行临时堆放，无转运丢弃，实际新增水土流失量小。同时，利旧的集气站周边和表土堆场四周修建有截、排水沟，能将场内雨水排出，防止场内充水及水流往下渗透，以保护井场和表土堆场边坡稳定可有效减少水土流失。</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Cs/>
          <w:color w:val="000000" w:themeColor="text1"/>
          <w:highlight w:val="none"/>
          <w14:textFill>
            <w14:solidFill>
              <w14:schemeClr w14:val="tx1"/>
            </w14:solidFill>
          </w14:textFill>
        </w:rPr>
        <w:t>综上所述，拟建项目由于占地面积小，土石方量小，且施工时间短，工程实际新增的水土流失量小，在环境可接受范围内。通过落实相应的水土保持措施，总体水土流失量小，对水土流失重点治理区影响很小。在项目施工过程中要</w:t>
      </w:r>
      <w:r>
        <w:rPr>
          <w:rFonts w:hint="default" w:ascii="Times New Roman" w:hAnsi="Times New Roman" w:cs="Times New Roman"/>
          <w:bCs/>
          <w:color w:val="000000" w:themeColor="text1"/>
          <w:highlight w:val="none"/>
          <w:lang w:eastAsia="zh-CN"/>
          <w14:textFill>
            <w14:solidFill>
              <w14:schemeClr w14:val="tx1"/>
            </w14:solidFill>
          </w14:textFill>
        </w:rPr>
        <w:t>尽量减少</w:t>
      </w:r>
      <w:r>
        <w:rPr>
          <w:rFonts w:hint="default" w:ascii="Times New Roman" w:hAnsi="Times New Roman" w:eastAsia="宋体" w:cs="Times New Roman"/>
          <w:bCs/>
          <w:color w:val="000000" w:themeColor="text1"/>
          <w:highlight w:val="none"/>
          <w14:textFill>
            <w14:solidFill>
              <w14:schemeClr w14:val="tx1"/>
            </w14:solidFill>
          </w14:textFill>
        </w:rPr>
        <w:t>对周边区域地表植被的破坏，并对填挖高度进行严格的控制。森林和灌草丛等在评价区内发挥着较为重要的水源涵养功能，因此在施工结束及运营阶段应特别注重</w:t>
      </w:r>
      <w:r>
        <w:rPr>
          <w:rFonts w:hint="default" w:ascii="Times New Roman" w:hAnsi="Times New Roman" w:eastAsia="宋体" w:cs="Times New Roman"/>
          <w:bCs/>
          <w:color w:val="000000" w:themeColor="text1"/>
          <w:highlight w:val="none"/>
          <w:lang w:eastAsia="zh-CN"/>
          <w14:textFill>
            <w14:solidFill>
              <w14:schemeClr w14:val="tx1"/>
            </w14:solidFill>
          </w14:textFill>
        </w:rPr>
        <w:t>乔灌草等自然</w:t>
      </w:r>
      <w:r>
        <w:rPr>
          <w:rFonts w:hint="default" w:ascii="Times New Roman" w:hAnsi="Times New Roman" w:eastAsia="宋体" w:cs="Times New Roman"/>
          <w:bCs/>
          <w:color w:val="000000" w:themeColor="text1"/>
          <w:highlight w:val="none"/>
          <w14:textFill>
            <w14:solidFill>
              <w14:schemeClr w14:val="tx1"/>
            </w14:solidFill>
          </w14:textFill>
        </w:rPr>
        <w:t>植被</w:t>
      </w:r>
      <w:r>
        <w:rPr>
          <w:rFonts w:hint="default" w:ascii="Times New Roman" w:hAnsi="Times New Roman" w:eastAsia="宋体" w:cs="Times New Roman"/>
          <w:bCs/>
          <w:color w:val="000000" w:themeColor="text1"/>
          <w:highlight w:val="none"/>
          <w:lang w:eastAsia="zh-CN"/>
          <w14:textFill>
            <w14:solidFill>
              <w14:schemeClr w14:val="tx1"/>
            </w14:solidFill>
          </w14:textFill>
        </w:rPr>
        <w:t>的保护，</w:t>
      </w:r>
      <w:r>
        <w:rPr>
          <w:rFonts w:hint="default" w:ascii="Times New Roman" w:hAnsi="Times New Roman" w:eastAsia="宋体" w:cs="Times New Roman"/>
          <w:bCs/>
          <w:color w:val="000000" w:themeColor="text1"/>
          <w:highlight w:val="none"/>
          <w14:textFill>
            <w14:solidFill>
              <w14:schemeClr w14:val="tx1"/>
            </w14:solidFill>
          </w14:textFill>
        </w:rPr>
        <w:t>注意因地制宜和加强管理</w:t>
      </w:r>
      <w:r>
        <w:rPr>
          <w:rFonts w:hint="default" w:ascii="Times New Roman" w:hAnsi="Times New Roman" w:eastAsia="宋体" w:cs="Times New Roman"/>
          <w:bCs/>
          <w:color w:val="000000" w:themeColor="text1"/>
          <w:highlight w:val="none"/>
          <w:lang w:eastAsia="zh-CN"/>
          <w14:textFill>
            <w14:solidFill>
              <w14:schemeClr w14:val="tx1"/>
            </w14:solidFill>
          </w14:textFill>
        </w:rPr>
        <w:t>。</w:t>
      </w:r>
    </w:p>
    <w:p>
      <w:pPr>
        <w:pStyle w:val="13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2）对其它生态服务功能的影响</w:t>
      </w:r>
    </w:p>
    <w:p>
      <w:pPr>
        <w:pStyle w:val="13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评价区内陆生生态资源除具有防止水土流失和水源涵养功能外，还具有保育土壤功能、净化大气环境、固碳释放以及积累营养物质等多种生态服务功能。其中保育土壤主要是指森林中活地被物和凋落物层层截留降水，降低水滴对表土的冲击和地表径流的侵蚀作用；同时林木根系固持土壤，防止土壤崩塌泻溜，减少土壤肥力损失以及改善土壤结构的功能，这就要求施工和</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试采期</w:t>
      </w:r>
      <w:r>
        <w:rPr>
          <w:rFonts w:hint="default" w:ascii="Times New Roman" w:hAnsi="Times New Roman" w:eastAsia="宋体" w:cs="Times New Roman"/>
          <w:b w:val="0"/>
          <w:bCs/>
          <w:color w:val="000000" w:themeColor="text1"/>
          <w:sz w:val="24"/>
          <w:highlight w:val="none"/>
          <w14:textFill>
            <w14:solidFill>
              <w14:schemeClr w14:val="tx1"/>
            </w14:solidFill>
          </w14:textFill>
        </w:rPr>
        <w:t>间的闲置土地及裸地应及时种植植被，以减少土壤养分的流失。本项目建设</w:t>
      </w:r>
      <w:r>
        <w:rPr>
          <w:rFonts w:hint="default" w:ascii="Times New Roman" w:hAnsi="Times New Roman" w:cs="Times New Roman"/>
          <w:b w:val="0"/>
          <w:bCs/>
          <w:color w:val="000000" w:themeColor="text1"/>
          <w:sz w:val="24"/>
          <w:highlight w:val="none"/>
          <w:lang w:eastAsia="zh-CN"/>
          <w14:textFill>
            <w14:solidFill>
              <w14:schemeClr w14:val="tx1"/>
            </w14:solidFill>
          </w14:textFill>
        </w:rPr>
        <w:t>未</w:t>
      </w:r>
      <w:r>
        <w:rPr>
          <w:rFonts w:hint="default" w:ascii="Times New Roman" w:hAnsi="Times New Roman" w:eastAsia="宋体" w:cs="Times New Roman"/>
          <w:b w:val="0"/>
          <w:bCs/>
          <w:color w:val="000000" w:themeColor="text1"/>
          <w:sz w:val="24"/>
          <w:highlight w:val="none"/>
          <w14:textFill>
            <w14:solidFill>
              <w14:schemeClr w14:val="tx1"/>
            </w14:solidFill>
          </w14:textFill>
        </w:rPr>
        <w:t>占用自然生态系统，对评价区内自然生态系统肩负的维持生物多样性、净化空气、调节小气候等生态服务功能的影响</w:t>
      </w:r>
      <w:r>
        <w:rPr>
          <w:rFonts w:hint="default" w:ascii="Times New Roman" w:hAnsi="Times New Roman" w:cs="Times New Roman"/>
          <w:b w:val="0"/>
          <w:bCs/>
          <w:color w:val="000000" w:themeColor="text1"/>
          <w:sz w:val="24"/>
          <w:highlight w:val="none"/>
          <w:lang w:eastAsia="zh-CN"/>
          <w14:textFill>
            <w14:solidFill>
              <w14:schemeClr w14:val="tx1"/>
            </w14:solidFill>
          </w14:textFill>
        </w:rPr>
        <w:t>是</w:t>
      </w:r>
      <w:r>
        <w:rPr>
          <w:rFonts w:hint="default" w:ascii="Times New Roman" w:hAnsi="Times New Roman" w:eastAsia="宋体" w:cs="Times New Roman"/>
          <w:b w:val="0"/>
          <w:bCs/>
          <w:color w:val="000000" w:themeColor="text1"/>
          <w:sz w:val="24"/>
          <w:highlight w:val="none"/>
          <w14:textFill>
            <w14:solidFill>
              <w14:schemeClr w14:val="tx1"/>
            </w14:solidFill>
          </w14:textFill>
        </w:rPr>
        <w:t>非常间接和有限的。</w:t>
      </w:r>
    </w:p>
    <w:p>
      <w:pPr>
        <w:pStyle w:val="13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综上所述，本项目的建设对</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评价范围</w:t>
      </w:r>
      <w:r>
        <w:rPr>
          <w:rFonts w:hint="default" w:ascii="Times New Roman" w:hAnsi="Times New Roman" w:eastAsia="宋体" w:cs="Times New Roman"/>
          <w:b w:val="0"/>
          <w:bCs/>
          <w:color w:val="000000" w:themeColor="text1"/>
          <w:sz w:val="24"/>
          <w:highlight w:val="none"/>
          <w14:textFill>
            <w14:solidFill>
              <w14:schemeClr w14:val="tx1"/>
            </w14:solidFill>
          </w14:textFill>
        </w:rPr>
        <w:t>生态环境会有一定的影响，但不会显著改变</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评价范围</w:t>
      </w:r>
      <w:r>
        <w:rPr>
          <w:rFonts w:hint="default" w:ascii="Times New Roman" w:hAnsi="Times New Roman" w:eastAsia="宋体" w:cs="Times New Roman"/>
          <w:b w:val="0"/>
          <w:bCs/>
          <w:color w:val="000000" w:themeColor="text1"/>
          <w:sz w:val="24"/>
          <w:highlight w:val="none"/>
          <w14:textFill>
            <w14:solidFill>
              <w14:schemeClr w14:val="tx1"/>
            </w14:solidFill>
          </w14:textFill>
        </w:rPr>
        <w:t>的植物物种多样性状况、植被组成类型、动物多样性和种群结构组成。项目建设对景观生态系统的影响范围有限，</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评价范围</w:t>
      </w:r>
      <w:r>
        <w:rPr>
          <w:rFonts w:hint="default" w:ascii="Times New Roman" w:hAnsi="Times New Roman" w:eastAsia="宋体" w:cs="Times New Roman"/>
          <w:b w:val="0"/>
          <w:bCs/>
          <w:color w:val="000000" w:themeColor="text1"/>
          <w:sz w:val="24"/>
          <w:highlight w:val="none"/>
          <w14:textFill>
            <w14:solidFill>
              <w14:schemeClr w14:val="tx1"/>
            </w14:solidFill>
          </w14:textFill>
        </w:rPr>
        <w:t>内各类拼块构成、廊道类型和基质特点、各类环境资源拼块优势度等景观格局和动态不会发生明显变化；森林生态系统、灌丛和草地生态系统和河流生态系统的稳定性和景观完整性没有显著影响。在采取植被恢复、水土流失防治措施、野生动植物保护等措施的情况下，本项目造成的生态影响可得到有效减缓，生态系统的稳定性尚好。</w:t>
      </w:r>
    </w:p>
    <w:p>
      <w:pPr>
        <w:keepNext w:val="0"/>
        <w:keepLines w:val="0"/>
        <w:pageBreakBefore w:val="0"/>
        <w:widowControl w:val="0"/>
        <w:tabs>
          <w:tab w:val="left" w:pos="1440"/>
        </w:tabs>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（8）</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对物种多样性的影响分析</w:t>
      </w:r>
    </w:p>
    <w:p>
      <w:pPr>
        <w:pStyle w:val="130"/>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项目占用的生态系统类型主要为</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耕地生态系统</w:t>
      </w:r>
      <w:r>
        <w:rPr>
          <w:rFonts w:hint="default" w:ascii="Times New Roman" w:hAnsi="Times New Roman" w:eastAsia="宋体" w:cs="Times New Roman"/>
          <w:b w:val="0"/>
          <w:bCs/>
          <w:color w:val="000000" w:themeColor="text1"/>
          <w:sz w:val="24"/>
          <w:highlight w:val="none"/>
          <w14:textFill>
            <w14:solidFill>
              <w14:schemeClr w14:val="tx1"/>
            </w14:solidFill>
          </w14:textFill>
        </w:rPr>
        <w:t>，面积为</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0.14</w:t>
      </w:r>
      <w:r>
        <w:rPr>
          <w:rFonts w:hint="default" w:ascii="Times New Roman" w:hAnsi="Times New Roman" w:eastAsia="宋体" w:cs="Times New Roman"/>
          <w:b w:val="0"/>
          <w:bCs/>
          <w:color w:val="000000" w:themeColor="text1"/>
          <w:sz w:val="24"/>
          <w:highlight w:val="none"/>
          <w14:textFill>
            <w14:solidFill>
              <w14:schemeClr w14:val="tx1"/>
            </w14:solidFill>
          </w14:textFill>
        </w:rPr>
        <w:t>hm</w:t>
      </w:r>
      <w:r>
        <w:rPr>
          <w:rFonts w:hint="default" w:ascii="Times New Roman" w:hAnsi="Times New Roman" w:eastAsia="宋体" w:cs="Times New Roman"/>
          <w:b w:val="0"/>
          <w:bCs/>
          <w:color w:val="000000" w:themeColor="text1"/>
          <w:sz w:val="24"/>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4"/>
          <w:highlight w:val="none"/>
          <w14:textFill>
            <w14:solidFill>
              <w14:schemeClr w14:val="tx1"/>
            </w14:solidFill>
          </w14:textFill>
        </w:rPr>
        <w:t>。项目</w:t>
      </w:r>
      <w:r>
        <w:rPr>
          <w:rFonts w:hint="default" w:ascii="Times New Roman" w:hAnsi="Times New Roman" w:cs="Times New Roman"/>
          <w:b w:val="0"/>
          <w:bCs/>
          <w:color w:val="000000" w:themeColor="text1"/>
          <w:sz w:val="24"/>
          <w:highlight w:val="none"/>
          <w:lang w:eastAsia="zh-CN"/>
          <w14:textFill>
            <w14:solidFill>
              <w14:schemeClr w14:val="tx1"/>
            </w14:solidFill>
          </w14:textFill>
        </w:rPr>
        <w:t>施工新增占地区将</w:t>
      </w:r>
      <w:r>
        <w:rPr>
          <w:rFonts w:hint="default" w:ascii="Times New Roman" w:hAnsi="Times New Roman" w:eastAsia="宋体" w:cs="Times New Roman"/>
          <w:b w:val="0"/>
          <w:bCs/>
          <w:color w:val="000000" w:themeColor="text1"/>
          <w:sz w:val="24"/>
          <w:highlight w:val="none"/>
          <w14:textFill>
            <w14:solidFill>
              <w14:schemeClr w14:val="tx1"/>
            </w14:solidFill>
          </w14:textFill>
        </w:rPr>
        <w:t>由原来的</w:t>
      </w:r>
      <w:r>
        <w:rPr>
          <w:rFonts w:hint="default" w:ascii="Times New Roman" w:hAnsi="Times New Roman" w:cs="Times New Roman"/>
          <w:b w:val="0"/>
          <w:bCs/>
          <w:color w:val="000000" w:themeColor="text1"/>
          <w:sz w:val="24"/>
          <w:highlight w:val="none"/>
          <w:lang w:eastAsia="zh-CN"/>
          <w14:textFill>
            <w14:solidFill>
              <w14:schemeClr w14:val="tx1"/>
            </w14:solidFill>
          </w14:textFill>
        </w:rPr>
        <w:t>耕地</w:t>
      </w:r>
      <w:r>
        <w:rPr>
          <w:rFonts w:hint="default" w:ascii="Times New Roman" w:hAnsi="Times New Roman" w:eastAsia="宋体" w:cs="Times New Roman"/>
          <w:b w:val="0"/>
          <w:bCs/>
          <w:color w:val="000000" w:themeColor="text1"/>
          <w:sz w:val="24"/>
          <w:highlight w:val="none"/>
          <w14:textFill>
            <w14:solidFill>
              <w14:schemeClr w14:val="tx1"/>
            </w14:solidFill>
          </w14:textFill>
        </w:rPr>
        <w:t>生态系统临时变为工矿用地生态系统，损失的只是占地期限内占地范围的生物量和生产力，</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不会产生时间或空间的累计作用，</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不会导致生境丧失、退化及破碎化、生态系 统退化、生物多样性下降等情况发生。</w:t>
      </w:r>
    </w:p>
    <w:p>
      <w:pPr>
        <w:keepNext w:val="0"/>
        <w:keepLines w:val="0"/>
        <w:pageBreakBefore w:val="0"/>
        <w:widowControl w:val="0"/>
        <w:kinsoku/>
        <w:wordWrap/>
        <w:overflowPunct/>
        <w:topLinePunct w:val="0"/>
        <w:autoSpaceDE/>
        <w:autoSpaceDN/>
        <w:bidi w:val="0"/>
        <w:adjustRightInd w:val="0"/>
        <w:snapToGrid w:val="0"/>
        <w:ind w:firstLine="480"/>
        <w:textAlignment w:val="auto"/>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9）</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对陆生野生动物的影响分析</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①施工占地</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项目占地类型主要为</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耕地</w:t>
      </w:r>
      <w:r>
        <w:rPr>
          <w:rFonts w:hint="default" w:ascii="Times New Roman" w:hAnsi="Times New Roman" w:eastAsia="宋体" w:cs="Times New Roman"/>
          <w:b w:val="0"/>
          <w:bCs/>
          <w:color w:val="000000" w:themeColor="text1"/>
          <w:sz w:val="24"/>
          <w:highlight w:val="none"/>
          <w14:textFill>
            <w14:solidFill>
              <w14:schemeClr w14:val="tx1"/>
            </w14:solidFill>
          </w14:textFill>
        </w:rPr>
        <w:t>。生活在这类土地的动物均为常见种，如鼠类等，施工占地等会改变周边小生境，对其生存环境有短暂影响，对于依赖</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耕地</w:t>
      </w:r>
      <w:r>
        <w:rPr>
          <w:rFonts w:hint="default" w:ascii="Times New Roman" w:hAnsi="Times New Roman" w:eastAsia="宋体" w:cs="Times New Roman"/>
          <w:b w:val="0"/>
          <w:bCs/>
          <w:color w:val="000000" w:themeColor="text1"/>
          <w:sz w:val="24"/>
          <w:highlight w:val="none"/>
          <w14:textFill>
            <w14:solidFill>
              <w14:schemeClr w14:val="tx1"/>
            </w14:solidFill>
          </w14:textFill>
        </w:rPr>
        <w:t>为栖息、活动、隐蔽场所的野生动物来说，其生境在某种程度上会受到一定的影响，但在非施工区也可以找到相同或相似生境，可迁移到合适生境中生活，对其生存不会造成威胁，项目退役后这类动物还可迁回。对于迁移能力弱的动物，因占地面积较少，损失只局限于少数个体，不会对种群数量产生影响。</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②施工人员非法捕猎</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由于施工人员进入，可能有非法捕猎，直接杀死动物、鸟类。可通过加强教育宣传来杜绝此类行为。</w:t>
      </w:r>
    </w:p>
    <w:p>
      <w:pPr>
        <w:adjustRightInd w:val="0"/>
        <w:snapToGrid w:val="0"/>
        <w:spacing w:line="360" w:lineRule="auto"/>
        <w:ind w:firstLine="480" w:firstLineChars="20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③施工活动</w:t>
      </w:r>
    </w:p>
    <w:p>
      <w:pPr>
        <w:ind w:firstLine="480"/>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项目施工可直接破坏一些分布在施工区域内动物的生存环境，如一些蛇类、蛙类和鼠类等的栖息洞穴；项目施工还可直接杀死一些生活在施工区域内的动物，这些动物主要是无迁移能力或迁移能力较弱的幼体及在施工时还栖息在洞穴内的部分蛇类、蛙类和鼠类等。由于施工区的范围有限，上述两种情况不会对动物组成和多度产生较大影响。项目施工对其它动物的影响主要还是间接影响，即施工噪声迫使绝大多数动物的成体通过迁移方式远离施工区，但当施工结束后，施工区域内或施工区附近的植被逐渐恢复，这些动物又会逐渐返回</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p>
    <w:p>
      <w:pPr>
        <w:ind w:firstLine="480"/>
        <w:rPr>
          <w:rFonts w:hint="default" w:ascii="Times New Roman" w:hAnsi="Times New Roman" w:eastAsia="宋体" w:cs="Times New Roman"/>
          <w:b w:val="0"/>
          <w:bCs/>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10）</w:t>
      </w:r>
      <w:r>
        <w:rPr>
          <w:rFonts w:hint="default" w:ascii="Times New Roman" w:hAnsi="Times New Roman" w:eastAsia="宋体" w:cs="Times New Roman"/>
          <w:b w:val="0"/>
          <w:bCs/>
          <w:color w:val="000000" w:themeColor="text1"/>
          <w:sz w:val="24"/>
          <w:highlight w:val="none"/>
          <w14:textFill>
            <w14:solidFill>
              <w14:schemeClr w14:val="tx1"/>
            </w14:solidFill>
          </w14:textFill>
        </w:rPr>
        <w:t>对重点保护野生动植物的影响分析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14:textFill>
            <w14:solidFill>
              <w14:schemeClr w14:val="tx1"/>
            </w14:solidFill>
          </w14:textFill>
        </w:rPr>
        <w:t>根据实地调查，在项目评价区内未发现国家和省级重点保护野生动植物。</w:t>
      </w: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因此，不会对其产生不良影响。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11）对天然林、公益林及生态红线影响分析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国家级公益林包括国家一级保护公益林和国家二级保护公益林。根据《国家级公益林管理办法》（林资发〔2013〕71号），第九条“严格控制勘查、开采矿藏和工程建设使用国家级公益林地。确需使用的，严格按照《建设项目使用林地审核审批管理办法》有关规定办理使用林地手续。涉及林木采伐的，按相关规定依法办理林木采伐手续。”第十二条“一级国家级公益林原则上不得开展生产经营活动，严禁打枝、采脂、割漆、剥树皮、掘根等行为”；第十三条“二级国家级公益林在不影响整体森林生态系统功能发挥的前提下，可以按照第十二条第三款相关技术规程的规定开展抚育和更新性质的采伐。在不破坏森林植被的前提下，可以合理利用其林地资源，适度开展林下种植养殖和森林游憩等非木质资源开发与利用，科学发展林下经济。”</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本</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项目占地</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范围</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不涉及天然林、公益林，</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且远离天然林，但土壤影响评价范围内涉及公益林，且项目生活营地紧邻公益林</w:t>
      </w:r>
      <w:r>
        <w:rPr>
          <w:rFonts w:hint="eastAsia"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综合考虑，项目对公益林</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主要间接影响因素如下：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1）对区域地下水水位影响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钻井过程中，如发生地下水漏失情况，可能导致周边分布的公益林植被吸水量降低，进而影响周边公益林植被生长。</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本项目为利旧既有老井进行开窗侧钻，开窗</w:t>
      </w:r>
      <w:r>
        <w:rPr>
          <w:rFonts w:hint="default" w:ascii="Times New Roman" w:hAnsi="Times New Roman" w:cs="Times New Roman"/>
          <w:bCs/>
          <w:color w:val="000000" w:themeColor="text1"/>
          <w:highlight w:val="none"/>
          <w14:textFill>
            <w14:solidFill>
              <w14:schemeClr w14:val="tx1"/>
            </w14:solidFill>
          </w14:textFill>
        </w:rPr>
        <w:t>井深</w:t>
      </w:r>
      <w:r>
        <w:rPr>
          <w:rFonts w:hint="default" w:ascii="Times New Roman" w:hAnsi="Times New Roman" w:cs="Times New Roman"/>
          <w:bCs/>
          <w:color w:val="000000" w:themeColor="text1"/>
          <w:highlight w:val="none"/>
          <w:lang w:val="en-US" w:eastAsia="zh-CN"/>
          <w14:textFill>
            <w14:solidFill>
              <w14:schemeClr w14:val="tx1"/>
            </w14:solidFill>
          </w14:textFill>
        </w:rPr>
        <w:t>为</w:t>
      </w:r>
      <w:r>
        <w:rPr>
          <w:rFonts w:hint="default" w:ascii="Times New Roman" w:hAnsi="Times New Roman" w:cs="Times New Roman"/>
          <w:bCs/>
          <w:color w:val="000000" w:themeColor="text1"/>
          <w:highlight w:val="none"/>
          <w14:textFill>
            <w14:solidFill>
              <w14:schemeClr w14:val="tx1"/>
            </w14:solidFill>
          </w14:textFill>
        </w:rPr>
        <w:t>4887m处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，不会涉及浅层地下水含水层钻井作业；且老井有导管保护，封绝了浅层地下水含水层，因此，本项目不会发生地下水漏失</w:t>
      </w:r>
      <w:r>
        <w:rPr>
          <w:rFonts w:hint="default" w:ascii="Times New Roman" w:hAnsi="Times New Roman" w:cs="Times New Roman"/>
          <w:color w:val="000000" w:themeColor="text1"/>
          <w:sz w:val="24"/>
          <w:highlight w:val="none"/>
          <w:lang w:val="en-US" w:eastAsia="zh-CN"/>
          <w14:textFill>
            <w14:solidFill>
              <w14:schemeClr w14:val="tx1"/>
            </w14:solidFill>
          </w14:textFill>
        </w:rPr>
        <w:t>情况</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，不会对区域地下水水位产生影响，也不会导致周边公益林植被吸水量降低。</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2）项目产排污对周边公益林影响分析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instrText xml:space="preserve"> = 1 \* GB3 \* MERGEFORMAT </w:instrTex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①</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项目产排污通过大气沉降对周边公益林影响分析</w:t>
      </w:r>
    </w:p>
    <w:p>
      <w:pPr>
        <w:pStyle w:val="27"/>
        <w:keepNext w:val="0"/>
        <w:keepLines w:val="0"/>
        <w:pageBreakBefore w:val="0"/>
        <w:kinsoku/>
        <w:wordWrap/>
        <w:overflowPunct/>
        <w:topLinePunct w:val="0"/>
        <w:autoSpaceDE/>
        <w:autoSpaceDN/>
        <w:bidi w:val="0"/>
        <w:adjustRightInd w:val="0"/>
        <w:snapToGrid w:val="0"/>
        <w:spacing w:line="360" w:lineRule="auto"/>
        <w:ind w:firstLine="480"/>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val="0"/>
          <w:color w:val="000000" w:themeColor="text1"/>
          <w:szCs w:val="24"/>
          <w:highlight w:val="none"/>
          <w:lang w:val="en-US" w:eastAsia="zh-CN"/>
          <w14:textFill>
            <w14:solidFill>
              <w14:schemeClr w14:val="tx1"/>
            </w14:solidFill>
          </w14:textFill>
        </w:rPr>
        <w:t>影响途径：</w:t>
      </w:r>
      <w:r>
        <w:rPr>
          <w:rFonts w:hint="default" w:ascii="Times New Roman" w:hAnsi="Times New Roman" w:cs="Times New Roman"/>
          <w:bCs/>
          <w:color w:val="000000" w:themeColor="text1"/>
          <w:szCs w:val="24"/>
          <w:highlight w:val="none"/>
          <w14:textFill>
            <w14:solidFill>
              <w14:schemeClr w14:val="tx1"/>
            </w14:solidFill>
          </w14:textFill>
        </w:rPr>
        <w:t>天然气开发过程中场地施工机械、柴油发电机</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等产生的</w:t>
      </w:r>
      <w:r>
        <w:rPr>
          <w:rFonts w:hint="default" w:ascii="Times New Roman" w:hAnsi="Times New Roman" w:cs="Times New Roman"/>
          <w:bCs/>
          <w:color w:val="000000" w:themeColor="text1"/>
          <w:szCs w:val="24"/>
          <w:highlight w:val="none"/>
          <w14:textFill>
            <w14:solidFill>
              <w14:schemeClr w14:val="tx1"/>
            </w14:solidFill>
          </w14:textFill>
        </w:rPr>
        <w:t>大气污染物</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如</w:t>
      </w:r>
      <w:r>
        <w:rPr>
          <w:rFonts w:hint="default" w:ascii="Times New Roman" w:hAnsi="Times New Roman" w:cs="Times New Roman"/>
          <w:bCs/>
          <w:color w:val="000000" w:themeColor="text1"/>
          <w:szCs w:val="24"/>
          <w:highlight w:val="none"/>
          <w14:textFill>
            <w14:solidFill>
              <w14:schemeClr w14:val="tx1"/>
            </w14:solidFill>
          </w14:textFill>
        </w:rPr>
        <w:t>SO</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、NOx、颗粒物及挥发性有机物等</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同时，事故、测试放喷时的燃烧废气中</w:t>
      </w:r>
      <w:r>
        <w:rPr>
          <w:rFonts w:hint="default" w:ascii="Times New Roman" w:hAnsi="Times New Roman" w:cs="Times New Roman"/>
          <w:bCs/>
          <w:color w:val="000000" w:themeColor="text1"/>
          <w:szCs w:val="24"/>
          <w:highlight w:val="none"/>
          <w14:textFill>
            <w14:solidFill>
              <w14:schemeClr w14:val="tx1"/>
            </w14:solidFill>
          </w14:textFill>
        </w:rPr>
        <w:t>有SO</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上述</w:t>
      </w:r>
      <w:r>
        <w:rPr>
          <w:rFonts w:hint="default" w:ascii="Times New Roman" w:hAnsi="Times New Roman" w:cs="Times New Roman"/>
          <w:bCs/>
          <w:color w:val="000000" w:themeColor="text1"/>
          <w:szCs w:val="24"/>
          <w:highlight w:val="none"/>
          <w14:textFill>
            <w14:solidFill>
              <w14:schemeClr w14:val="tx1"/>
            </w14:solidFill>
          </w14:textFill>
        </w:rPr>
        <w:t>大气污</w:t>
      </w:r>
      <w:r>
        <w:rPr>
          <w:rFonts w:hint="default" w:ascii="Times New Roman" w:hAnsi="Times New Roman" w:eastAsia="宋体" w:cs="Times New Roman"/>
          <w:bCs/>
          <w:color w:val="000000" w:themeColor="text1"/>
          <w:szCs w:val="24"/>
          <w:highlight w:val="none"/>
          <w14:textFill>
            <w14:solidFill>
              <w14:schemeClr w14:val="tx1"/>
            </w14:solidFill>
          </w14:textFill>
        </w:rPr>
        <w:t>染物</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对周边公益林植被的为：</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instrText xml:space="preserve"> = 1 \* roman \* MERGEFORMAT </w:instrTex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fldChar w:fldCharType="separate"/>
      </w:r>
      <w:r>
        <w:rPr>
          <w:rFonts w:hint="default" w:ascii="Times New Roman" w:hAnsi="Times New Roman" w:eastAsia="宋体" w:cs="Times New Roman"/>
          <w:bCs/>
          <w:color w:val="000000" w:themeColor="text1"/>
          <w:szCs w:val="24"/>
          <w:highlight w:val="none"/>
          <w14:textFill>
            <w14:solidFill>
              <w14:schemeClr w14:val="tx1"/>
            </w14:solidFill>
          </w14:textFill>
        </w:rPr>
        <w:t>i</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fldChar w:fldCharType="end"/>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针对SO</w:t>
      </w:r>
      <w:r>
        <w:rPr>
          <w:rFonts w:hint="default" w:ascii="Times New Roman" w:hAnsi="Times New Roman" w:eastAsia="宋体" w:cs="Times New Roman"/>
          <w:bCs/>
          <w:color w:val="000000" w:themeColor="text1"/>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Cs w:val="24"/>
          <w:highlight w:val="none"/>
          <w14:textFill>
            <w14:solidFill>
              <w14:schemeClr w14:val="tx1"/>
            </w14:solidFill>
          </w14:textFill>
        </w:rPr>
        <w:t>污染对植被产生的影响</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微观方面主要表现在改变了植被内部正常的生理机能。例如气孔张开和关闭速度的变化</w:t>
      </w:r>
      <w:r>
        <w:rPr>
          <w:rFonts w:hint="eastAsia"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酶的活性被破坏</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细胞质膜透性随SO</w:t>
      </w:r>
      <w:r>
        <w:rPr>
          <w:rFonts w:hint="default" w:ascii="Times New Roman" w:hAnsi="Times New Roman" w:eastAsia="宋体" w:cs="Times New Roman"/>
          <w:bCs/>
          <w:color w:val="000000" w:themeColor="text1"/>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Cs w:val="24"/>
          <w:highlight w:val="none"/>
          <w14:textFill>
            <w14:solidFill>
              <w14:schemeClr w14:val="tx1"/>
            </w14:solidFill>
          </w14:textFill>
        </w:rPr>
        <w:t>浓度和作用时间的不同发生相应的变化</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光合作用强度下降</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instrText xml:space="preserve"> = 2 \* roman \* MERGEFORMAT </w:instrTex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fldChar w:fldCharType="separate"/>
      </w:r>
      <w:r>
        <w:rPr>
          <w:rFonts w:hint="default" w:ascii="Times New Roman" w:hAnsi="Times New Roman" w:eastAsia="宋体" w:cs="Times New Roman"/>
          <w:bCs/>
          <w:color w:val="000000" w:themeColor="text1"/>
          <w:szCs w:val="24"/>
          <w:highlight w:val="none"/>
          <w14:textFill>
            <w14:solidFill>
              <w14:schemeClr w14:val="tx1"/>
            </w14:solidFill>
          </w14:textFill>
        </w:rPr>
        <w:t>ii</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fldChar w:fldCharType="end"/>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宏观方面表现在干扰了植被正常的生长发育</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使植物矮化、叶面积变小、授粉率下降及产量下降等现象发生</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从而使植物生物量下降</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由于不同植物对SO</w:t>
      </w:r>
      <w:r>
        <w:rPr>
          <w:rFonts w:hint="default" w:ascii="Times New Roman" w:hAnsi="Times New Roman" w:eastAsia="宋体" w:cs="Times New Roman"/>
          <w:bCs/>
          <w:color w:val="000000" w:themeColor="text1"/>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Cs w:val="24"/>
          <w:highlight w:val="none"/>
          <w14:textFill>
            <w14:solidFill>
              <w14:schemeClr w14:val="tx1"/>
            </w14:solidFill>
          </w14:textFill>
        </w:rPr>
        <w:t>污染的敏感性不同</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使植被群落的结构发生变化</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同时</w:t>
      </w:r>
      <w:r>
        <w:rPr>
          <w:rFonts w:hint="default" w:ascii="Times New Roman" w:hAnsi="Times New Roman" w:cs="Times New Roman"/>
          <w:bCs/>
          <w:color w:val="000000" w:themeColor="text1"/>
          <w:szCs w:val="24"/>
          <w:highlight w:val="none"/>
          <w14:textFill>
            <w14:solidFill>
              <w14:schemeClr w14:val="tx1"/>
            </w14:solidFill>
          </w14:textFill>
        </w:rPr>
        <w:t>SO</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、NOx</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通过大气沉降作用进入土壤环境，改变植被生长所需土壤理化条件和微生物环境，进而对植被生长产生影响。</w:t>
      </w:r>
    </w:p>
    <w:p>
      <w:pPr>
        <w:pStyle w:val="18"/>
        <w:keepNext w:val="0"/>
        <w:keepLines w:val="0"/>
        <w:pageBreakBefore w:val="0"/>
        <w:kinsoku/>
        <w:wordWrap/>
        <w:overflowPunct/>
        <w:topLinePunct w:val="0"/>
        <w:autoSpaceDE/>
        <w:autoSpaceDN/>
        <w:bidi w:val="0"/>
        <w:adjustRightInd w:val="0"/>
        <w:snapToGrid w:val="0"/>
        <w:spacing w:line="360" w:lineRule="auto"/>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影响结果分析：</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本项目在既有井场内进行建设，项目施工期时间短、工程量小，</w:t>
      </w:r>
      <w:r>
        <w:rPr>
          <w:rFonts w:hint="default" w:ascii="Times New Roman" w:hAnsi="Times New Roman" w:cs="Times New Roman"/>
          <w:bCs/>
          <w:color w:val="000000" w:themeColor="text1"/>
          <w:kern w:val="2"/>
          <w:sz w:val="24"/>
          <w:szCs w:val="24"/>
          <w:highlight w:val="none"/>
          <w:lang w:val="en-US" w:eastAsia="zh-CN" w:bidi="ar-SA"/>
          <w14:textFill>
            <w14:solidFill>
              <w14:schemeClr w14:val="tx1"/>
            </w14:solidFill>
          </w14:textFill>
        </w:rPr>
        <w:t>施工</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机械时间较短，因此，施工机械、柴油发电机等产生的大气污染物如SO</w:t>
      </w:r>
      <w:r>
        <w:rPr>
          <w:rFonts w:hint="default" w:ascii="Times New Roman" w:hAnsi="Times New Roman" w:eastAsia="宋体" w:cs="Times New Roman"/>
          <w:bCs/>
          <w:color w:val="000000" w:themeColor="text1"/>
          <w:kern w:val="2"/>
          <w:sz w:val="24"/>
          <w:szCs w:val="24"/>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NOx、颗粒物及挥发性有机物等的污染物产量较少，加之场地四周开阔，有利于污染物扩散，因此，上述施工机械、柴油发电机等燃烧废气对周边公益林的影响可能性较低；此外，虽然本项目为高含硫气井，事故及测试放喷时可能产生高浓度SO</w:t>
      </w:r>
      <w:r>
        <w:rPr>
          <w:rFonts w:hint="default" w:ascii="Times New Roman" w:hAnsi="Times New Roman" w:eastAsia="宋体" w:cs="Times New Roman"/>
          <w:bCs/>
          <w:color w:val="000000" w:themeColor="text1"/>
          <w:kern w:val="2"/>
          <w:sz w:val="24"/>
          <w:szCs w:val="24"/>
          <w:highlight w:val="none"/>
          <w:vertAlign w:val="subscript"/>
          <w:lang w:val="en-US" w:eastAsia="zh-CN" w:bidi="ar-SA"/>
          <w14:textFill>
            <w14:solidFill>
              <w14:schemeClr w14:val="tx1"/>
            </w14:solidFill>
          </w14:textFill>
        </w:rPr>
        <w:t>2</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但由于事故及测试放喷时间均较短，且通过专用的放喷管线将天然气引至放喷池进行点火放喷，一般为3小时，属短期排放，不会形成长期环境影响，结合后文土壤影响分析章节内容可知，通过对同类型项目的土壤类比监测结果分析，项目对周边的土壤环境影响较小，无土壤超标、酸化或碱化等现象。因此，本项目事故、测试放喷等对周边土壤影响甚微，也对周边公益林植被影响甚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instrText xml:space="preserve"> = 2 \* GB3 \* MERGEFORMAT </w:instrTex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②</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污染物发生地面漫流对周边公益林影响分析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污染途径：</w:t>
      </w:r>
      <w:r>
        <w:rPr>
          <w:rFonts w:hint="default" w:ascii="Times New Roman" w:hAnsi="Times New Roman" w:eastAsia="宋体" w:cs="Times New Roman"/>
          <w:bCs/>
          <w:color w:val="000000" w:themeColor="text1"/>
          <w:kern w:val="2"/>
          <w:sz w:val="24"/>
          <w:szCs w:val="24"/>
          <w:highlight w:val="none"/>
          <w:lang w:val="en-US" w:eastAsia="zh-CN" w:bidi="ar-SA"/>
          <w14:textFill>
            <w14:solidFill>
              <w14:schemeClr w14:val="tx1"/>
            </w14:solidFill>
          </w14:textFill>
        </w:rPr>
        <w:t>针对污染物漫流事故对周边公益林影响主要的事故类型为泥浆不落地装置区及泥浆循环系统、泥浆料台区、储备罐区、油罐区、柴油机组区、放喷池等区域，在事故情况和降雨情况下产生的废水及油类物质会发生地面漫流，进一步污染土壤。上述污染物质若发生漫流事故，导致污染物进入周边环境，特别是公益林植被分布的区域，将会改变土壤理化性质，影响植被生长，甚至导致植被死亡。</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影响结果分析：</w:t>
      </w:r>
      <w:r>
        <w:rPr>
          <w:rFonts w:hint="default" w:ascii="Times New Roman" w:hAnsi="Times New Roman" w:cs="Times New Roman"/>
          <w:bCs/>
          <w:color w:val="000000" w:themeColor="text1"/>
          <w:szCs w:val="24"/>
          <w:highlight w:val="none"/>
          <w14:textFill>
            <w14:solidFill>
              <w14:schemeClr w14:val="tx1"/>
            </w14:solidFill>
          </w14:textFill>
        </w:rPr>
        <w:t>建设单位对泥浆不落地装置区及泥浆循环系统、泥浆料台区、储备罐区、油罐区、柴油机组区均设置了防雨棚，废油暂存区、发电机均设在活动房内，方井周边、放喷池在雨天加盖篷布，避免暴雨引起废水、废油外溢形成地面漫流。并在废水收集罐周围设置0.</w:t>
      </w:r>
      <w:r>
        <w:rPr>
          <w:rFonts w:hint="eastAsia" w:cs="Times New Roman"/>
          <w:bCs/>
          <w:color w:val="000000" w:themeColor="text1"/>
          <w:szCs w:val="24"/>
          <w:highlight w:val="none"/>
          <w:lang w:val="en-US" w:eastAsia="zh-CN"/>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m高围堰，防止废水外溢；油罐区周围设置0.</w:t>
      </w:r>
      <w:r>
        <w:rPr>
          <w:rFonts w:hint="eastAsia" w:cs="Times New Roman"/>
          <w:bCs/>
          <w:color w:val="000000" w:themeColor="text1"/>
          <w:szCs w:val="24"/>
          <w:highlight w:val="none"/>
          <w:lang w:val="en-US" w:eastAsia="zh-CN"/>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m高围堰及集油池，防止</w:t>
      </w:r>
      <w:r>
        <w:rPr>
          <w:rFonts w:hint="default" w:ascii="Times New Roman" w:hAnsi="Times New Roman" w:cs="Times New Roman"/>
          <w:bCs/>
          <w:color w:val="000000" w:themeColor="text1"/>
          <w:szCs w:val="24"/>
          <w:highlight w:val="none"/>
          <w:lang w:eastAsia="zh-CN"/>
          <w14:textFill>
            <w14:solidFill>
              <w14:schemeClr w14:val="tx1"/>
            </w14:solidFill>
          </w14:textFill>
        </w:rPr>
        <w:t>泄漏</w:t>
      </w:r>
      <w:r>
        <w:rPr>
          <w:rFonts w:hint="default" w:ascii="Times New Roman" w:hAnsi="Times New Roman" w:cs="Times New Roman"/>
          <w:bCs/>
          <w:color w:val="000000" w:themeColor="text1"/>
          <w:szCs w:val="24"/>
          <w:highlight w:val="none"/>
          <w14:textFill>
            <w14:solidFill>
              <w14:schemeClr w14:val="tx1"/>
            </w14:solidFill>
          </w14:textFill>
        </w:rPr>
        <w:t>油料外溢；放喷池最低面墙设置不低于0.5m，避免雨水进入；井口作业区周边设置导流沟，将可能泄露的废水导流至集污坑；井场四周设置双环沟，外环沟与自然沟渠连接，便于导排场地外雨水等，内环沟用于收集井场内的雨水和可能产生的污水，汇入集污坑。通过以上措施全面防控事故废水和可能受污染的雨水发生地面漫流，进入土壤</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的可能性较低。</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同时结合项目所在地与周边公益林分布来看，项目周边公益林主要</w:t>
      </w:r>
      <w:r>
        <w:rPr>
          <w:rFonts w:hint="default" w:ascii="Times New Roman" w:hAnsi="Times New Roman" w:cs="Times New Roman"/>
          <w:color w:val="000000" w:themeColor="text1"/>
          <w:szCs w:val="21"/>
          <w:highlight w:val="none"/>
          <w14:textFill>
            <w14:solidFill>
              <w14:schemeClr w14:val="tx1"/>
            </w14:solidFill>
          </w14:textFill>
        </w:rPr>
        <w:t>分布于场地西侧</w:t>
      </w:r>
      <w:r>
        <w:rPr>
          <w:rFonts w:hint="default"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lang w:val="en-US" w:eastAsia="zh-CN"/>
          <w14:textFill>
            <w14:solidFill>
              <w14:schemeClr w14:val="tx1"/>
            </w14:solidFill>
          </w14:textFill>
        </w:rPr>
        <w:t>最近距离</w:t>
      </w:r>
      <w:r>
        <w:rPr>
          <w:rFonts w:hint="default" w:ascii="Times New Roman" w:hAnsi="Times New Roman" w:cs="Times New Roman"/>
          <w:color w:val="000000" w:themeColor="text1"/>
          <w:szCs w:val="21"/>
          <w:highlight w:val="none"/>
          <w14:textFill>
            <w14:solidFill>
              <w14:schemeClr w14:val="tx1"/>
            </w14:solidFill>
          </w14:textFill>
        </w:rPr>
        <w:t>约102m</w:t>
      </w:r>
      <w:r>
        <w:rPr>
          <w:rFonts w:hint="default"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w:t>
      </w:r>
      <w:r>
        <w:rPr>
          <w:rFonts w:hint="default" w:ascii="Times New Roman" w:hAnsi="Times New Roman" w:cs="Times New Roman"/>
          <w:color w:val="000000" w:themeColor="text1"/>
          <w:szCs w:val="21"/>
          <w:highlight w:val="none"/>
          <w:lang w:val="en-US" w:eastAsia="zh-CN"/>
          <w14:textFill>
            <w14:solidFill>
              <w14:schemeClr w14:val="tx1"/>
            </w14:solidFill>
          </w14:textFill>
        </w:rPr>
        <w:t>公益林</w:t>
      </w:r>
      <w:r>
        <w:rPr>
          <w:rFonts w:hint="default" w:ascii="Times New Roman" w:hAnsi="Times New Roman" w:cs="Times New Roman"/>
          <w:color w:val="000000" w:themeColor="text1"/>
          <w:szCs w:val="21"/>
          <w:highlight w:val="none"/>
          <w14:textFill>
            <w14:solidFill>
              <w14:schemeClr w14:val="tx1"/>
            </w14:solidFill>
          </w14:textFill>
        </w:rPr>
        <w:t>高程约825</w:t>
      </w:r>
      <w:r>
        <w:rPr>
          <w:rFonts w:hint="default"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830m之间，</w:t>
      </w:r>
      <w:r>
        <w:rPr>
          <w:rFonts w:hint="default" w:ascii="Times New Roman" w:hAnsi="Times New Roman" w:cs="Times New Roman"/>
          <w:color w:val="000000" w:themeColor="text1"/>
          <w:szCs w:val="21"/>
          <w:highlight w:val="none"/>
          <w:lang w:val="en-US" w:eastAsia="zh-CN"/>
          <w14:textFill>
            <w14:solidFill>
              <w14:schemeClr w14:val="tx1"/>
            </w14:solidFill>
          </w14:textFill>
        </w:rPr>
        <w:t>本项目井场所在区域位于其下游，高程约815~820之间，本项目</w:t>
      </w:r>
      <w:r>
        <w:rPr>
          <w:rFonts w:hint="default" w:ascii="Times New Roman" w:hAnsi="Times New Roman" w:cs="Times New Roman"/>
          <w:color w:val="000000" w:themeColor="text1"/>
          <w:szCs w:val="21"/>
          <w:highlight w:val="none"/>
          <w14:textFill>
            <w14:solidFill>
              <w14:schemeClr w14:val="tx1"/>
            </w14:solidFill>
          </w14:textFill>
        </w:rPr>
        <w:t>井场</w:t>
      </w:r>
      <w:r>
        <w:rPr>
          <w:rFonts w:hint="default" w:ascii="Times New Roman" w:hAnsi="Times New Roman" w:cs="Times New Roman"/>
          <w:color w:val="000000" w:themeColor="text1"/>
          <w:szCs w:val="21"/>
          <w:highlight w:val="none"/>
          <w:lang w:val="en-US" w:eastAsia="zh-CN"/>
          <w14:textFill>
            <w14:solidFill>
              <w14:schemeClr w14:val="tx1"/>
            </w14:solidFill>
          </w14:textFill>
        </w:rPr>
        <w:t>与公益林的</w:t>
      </w:r>
      <w:r>
        <w:rPr>
          <w:rFonts w:hint="default" w:ascii="Times New Roman" w:hAnsi="Times New Roman" w:cs="Times New Roman"/>
          <w:color w:val="000000" w:themeColor="text1"/>
          <w:szCs w:val="21"/>
          <w:highlight w:val="none"/>
          <w14:textFill>
            <w14:solidFill>
              <w14:schemeClr w14:val="tx1"/>
            </w14:solidFill>
          </w14:textFill>
        </w:rPr>
        <w:t>高差约5</w:t>
      </w:r>
      <w:r>
        <w:rPr>
          <w:rFonts w:hint="default"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15m（井场各设施高程低于公益林），若发生污染事故，</w:t>
      </w:r>
      <w:r>
        <w:rPr>
          <w:rFonts w:hint="default" w:ascii="Times New Roman" w:hAnsi="Times New Roman" w:cs="Times New Roman"/>
          <w:color w:val="000000" w:themeColor="text1"/>
          <w:szCs w:val="21"/>
          <w:highlight w:val="none"/>
          <w:lang w:val="en-US" w:eastAsia="zh-CN"/>
          <w14:textFill>
            <w14:solidFill>
              <w14:schemeClr w14:val="tx1"/>
            </w14:solidFill>
          </w14:textFill>
        </w:rPr>
        <w:t>各污染物不会逆流到公益林分布区域，因此，</w:t>
      </w:r>
      <w:r>
        <w:rPr>
          <w:rFonts w:hint="default" w:ascii="Times New Roman" w:hAnsi="Times New Roman" w:cs="Times New Roman"/>
          <w:color w:val="000000" w:themeColor="text1"/>
          <w:szCs w:val="21"/>
          <w:highlight w:val="none"/>
          <w14:textFill>
            <w14:solidFill>
              <w14:schemeClr w14:val="tx1"/>
            </w14:solidFill>
          </w14:textFill>
        </w:rPr>
        <w:t>不会</w:t>
      </w:r>
      <w:r>
        <w:rPr>
          <w:rFonts w:hint="default" w:ascii="Times New Roman" w:hAnsi="Times New Roman" w:cs="Times New Roman"/>
          <w:color w:val="000000" w:themeColor="text1"/>
          <w:szCs w:val="21"/>
          <w:highlight w:val="none"/>
          <w:lang w:val="en-US" w:eastAsia="zh-CN"/>
          <w14:textFill>
            <w14:solidFill>
              <w14:schemeClr w14:val="tx1"/>
            </w14:solidFill>
          </w14:textFill>
        </w:rPr>
        <w:t>污染其公益林分布土壤，也不会</w:t>
      </w:r>
      <w:r>
        <w:rPr>
          <w:rFonts w:hint="default" w:ascii="Times New Roman" w:hAnsi="Times New Roman" w:cs="Times New Roman"/>
          <w:color w:val="000000" w:themeColor="text1"/>
          <w:szCs w:val="21"/>
          <w:highlight w:val="none"/>
          <w14:textFill>
            <w14:solidFill>
              <w14:schemeClr w14:val="tx1"/>
            </w14:solidFill>
          </w14:textFill>
        </w:rPr>
        <w:t>对其产生影响</w:t>
      </w:r>
      <w:r>
        <w:rPr>
          <w:rFonts w:hint="default" w:ascii="Times New Roman" w:hAnsi="Times New Roman" w:cs="Times New Roman"/>
          <w:color w:val="000000" w:themeColor="text1"/>
          <w:szCs w:val="21"/>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instrText xml:space="preserve"> = 3 \* GB3 \* MERGEFORMAT </w:instrTex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③</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其他影响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但结合现场调查，本项目生活营地占地紧邻的公益林是评价区广泛分布的种类，植物区系组成成分不会发生变化，对公益林的结构、稳定性无明显影响。因此，项目施工前，需要①优化施工方案，严格控制施工作业面，必须避免超挖破坏周边公益林植被。②施工过程中，施工单位应加强防火知识宣传教育，增强员工和附近居民的防火意识，杜绝火灾的发生。</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综上所述，项目不直接占用公益林，无直接影响；项目对周边公益林的影响主要为间接影响，但综合分析，项目对其产生的间接影响较小，</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在</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项目施工前，需要优化施工方案，严格控制施工作业面，必须避免超挖破坏周边</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公益林</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植被</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施工过程中，施工单位应加强防火知识宣传教育，增强员工和附近居民的防火意识，杜绝火灾的发生。</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在采取上述措施后，项目不会对周边公益林产生实质影响。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同时，</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结合现场调查，本项目</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生活营地占地紧邻的公益林</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是评价区广泛分布的种类，植物区系组成成分不会发生变化，</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施工不会</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破坏区域生态系统的整体性，</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也不会</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降低区域林业生态系统的整体稳定性及生态功能</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w:t>
      </w: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对公益林的结构、稳定性无明显影响。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（12）项目实施可能导致外来物种造成生态危害的风险分析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工程施工和运行期间，导致外来物种入侵的途径只有在植被恢复阶段，如果盲目引进不经过筛选的物种，可能导致外来物种入侵情况的发生。本项目不占用乔灌草植被，仅生活区占用耕地植被，后期需要进行土地复垦。这就要求我们在项目施工和运行期间，加大宣传力度，对外来物种的危害以及传播途径向施工人员进行宣传；对现有的外来种，利用工程施工的机会，对有种子的植物要现场烧毁，以防种子扩散。</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257" w:name="_Toc120173151"/>
      <w:r>
        <w:rPr>
          <w:rFonts w:hint="default" w:ascii="Times New Roman" w:hAnsi="Times New Roman" w:cs="Times New Roman"/>
          <w:color w:val="000000" w:themeColor="text1"/>
          <w:highlight w:val="none"/>
          <w:lang w:eastAsia="zh-CN"/>
          <w14:textFill>
            <w14:solidFill>
              <w14:schemeClr w14:val="tx1"/>
            </w14:solidFill>
          </w14:textFill>
        </w:rPr>
        <w:t>施工期钻前工程环境影响分析</w:t>
      </w:r>
      <w:bookmarkEnd w:id="257"/>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1、大气环境影响分析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（1）废气源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钻前施工人员多为临时聘请的当地民工，租住在附近农户家中，钻前工程不设集中生活营区，无集中生活废气排放。</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工程大气污染物主要为施工粉尘、运输和作业车辆排放的汽车尾气，但属短期影响（钻前施工工期约60天）。粉尘主要源于材料运输、使用过程中的粉尘散落；修筑钻井场地和井场外道路的挖填方转运过程中的二次扬尘。</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（2）大气环境影响分析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施工对环境空气的影响主要是道路扬尘及燃油动力机械废气。扬尘主要来自施工现场运输车辆、筑路机械作业过程中扬起的灰尘。据经验数据，在风速为1.2m/s或2.4m/s下土方和灰土的装卸、运输、施工或现场施工以及石料运输时距离50</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150m处下风方向粉尘浓度为11.7～5.0mg/m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。项目所在区域的年平均风速为1.5m/s，风速较小，产生的扬尘量小。</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单位采取硬化进出口、冲洗、洒水等措施控制扬尘。对露天堆放河沙、石粉、水泥、灰浆、灰膏等易扬撒的物料予以覆盖，对开挖施工作业面（点）洒水降尘，临时表土堆场洒水、覆盖降尘，密闭运输渣土、砂石等易撒漏扬散物质。</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四川省《中华人民共和国大气污染防治法》实施办法（2018修订）相关要求，建设单位要加强对建设工地的监督检查，督促施工单位落实降尘、压尘和抑尘措施。钻前工程施工时间很短，完成后影响即可消失，无长期影响，通过采取降措施，对区域环境影响小。</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各类燃油动力机械在现场进行场地挖填、运输、施工等作业时，排放的废气中含CO和NOx等污染物，由于施工的燃油机械为间断施工，加之污染物排放量小，对环境空气的不利影响很小，施工结束后，影响将消失。</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综上所述，由于钻前工程废气产生量较少、施工期短，对当地环境空气影响较小</w:t>
      </w:r>
      <w:r>
        <w:rPr>
          <w:rFonts w:hint="default" w:ascii="Times New Roman" w:hAnsi="Times New Roman" w:cs="Times New Roman"/>
          <w:b/>
          <w:bCs/>
          <w:color w:val="000000" w:themeColor="text1"/>
          <w:highlight w:val="none"/>
          <w14:textFill>
            <w14:solidFill>
              <w14:schemeClr w14:val="tx1"/>
            </w14:solidFill>
          </w14:textFill>
        </w:rPr>
        <w:t>。</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bCs/>
          <w:color w:val="000000" w:themeColor="text1"/>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2、地表水环境影响分析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工程水环境的影响主要是生活污水和施工废水。生活污水来自施工人员，施工期间生活污水产生量小，钻前工程人员租住农户家，生活污水由当地农户旱厕收集后农用，对当地水环境的影响小。施工废水来自施工场地等施工过程遇雨产生的地表径流，径流雨水中夹带有悬浮物；井场基础建设产生的废水主要来自砂石骨料加工、混凝土拌和及养护等过程中，经隔油池沉淀处理后回用于洒水降尘。施工单位通过定期检查，减少油类物质对周边土壤的影响。采取上述措施后对区域地表水环境基本无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bCs/>
          <w:color w:val="000000" w:themeColor="text1"/>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3、地下水和土壤环境影响分析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钻前工程对地下水和土壤环境的影响主要是施工废水及原辅材料</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进入地下水和土壤环境，对其造成污染。钻前施工对沉淀池进行防渗，机具材料堆放于防渗垫上面，因此，采取上述措施后钻前工程对区域地下水和土壤环境基本无影响。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bCs/>
          <w:color w:val="000000" w:themeColor="text1"/>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4、固废影响分析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为利用P106-2井已建井场进行建设，钻前工程工程量小，时间短，工程弃土主要为井场设备基础施工产生的弃土，这些弃土用于集中堆放至井场东侧的表土堆场，表土用于后期生态恢复，综合利用。钻前工程产生其他的建筑废料和生活垃圾产生量较少，建筑垃圾统一收集清运至政府指定地点，生活垃圾收集后依托当地环卫部门处理，对环境影响小。</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 w:val="22"/>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5、声环境影响分析</w:t>
      </w:r>
    </w:p>
    <w:p>
      <w:pPr>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钻前工程施工噪声主要来自施工机械和运输车辆产生的噪声，施工噪声影响虽然是暂时的，但施工过程中采用的施工机械一般都具有噪声高、无规则等特点，如不加以控制，将会对施工区域周边环境产生一定的影响。</w:t>
      </w:r>
    </w:p>
    <w:p>
      <w:pPr>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（1）施工噪声预测模式</w:t>
      </w:r>
    </w:p>
    <w:p>
      <w:pPr>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施工噪声可近似视为点声源处理，根据点声源噪声衰减模式，估算出离声源不同距离处的噪声值，预测模式如下：</w:t>
      </w:r>
    </w:p>
    <w:p>
      <w:pPr>
        <w:widowControl/>
        <w:ind w:firstLine="480"/>
        <w:rPr>
          <w:rFonts w:hint="default" w:ascii="Times New Roman" w:hAnsi="Times New Roman" w:cs="Times New Roman"/>
          <w:color w:val="000000" w:themeColor="text1"/>
          <w:kern w:val="0"/>
          <w:highlight w:val="none"/>
          <w14:textFill>
            <w14:solidFill>
              <w14:schemeClr w14:val="tx1"/>
            </w14:solidFill>
          </w14:textFill>
        </w:rPr>
      </w:pPr>
      <m:oMathPara>
        <m:oMath>
          <m:sSub>
            <m:sSubPr>
              <m:ctrlPr>
                <w:rPr>
                  <w:rFonts w:hint="default" w:ascii="Cambria Math" w:hAnsi="Cambria Math" w:cs="Times New Roman"/>
                  <w:color w:val="000000" w:themeColor="text1"/>
                  <w:kern w:val="0"/>
                  <w:highlight w:val="none"/>
                  <w14:textFill>
                    <w14:solidFill>
                      <w14:schemeClr w14:val="tx1"/>
                    </w14:solidFill>
                  </w14:textFill>
                </w:rPr>
              </m:ctrlPr>
            </m:sSubPr>
            <m:e>
              <m:r>
                <m:rPr/>
                <w:rPr>
                  <w:rFonts w:hint="default" w:ascii="Cambria Math" w:hAnsi="Cambria Math" w:cs="Times New Roman"/>
                  <w:color w:val="000000" w:themeColor="text1"/>
                  <w:kern w:val="0"/>
                  <w:highlight w:val="none"/>
                  <w14:textFill>
                    <w14:solidFill>
                      <w14:schemeClr w14:val="tx1"/>
                    </w14:solidFill>
                  </w14:textFill>
                </w:rPr>
                <m:t>L</m:t>
              </m:r>
              <m:ctrlPr>
                <w:rPr>
                  <w:rFonts w:hint="default" w:ascii="Cambria Math" w:hAnsi="Cambria Math" w:cs="Times New Roman"/>
                  <w:color w:val="000000" w:themeColor="text1"/>
                  <w:kern w:val="0"/>
                  <w:highlight w:val="none"/>
                  <w14:textFill>
                    <w14:solidFill>
                      <w14:schemeClr w14:val="tx1"/>
                    </w14:solidFill>
                  </w14:textFill>
                </w:rPr>
              </m:ctrlPr>
            </m:e>
            <m:sub>
              <m:r>
                <m:rPr/>
                <w:rPr>
                  <w:rFonts w:hint="default" w:ascii="Cambria Math" w:hAnsi="Cambria Math" w:cs="Times New Roman"/>
                  <w:color w:val="000000" w:themeColor="text1"/>
                  <w:kern w:val="0"/>
                  <w:highlight w:val="none"/>
                  <w14:textFill>
                    <w14:solidFill>
                      <w14:schemeClr w14:val="tx1"/>
                    </w14:solidFill>
                  </w14:textFill>
                </w:rPr>
                <m:t>A</m:t>
              </m:r>
              <m:ctrlPr>
                <w:rPr>
                  <w:rFonts w:hint="default" w:ascii="Cambria Math" w:hAnsi="Cambria Math" w:cs="Times New Roman"/>
                  <w:color w:val="000000" w:themeColor="text1"/>
                  <w:kern w:val="0"/>
                  <w:highlight w:val="none"/>
                  <w14:textFill>
                    <w14:solidFill>
                      <w14:schemeClr w14:val="tx1"/>
                    </w14:solidFill>
                  </w14:textFill>
                </w:rPr>
              </m:ctrlPr>
            </m:sub>
          </m:sSub>
          <m:r>
            <m:rPr>
              <m:sty m:val="p"/>
            </m:rPr>
            <w:rPr>
              <w:rFonts w:hint="default" w:ascii="Cambria Math" w:hAnsi="Cambria Math" w:cs="Times New Roman"/>
              <w:color w:val="000000" w:themeColor="text1"/>
              <w:kern w:val="0"/>
              <w:highlight w:val="none"/>
              <w14:textFill>
                <w14:solidFill>
                  <w14:schemeClr w14:val="tx1"/>
                </w14:solidFill>
              </w14:textFill>
            </w:rPr>
            <m:t>（</m:t>
          </m:r>
          <m:r>
            <m:rPr/>
            <w:rPr>
              <w:rFonts w:hint="default" w:ascii="Cambria Math" w:hAnsi="Cambria Math" w:cs="Times New Roman"/>
              <w:color w:val="000000" w:themeColor="text1"/>
              <w:kern w:val="0"/>
              <w:highlight w:val="none"/>
              <w14:textFill>
                <w14:solidFill>
                  <w14:schemeClr w14:val="tx1"/>
                </w14:solidFill>
              </w14:textFill>
            </w:rPr>
            <m:t>r</m:t>
          </m:r>
          <m:r>
            <m:rPr>
              <m:sty m:val="p"/>
            </m:rPr>
            <w:rPr>
              <w:rFonts w:hint="default" w:ascii="Cambria Math" w:hAnsi="Cambria Math" w:cs="Times New Roman"/>
              <w:color w:val="000000" w:themeColor="text1"/>
              <w:kern w:val="0"/>
              <w:highlight w:val="none"/>
              <w14:textFill>
                <w14:solidFill>
                  <w14:schemeClr w14:val="tx1"/>
                </w14:solidFill>
              </w14:textFill>
            </w:rPr>
            <m:t>）=</m:t>
          </m:r>
          <m:sSub>
            <m:sSubPr>
              <m:ctrlPr>
                <w:rPr>
                  <w:rFonts w:hint="default" w:ascii="Cambria Math" w:hAnsi="Cambria Math" w:cs="Times New Roman"/>
                  <w:color w:val="000000" w:themeColor="text1"/>
                  <w:kern w:val="0"/>
                  <w:highlight w:val="none"/>
                  <w14:textFill>
                    <w14:solidFill>
                      <w14:schemeClr w14:val="tx1"/>
                    </w14:solidFill>
                  </w14:textFill>
                </w:rPr>
              </m:ctrlPr>
            </m:sSubPr>
            <m:e>
              <m:r>
                <m:rPr/>
                <w:rPr>
                  <w:rFonts w:hint="default" w:ascii="Cambria Math" w:hAnsi="Cambria Math" w:cs="Times New Roman"/>
                  <w:color w:val="000000" w:themeColor="text1"/>
                  <w:kern w:val="0"/>
                  <w:highlight w:val="none"/>
                  <w14:textFill>
                    <w14:solidFill>
                      <w14:schemeClr w14:val="tx1"/>
                    </w14:solidFill>
                  </w14:textFill>
                </w:rPr>
                <m:t>L</m:t>
              </m:r>
              <m:ctrlPr>
                <w:rPr>
                  <w:rFonts w:hint="default" w:ascii="Cambria Math" w:hAnsi="Cambria Math" w:cs="Times New Roman"/>
                  <w:color w:val="000000" w:themeColor="text1"/>
                  <w:kern w:val="0"/>
                  <w:highlight w:val="none"/>
                  <w14:textFill>
                    <w14:solidFill>
                      <w14:schemeClr w14:val="tx1"/>
                    </w14:solidFill>
                  </w14:textFill>
                </w:rPr>
              </m:ctrlPr>
            </m:e>
            <m:sub>
              <m:r>
                <m:rPr/>
                <w:rPr>
                  <w:rFonts w:hint="default" w:ascii="Cambria Math" w:hAnsi="Cambria Math" w:cs="Times New Roman"/>
                  <w:color w:val="000000" w:themeColor="text1"/>
                  <w:kern w:val="0"/>
                  <w:highlight w:val="none"/>
                  <w14:textFill>
                    <w14:solidFill>
                      <w14:schemeClr w14:val="tx1"/>
                    </w14:solidFill>
                  </w14:textFill>
                </w:rPr>
                <m:t>A</m:t>
              </m:r>
              <m:ctrlPr>
                <w:rPr>
                  <w:rFonts w:hint="default" w:ascii="Cambria Math" w:hAnsi="Cambria Math" w:cs="Times New Roman"/>
                  <w:color w:val="000000" w:themeColor="text1"/>
                  <w:kern w:val="0"/>
                  <w:highlight w:val="none"/>
                  <w14:textFill>
                    <w14:solidFill>
                      <w14:schemeClr w14:val="tx1"/>
                    </w14:solidFill>
                  </w14:textFill>
                </w:rPr>
              </m:ctrlPr>
            </m:sub>
          </m:sSub>
          <m:r>
            <m:rPr>
              <m:sty m:val="p"/>
            </m:rPr>
            <w:rPr>
              <w:rFonts w:hint="default" w:ascii="Cambria Math" w:hAnsi="Cambria Math" w:cs="Times New Roman"/>
              <w:color w:val="000000" w:themeColor="text1"/>
              <w:kern w:val="0"/>
              <w:highlight w:val="none"/>
              <w14:textFill>
                <w14:solidFill>
                  <w14:schemeClr w14:val="tx1"/>
                </w14:solidFill>
              </w14:textFill>
            </w:rPr>
            <m:t>（</m:t>
          </m:r>
          <m:r>
            <m:rPr/>
            <w:rPr>
              <w:rFonts w:hint="default" w:ascii="Cambria Math" w:hAnsi="Cambria Math" w:cs="Times New Roman"/>
              <w:color w:val="000000" w:themeColor="text1"/>
              <w:kern w:val="0"/>
              <w:highlight w:val="none"/>
              <w14:textFill>
                <w14:solidFill>
                  <w14:schemeClr w14:val="tx1"/>
                </w14:solidFill>
              </w14:textFill>
            </w:rPr>
            <m:t>ro</m:t>
          </m:r>
          <m:r>
            <m:rPr>
              <m:sty m:val="p"/>
            </m:rPr>
            <w:rPr>
              <w:rFonts w:hint="default" w:ascii="Cambria Math" w:hAnsi="Cambria Math" w:cs="Times New Roman"/>
              <w:color w:val="000000" w:themeColor="text1"/>
              <w:kern w:val="0"/>
              <w:highlight w:val="none"/>
              <w14:textFill>
                <w14:solidFill>
                  <w14:schemeClr w14:val="tx1"/>
                </w14:solidFill>
              </w14:textFill>
            </w:rPr>
            <m:t>）−20</m:t>
          </m:r>
          <m:sSub>
            <m:sSubPr>
              <m:ctrlPr>
                <w:rPr>
                  <w:rFonts w:hint="default" w:ascii="Cambria Math" w:hAnsi="Cambria Math" w:cs="Times New Roman"/>
                  <w:color w:val="000000" w:themeColor="text1"/>
                  <w:kern w:val="0"/>
                  <w:highlight w:val="none"/>
                  <w14:textFill>
                    <w14:solidFill>
                      <w14:schemeClr w14:val="tx1"/>
                    </w14:solidFill>
                  </w14:textFill>
                </w:rPr>
              </m:ctrlPr>
            </m:sSubPr>
            <m:e>
              <m:r>
                <m:rPr/>
                <w:rPr>
                  <w:rFonts w:hint="default" w:ascii="Cambria Math" w:hAnsi="Cambria Math" w:cs="Times New Roman"/>
                  <w:color w:val="000000" w:themeColor="text1"/>
                  <w:kern w:val="0"/>
                  <w:highlight w:val="none"/>
                  <w14:textFill>
                    <w14:solidFill>
                      <w14:schemeClr w14:val="tx1"/>
                    </w14:solidFill>
                  </w14:textFill>
                </w:rPr>
                <m:t>L</m:t>
              </m:r>
              <m:ctrlPr>
                <w:rPr>
                  <w:rFonts w:hint="default" w:ascii="Cambria Math" w:hAnsi="Cambria Math" w:cs="Times New Roman"/>
                  <w:color w:val="000000" w:themeColor="text1"/>
                  <w:kern w:val="0"/>
                  <w:highlight w:val="none"/>
                  <w14:textFill>
                    <w14:solidFill>
                      <w14:schemeClr w14:val="tx1"/>
                    </w14:solidFill>
                  </w14:textFill>
                </w:rPr>
              </m:ctrlPr>
            </m:e>
            <m:sub>
              <m:r>
                <m:rPr/>
                <w:rPr>
                  <w:rFonts w:hint="default" w:ascii="Cambria Math" w:hAnsi="Cambria Math" w:cs="Times New Roman"/>
                  <w:color w:val="000000" w:themeColor="text1"/>
                  <w:kern w:val="0"/>
                  <w:highlight w:val="none"/>
                  <w14:textFill>
                    <w14:solidFill>
                      <w14:schemeClr w14:val="tx1"/>
                    </w14:solidFill>
                  </w14:textFill>
                </w:rPr>
                <m:t>g</m:t>
              </m:r>
              <m:ctrlPr>
                <w:rPr>
                  <w:rFonts w:hint="default" w:ascii="Cambria Math" w:hAnsi="Cambria Math" w:cs="Times New Roman"/>
                  <w:color w:val="000000" w:themeColor="text1"/>
                  <w:kern w:val="0"/>
                  <w:highlight w:val="none"/>
                  <w14:textFill>
                    <w14:solidFill>
                      <w14:schemeClr w14:val="tx1"/>
                    </w14:solidFill>
                  </w14:textFill>
                </w:rPr>
              </m:ctrlPr>
            </m:sub>
          </m:sSub>
          <m:d>
            <m:dPr>
              <m:ctrlPr>
                <w:rPr>
                  <w:rFonts w:hint="default" w:ascii="Cambria Math" w:hAnsi="Cambria Math" w:cs="Times New Roman"/>
                  <w:color w:val="000000" w:themeColor="text1"/>
                  <w:kern w:val="0"/>
                  <w:highlight w:val="none"/>
                  <w14:textFill>
                    <w14:solidFill>
                      <w14:schemeClr w14:val="tx1"/>
                    </w14:solidFill>
                  </w14:textFill>
                </w:rPr>
              </m:ctrlPr>
            </m:dPr>
            <m:e>
              <m:f>
                <m:fPr>
                  <m:type m:val="lin"/>
                  <m:ctrlPr>
                    <w:rPr>
                      <w:rFonts w:hint="default" w:ascii="Cambria Math" w:hAnsi="Cambria Math" w:cs="Times New Roman"/>
                      <w:color w:val="000000" w:themeColor="text1"/>
                      <w:kern w:val="0"/>
                      <w:highlight w:val="none"/>
                      <w14:textFill>
                        <w14:solidFill>
                          <w14:schemeClr w14:val="tx1"/>
                        </w14:solidFill>
                      </w14:textFill>
                    </w:rPr>
                  </m:ctrlPr>
                </m:fPr>
                <m:num>
                  <m:r>
                    <m:rPr/>
                    <w:rPr>
                      <w:rFonts w:hint="default" w:ascii="Cambria Math" w:hAnsi="Cambria Math" w:cs="Times New Roman"/>
                      <w:color w:val="000000" w:themeColor="text1"/>
                      <w:kern w:val="0"/>
                      <w:highlight w:val="none"/>
                      <w14:textFill>
                        <w14:solidFill>
                          <w14:schemeClr w14:val="tx1"/>
                        </w14:solidFill>
                      </w14:textFill>
                    </w:rPr>
                    <m:t>r</m:t>
                  </m:r>
                  <m:ctrlPr>
                    <w:rPr>
                      <w:rFonts w:hint="default" w:ascii="Cambria Math" w:hAnsi="Cambria Math" w:cs="Times New Roman"/>
                      <w:color w:val="000000" w:themeColor="text1"/>
                      <w:kern w:val="0"/>
                      <w:highlight w:val="none"/>
                      <w14:textFill>
                        <w14:solidFill>
                          <w14:schemeClr w14:val="tx1"/>
                        </w14:solidFill>
                      </w14:textFill>
                    </w:rPr>
                  </m:ctrlPr>
                </m:num>
                <m:den>
                  <m:sSub>
                    <m:sSubPr>
                      <m:ctrlPr>
                        <w:rPr>
                          <w:rFonts w:hint="default" w:ascii="Cambria Math" w:hAnsi="Cambria Math" w:cs="Times New Roman"/>
                          <w:color w:val="000000" w:themeColor="text1"/>
                          <w:kern w:val="0"/>
                          <w:highlight w:val="none"/>
                          <w14:textFill>
                            <w14:solidFill>
                              <w14:schemeClr w14:val="tx1"/>
                            </w14:solidFill>
                          </w14:textFill>
                        </w:rPr>
                      </m:ctrlPr>
                    </m:sSubPr>
                    <m:e>
                      <m:r>
                        <m:rPr/>
                        <w:rPr>
                          <w:rFonts w:hint="default" w:ascii="Cambria Math" w:hAnsi="Cambria Math" w:cs="Times New Roman"/>
                          <w:color w:val="000000" w:themeColor="text1"/>
                          <w:kern w:val="0"/>
                          <w:highlight w:val="none"/>
                          <w14:textFill>
                            <w14:solidFill>
                              <w14:schemeClr w14:val="tx1"/>
                            </w14:solidFill>
                          </w14:textFill>
                        </w:rPr>
                        <m:t>r</m:t>
                      </m:r>
                      <m:ctrlPr>
                        <w:rPr>
                          <w:rFonts w:hint="default" w:ascii="Cambria Math" w:hAnsi="Cambria Math" w:cs="Times New Roman"/>
                          <w:color w:val="000000" w:themeColor="text1"/>
                          <w:kern w:val="0"/>
                          <w:highlight w:val="none"/>
                          <w14:textFill>
                            <w14:solidFill>
                              <w14:schemeClr w14:val="tx1"/>
                            </w14:solidFill>
                          </w14:textFill>
                        </w:rPr>
                      </m:ctrlPr>
                    </m:e>
                    <m:sub>
                      <m:r>
                        <m:rPr/>
                        <w:rPr>
                          <w:rFonts w:hint="default" w:ascii="Cambria Math" w:hAnsi="Cambria Math" w:cs="Times New Roman"/>
                          <w:color w:val="000000" w:themeColor="text1"/>
                          <w:kern w:val="0"/>
                          <w:highlight w:val="none"/>
                          <w14:textFill>
                            <w14:solidFill>
                              <w14:schemeClr w14:val="tx1"/>
                            </w14:solidFill>
                          </w14:textFill>
                        </w:rPr>
                        <m:t>o</m:t>
                      </m:r>
                      <m:ctrlPr>
                        <w:rPr>
                          <w:rFonts w:hint="default" w:ascii="Cambria Math" w:hAnsi="Cambria Math" w:cs="Times New Roman"/>
                          <w:color w:val="000000" w:themeColor="text1"/>
                          <w:kern w:val="0"/>
                          <w:highlight w:val="none"/>
                          <w14:textFill>
                            <w14:solidFill>
                              <w14:schemeClr w14:val="tx1"/>
                            </w14:solidFill>
                          </w14:textFill>
                        </w:rPr>
                      </m:ctrlPr>
                    </m:sub>
                  </m:sSub>
                  <m:ctrlPr>
                    <w:rPr>
                      <w:rFonts w:hint="default" w:ascii="Cambria Math" w:hAnsi="Cambria Math" w:cs="Times New Roman"/>
                      <w:color w:val="000000" w:themeColor="text1"/>
                      <w:kern w:val="0"/>
                      <w:highlight w:val="none"/>
                      <w14:textFill>
                        <w14:solidFill>
                          <w14:schemeClr w14:val="tx1"/>
                        </w14:solidFill>
                      </w14:textFill>
                    </w:rPr>
                  </m:ctrlPr>
                </m:den>
              </m:f>
              <m:ctrlPr>
                <w:rPr>
                  <w:rFonts w:hint="default" w:ascii="Cambria Math" w:hAnsi="Cambria Math" w:cs="Times New Roman"/>
                  <w:color w:val="000000" w:themeColor="text1"/>
                  <w:kern w:val="0"/>
                  <w:highlight w:val="none"/>
                  <w14:textFill>
                    <w14:solidFill>
                      <w14:schemeClr w14:val="tx1"/>
                    </w14:solidFill>
                  </w14:textFill>
                </w:rPr>
              </m:ctrlPr>
            </m:e>
          </m:d>
          <m:r>
            <m:rPr>
              <m:sty m:val="p"/>
            </m:rPr>
            <w:rPr>
              <w:rFonts w:hint="default" w:ascii="Cambria Math" w:hAnsi="Cambria Math" w:cs="Times New Roman"/>
              <w:color w:val="000000" w:themeColor="text1"/>
              <w:kern w:val="0"/>
              <w:highlight w:val="none"/>
              <w14:textFill>
                <w14:solidFill>
                  <w14:schemeClr w14:val="tx1"/>
                </w14:solidFill>
              </w14:textFill>
            </w:rPr>
            <m:t>−</m:t>
          </m:r>
          <m:r>
            <m:rPr/>
            <w:rPr>
              <w:rFonts w:hint="default" w:ascii="Cambria Math" w:hAnsi="Cambria Math" w:cs="Times New Roman"/>
              <w:color w:val="000000" w:themeColor="text1"/>
              <w:kern w:val="0"/>
              <w:highlight w:val="none"/>
              <w14:textFill>
                <w14:solidFill>
                  <w14:schemeClr w14:val="tx1"/>
                </w14:solidFill>
              </w14:textFill>
            </w:rPr>
            <m:t>ΔL</m:t>
          </m:r>
        </m:oMath>
      </m:oMathPara>
    </w:p>
    <w:p>
      <w:pPr>
        <w:widowControl/>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式中：L</w:t>
      </w:r>
      <w:r>
        <w:rPr>
          <w:rFonts w:hint="default" w:ascii="Times New Roman" w:hAnsi="Times New Roman" w:cs="Times New Roman"/>
          <w:color w:val="000000" w:themeColor="text1"/>
          <w:kern w:val="0"/>
          <w:highlight w:val="none"/>
          <w:vertAlign w:val="subscript"/>
          <w14:textFill>
            <w14:solidFill>
              <w14:schemeClr w14:val="tx1"/>
            </w14:solidFill>
          </w14:textFill>
        </w:rPr>
        <w:t>A</w:t>
      </w:r>
      <w:r>
        <w:rPr>
          <w:rFonts w:hint="default" w:ascii="Times New Roman" w:hAnsi="Times New Roman" w:cs="Times New Roman"/>
          <w:color w:val="000000" w:themeColor="text1"/>
          <w:kern w:val="0"/>
          <w:highlight w:val="none"/>
          <w14:textFill>
            <w14:solidFill>
              <w14:schemeClr w14:val="tx1"/>
            </w14:solidFill>
          </w14:textFill>
        </w:rPr>
        <w:t>（r）—距声源r处的施工噪声预测值，dB（A）；</w:t>
      </w:r>
    </w:p>
    <w:p>
      <w:pPr>
        <w:widowControl/>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 xml:space="preserve">           LA（r0）—距声源r</w:t>
      </w:r>
      <w:r>
        <w:rPr>
          <w:rFonts w:hint="default" w:ascii="Times New Roman" w:hAnsi="Times New Roman" w:cs="Times New Roman"/>
          <w:color w:val="000000" w:themeColor="text1"/>
          <w:kern w:val="0"/>
          <w:highlight w:val="none"/>
          <w:vertAlign w:val="subscript"/>
          <w14:textFill>
            <w14:solidFill>
              <w14:schemeClr w14:val="tx1"/>
            </w14:solidFill>
          </w14:textFill>
        </w:rPr>
        <w:t>0</w:t>
      </w:r>
      <w:r>
        <w:rPr>
          <w:rFonts w:hint="default" w:ascii="Times New Roman" w:hAnsi="Times New Roman" w:cs="Times New Roman"/>
          <w:color w:val="000000" w:themeColor="text1"/>
          <w:kern w:val="0"/>
          <w:highlight w:val="none"/>
          <w14:textFill>
            <w14:solidFill>
              <w14:schemeClr w14:val="tx1"/>
            </w14:solidFill>
          </w14:textFill>
        </w:rPr>
        <w:t>处的参考声压级，dB（A）；</w:t>
      </w:r>
    </w:p>
    <w:p>
      <w:pPr>
        <w:widowControl/>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 xml:space="preserve">           r—预测点距声源的距离，m；</w:t>
      </w:r>
    </w:p>
    <w:p>
      <w:pPr>
        <w:widowControl/>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 xml:space="preserve">           r</w:t>
      </w:r>
      <w:r>
        <w:rPr>
          <w:rFonts w:hint="default" w:ascii="Times New Roman" w:hAnsi="Times New Roman" w:cs="Times New Roman"/>
          <w:color w:val="000000" w:themeColor="text1"/>
          <w:kern w:val="0"/>
          <w:highlight w:val="none"/>
          <w:vertAlign w:val="subscript"/>
          <w14:textFill>
            <w14:solidFill>
              <w14:schemeClr w14:val="tx1"/>
            </w14:solidFill>
          </w14:textFill>
        </w:rPr>
        <w:t>0</w:t>
      </w:r>
      <w:r>
        <w:rPr>
          <w:rFonts w:hint="default" w:ascii="Times New Roman" w:hAnsi="Times New Roman" w:cs="Times New Roman"/>
          <w:color w:val="000000" w:themeColor="text1"/>
          <w:kern w:val="0"/>
          <w:highlight w:val="none"/>
          <w14:textFill>
            <w14:solidFill>
              <w14:schemeClr w14:val="tx1"/>
            </w14:solidFill>
          </w14:textFill>
        </w:rPr>
        <w:t>—参考点距声源的距离，m。</w:t>
      </w:r>
    </w:p>
    <w:p>
      <w:pPr>
        <w:widowControl/>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 xml:space="preserve">          </w:t>
      </w:r>
      <w:r>
        <w:rPr>
          <w:rFonts w:hint="default" w:ascii="Times New Roman" w:hAnsi="Times New Roman" w:cs="Times New Roman"/>
          <w:color w:val="000000" w:themeColor="text1"/>
          <w:kern w:val="0"/>
          <w:highlight w:val="none"/>
          <w14:textFill>
            <w14:solidFill>
              <w14:schemeClr w14:val="tx1"/>
            </w14:solidFill>
          </w14:textFill>
        </w:rPr>
        <w:object>
          <v:shape id="_x0000_i1029" o:spt="75" type="#_x0000_t75" style="height:10.9pt;width:18.4pt;" o:ole="t" filled="f" coordsize="21600,21600">
            <v:path/>
            <v:fill on="f" focussize="0,0"/>
            <v:stroke/>
            <v:imagedata r:id="rId65" o:title=""/>
            <o:lock v:ext="edit" aspectratio="t"/>
            <w10:wrap type="none"/>
            <w10:anchorlock/>
          </v:shape>
          <o:OLEObject Type="Embed" ProgID="Equation.2" ShapeID="_x0000_i1029" DrawAspect="Content" ObjectID="_1468075729" r:id="rId64">
            <o:LockedField>false</o:LockedField>
          </o:OLEObject>
        </w:object>
      </w:r>
      <w:r>
        <w:rPr>
          <w:rFonts w:hint="default" w:ascii="Times New Roman" w:hAnsi="Times New Roman" w:cs="Times New Roman"/>
          <w:color w:val="000000" w:themeColor="text1"/>
          <w:kern w:val="0"/>
          <w:highlight w:val="none"/>
          <w14:textFill>
            <w14:solidFill>
              <w14:schemeClr w14:val="tx1"/>
            </w14:solidFill>
          </w14:textFill>
        </w:rPr>
        <w:t>—各种衰减量（除发散衰减外），dB（A）。室外噪声源</w:t>
      </w:r>
      <w:r>
        <w:rPr>
          <w:rFonts w:hint="default" w:ascii="Times New Roman" w:hAnsi="Times New Roman" w:cs="Times New Roman"/>
          <w:color w:val="000000" w:themeColor="text1"/>
          <w:kern w:val="0"/>
          <w:highlight w:val="none"/>
          <w14:textFill>
            <w14:solidFill>
              <w14:schemeClr w14:val="tx1"/>
            </w14:solidFill>
          </w14:textFill>
        </w:rPr>
        <w:object>
          <v:shape id="_x0000_i1030" o:spt="75" type="#_x0000_t75" style="height:10.9pt;width:18.4pt;" o:ole="t" filled="f" coordsize="21600,21600">
            <v:path/>
            <v:fill on="f" focussize="0,0"/>
            <v:stroke/>
            <v:imagedata r:id="rId65" o:title=""/>
            <o:lock v:ext="edit" aspectratio="t"/>
            <w10:wrap type="none"/>
            <w10:anchorlock/>
          </v:shape>
          <o:OLEObject Type="Embed" ProgID="Equation.2" ShapeID="_x0000_i1030" DrawAspect="Content" ObjectID="_1468075730" r:id="rId66">
            <o:LockedField>false</o:LockedField>
          </o:OLEObject>
        </w:object>
      </w:r>
      <w:r>
        <w:rPr>
          <w:rFonts w:hint="default" w:ascii="Times New Roman" w:hAnsi="Times New Roman" w:cs="Times New Roman"/>
          <w:color w:val="000000" w:themeColor="text1"/>
          <w:kern w:val="0"/>
          <w:highlight w:val="none"/>
          <w14:textFill>
            <w14:solidFill>
              <w14:schemeClr w14:val="tx1"/>
            </w14:solidFill>
          </w14:textFill>
        </w:rPr>
        <w:t>取为零。</w:t>
      </w:r>
    </w:p>
    <w:p>
      <w:pPr>
        <w:widowControl/>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根据工程设计，本项目仅白天施工，夜间不施工。根据噪声衰减模式，各施工机具声源在不同距离处的噪声影响值参见表5.1-1。</w:t>
      </w:r>
    </w:p>
    <w:p>
      <w:pPr>
        <w:spacing w:line="240" w:lineRule="auto"/>
        <w:ind w:firstLine="0" w:firstLineChars="0"/>
        <w:jc w:val="center"/>
        <w:textAlignment w:val="baseline"/>
        <w:rPr>
          <w:rFonts w:hint="default" w:ascii="Times New Roman" w:hAnsi="Times New Roman" w:eastAsia="黑体" w:cs="Times New Roman"/>
          <w:color w:val="000000" w:themeColor="text1"/>
          <w:sz w:val="21"/>
          <w:szCs w:val="21"/>
          <w:highlight w:val="none"/>
          <w14:textFill>
            <w14:solidFill>
              <w14:schemeClr w14:val="tx1"/>
            </w14:solidFill>
          </w14:textFill>
        </w:rPr>
      </w:pPr>
      <w:r>
        <w:rPr>
          <w:rFonts w:hint="default" w:ascii="Times New Roman" w:hAnsi="Times New Roman" w:eastAsia="黑体" w:cs="Times New Roman"/>
          <w:color w:val="000000" w:themeColor="text1"/>
          <w:sz w:val="21"/>
          <w:szCs w:val="21"/>
          <w:highlight w:val="none"/>
          <w14:textFill>
            <w14:solidFill>
              <w14:schemeClr w14:val="tx1"/>
            </w14:solidFill>
          </w14:textFill>
        </w:rPr>
        <w:t>表5.1-1  主要施工机械在不同距离的噪声值  单位：dB（A）</w:t>
      </w:r>
    </w:p>
    <w:tbl>
      <w:tblPr>
        <w:tblStyle w:val="52"/>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1081"/>
        <w:gridCol w:w="754"/>
        <w:gridCol w:w="800"/>
        <w:gridCol w:w="800"/>
        <w:gridCol w:w="805"/>
        <w:gridCol w:w="785"/>
        <w:gridCol w:w="785"/>
        <w:gridCol w:w="887"/>
        <w:gridCol w:w="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740"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t>序号</w:t>
            </w:r>
          </w:p>
        </w:tc>
        <w:tc>
          <w:tcPr>
            <w:tcW w:w="1117" w:type="dxa"/>
            <w:vMerge w:val="restart"/>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t>施工</w:t>
            </w:r>
          </w:p>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t>机具</w:t>
            </w:r>
          </w:p>
        </w:tc>
        <w:tc>
          <w:tcPr>
            <w:tcW w:w="6602" w:type="dxa"/>
            <w:gridSpan w:val="8"/>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t>预测距离（m）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p>
        </w:tc>
        <w:tc>
          <w:tcPr>
            <w:tcW w:w="772"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sz w:val="21"/>
                <w:szCs w:val="21"/>
                <w:highlight w:val="none"/>
                <w14:textFill>
                  <w14:solidFill>
                    <w14:schemeClr w14:val="tx1"/>
                  </w14:solidFill>
                </w14:textFill>
              </w:rPr>
              <w:t>10</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sz w:val="21"/>
                <w:szCs w:val="21"/>
                <w:highlight w:val="none"/>
                <w14:textFill>
                  <w14:solidFill>
                    <w14:schemeClr w14:val="tx1"/>
                  </w14:solidFill>
                </w14:textFill>
              </w:rPr>
              <w:t>30</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sz w:val="21"/>
                <w:szCs w:val="21"/>
                <w:highlight w:val="none"/>
                <w14:textFill>
                  <w14:solidFill>
                    <w14:schemeClr w14:val="tx1"/>
                  </w14:solidFill>
                </w14:textFill>
              </w:rPr>
              <w:t>50</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sz w:val="21"/>
                <w:szCs w:val="21"/>
                <w:highlight w:val="none"/>
                <w14:textFill>
                  <w14:solidFill>
                    <w14:schemeClr w14:val="tx1"/>
                  </w14:solidFill>
                </w14:textFill>
              </w:rPr>
              <w:t>100</w:t>
            </w:r>
          </w:p>
        </w:tc>
        <w:tc>
          <w:tcPr>
            <w:tcW w:w="79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sz w:val="21"/>
                <w:szCs w:val="21"/>
                <w:highlight w:val="none"/>
                <w14:textFill>
                  <w14:solidFill>
                    <w14:schemeClr w14:val="tx1"/>
                  </w14:solidFill>
                </w14:textFill>
              </w:rPr>
              <w:t>150</w:t>
            </w:r>
          </w:p>
        </w:tc>
        <w:tc>
          <w:tcPr>
            <w:tcW w:w="79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sz w:val="21"/>
                <w:szCs w:val="21"/>
                <w:highlight w:val="none"/>
                <w14:textFill>
                  <w14:solidFill>
                    <w14:schemeClr w14:val="tx1"/>
                  </w14:solidFill>
                </w14:textFill>
              </w:rPr>
              <w:t>200</w:t>
            </w:r>
          </w:p>
        </w:tc>
        <w:tc>
          <w:tcPr>
            <w:tcW w:w="906"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sz w:val="21"/>
                <w:szCs w:val="21"/>
                <w:highlight w:val="none"/>
                <w14:textFill>
                  <w14:solidFill>
                    <w14:schemeClr w14:val="tx1"/>
                  </w14:solidFill>
                </w14:textFill>
              </w:rPr>
              <w:t>250</w:t>
            </w:r>
          </w:p>
        </w:tc>
        <w:tc>
          <w:tcPr>
            <w:tcW w:w="866"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eastAsia="黑体" w:cs="Times New Roman"/>
                <w:b/>
                <w:color w:val="000000" w:themeColor="text1"/>
                <w:kern w:val="0"/>
                <w:sz w:val="21"/>
                <w:szCs w:val="21"/>
                <w:highlight w:val="none"/>
                <w14:textFill>
                  <w14:solidFill>
                    <w14:schemeClr w14:val="tx1"/>
                  </w14:solidFill>
                </w14:textFill>
              </w:rPr>
            </w:pPr>
            <w:r>
              <w:rPr>
                <w:rFonts w:hint="default" w:ascii="Times New Roman" w:hAnsi="Times New Roman" w:eastAsia="黑体" w:cs="Times New Roman"/>
                <w:b/>
                <w:color w:val="000000" w:themeColor="text1"/>
                <w:sz w:val="21"/>
                <w:szCs w:val="21"/>
                <w:highlight w:val="none"/>
                <w14:textFill>
                  <w14:solidFill>
                    <w14:schemeClr w14:val="tx1"/>
                  </w14:solidFill>
                </w14:textFill>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w:t>
            </w:r>
          </w:p>
        </w:tc>
        <w:tc>
          <w:tcPr>
            <w:tcW w:w="111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推土机</w:t>
            </w:r>
          </w:p>
        </w:tc>
        <w:tc>
          <w:tcPr>
            <w:tcW w:w="772"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79</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69</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65</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59</w:t>
            </w:r>
          </w:p>
        </w:tc>
        <w:tc>
          <w:tcPr>
            <w:tcW w:w="79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55</w:t>
            </w:r>
          </w:p>
        </w:tc>
        <w:tc>
          <w:tcPr>
            <w:tcW w:w="79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54</w:t>
            </w:r>
          </w:p>
        </w:tc>
        <w:tc>
          <w:tcPr>
            <w:tcW w:w="906"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51</w:t>
            </w:r>
          </w:p>
        </w:tc>
        <w:tc>
          <w:tcPr>
            <w:tcW w:w="866"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2</w:t>
            </w:r>
          </w:p>
        </w:tc>
        <w:tc>
          <w:tcPr>
            <w:tcW w:w="111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挖掘机</w:t>
            </w:r>
          </w:p>
        </w:tc>
        <w:tc>
          <w:tcPr>
            <w:tcW w:w="772"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78</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68</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64</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58</w:t>
            </w:r>
          </w:p>
        </w:tc>
        <w:tc>
          <w:tcPr>
            <w:tcW w:w="79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54</w:t>
            </w:r>
          </w:p>
        </w:tc>
        <w:tc>
          <w:tcPr>
            <w:tcW w:w="79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53</w:t>
            </w:r>
          </w:p>
        </w:tc>
        <w:tc>
          <w:tcPr>
            <w:tcW w:w="906"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w:t>
            </w:r>
          </w:p>
        </w:tc>
        <w:tc>
          <w:tcPr>
            <w:tcW w:w="866"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3</w:t>
            </w:r>
          </w:p>
        </w:tc>
        <w:tc>
          <w:tcPr>
            <w:tcW w:w="111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载重机车</w:t>
            </w:r>
          </w:p>
        </w:tc>
        <w:tc>
          <w:tcPr>
            <w:tcW w:w="772"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76</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66</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62</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56</w:t>
            </w:r>
          </w:p>
        </w:tc>
        <w:tc>
          <w:tcPr>
            <w:tcW w:w="79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52</w:t>
            </w:r>
          </w:p>
        </w:tc>
        <w:tc>
          <w:tcPr>
            <w:tcW w:w="79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51</w:t>
            </w:r>
          </w:p>
        </w:tc>
        <w:tc>
          <w:tcPr>
            <w:tcW w:w="906"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48</w:t>
            </w:r>
          </w:p>
        </w:tc>
        <w:tc>
          <w:tcPr>
            <w:tcW w:w="866"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4</w:t>
            </w:r>
          </w:p>
        </w:tc>
        <w:tc>
          <w:tcPr>
            <w:tcW w:w="1117"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空压机</w:t>
            </w:r>
          </w:p>
        </w:tc>
        <w:tc>
          <w:tcPr>
            <w:tcW w:w="772"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81</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71</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67</w:t>
            </w:r>
          </w:p>
        </w:tc>
        <w:tc>
          <w:tcPr>
            <w:tcW w:w="820"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61</w:t>
            </w:r>
          </w:p>
        </w:tc>
        <w:tc>
          <w:tcPr>
            <w:tcW w:w="79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57</w:t>
            </w:r>
          </w:p>
        </w:tc>
        <w:tc>
          <w:tcPr>
            <w:tcW w:w="79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55</w:t>
            </w:r>
          </w:p>
        </w:tc>
        <w:tc>
          <w:tcPr>
            <w:tcW w:w="906"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53</w:t>
            </w:r>
          </w:p>
        </w:tc>
        <w:tc>
          <w:tcPr>
            <w:tcW w:w="866"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52</w:t>
            </w:r>
          </w:p>
        </w:tc>
      </w:tr>
    </w:tbl>
    <w:p>
      <w:pPr>
        <w:widowControl/>
        <w:adjustRightInd/>
        <w:snapToGrid/>
        <w:spacing w:line="240" w:lineRule="auto"/>
        <w:ind w:firstLine="0" w:firstLineChars="0"/>
        <w:jc w:val="left"/>
        <w:rPr>
          <w:rFonts w:hint="default" w:ascii="Times New Roman" w:hAnsi="Times New Roman" w:cs="Times New Roman"/>
          <w:color w:val="000000" w:themeColor="text1"/>
          <w:sz w:val="21"/>
          <w:szCs w:val="20"/>
          <w:highlight w:val="none"/>
          <w:lang w:eastAsia="en-US"/>
          <w14:textFill>
            <w14:solidFill>
              <w14:schemeClr w14:val="tx1"/>
            </w14:solidFill>
          </w14:textFill>
        </w:rPr>
      </w:pPr>
    </w:p>
    <w:p>
      <w:pPr>
        <w:widowControl/>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根据预测结果，在距离施工机械约36m处噪声级低于70dB（A），即施工区边界外36m处可满足《建筑施工场界环境噪声排放标准》（GB12523-2011）。</w:t>
      </w:r>
    </w:p>
    <w:p>
      <w:pPr>
        <w:widowControl/>
        <w:ind w:firstLine="480"/>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（2）施工期噪声对敏感点的影响分析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按《声环境质量标准》（GB3096-2008）2类标准评价（昼间小于等于60分贝），昼间距离施工区约113m可满足标准要求，夜间不施工。</w:t>
      </w:r>
    </w:p>
    <w:p>
      <w:pPr>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kern w:val="0"/>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外环境关系调查，本项目井口300m范围内无居民点，同时钻前施工约20天，项目施工噪声对周边环境及居民点的影响时间是有限的；在工程在施工时，应选择合理的施工时间，白天施工时尽量避开居民午休时间，以此来降低噪声对附近居民的影响，同时应加强与周边居民点的沟通，取得居民谅解</w:t>
      </w:r>
      <w:r>
        <w:rPr>
          <w:rFonts w:hint="default" w:ascii="Times New Roman" w:hAnsi="Times New Roman" w:cs="Times New Roman"/>
          <w:color w:val="000000" w:themeColor="text1"/>
          <w:kern w:val="0"/>
          <w:highlight w:val="none"/>
          <w14:textFill>
            <w14:solidFill>
              <w14:schemeClr w14:val="tx1"/>
            </w14:solidFill>
          </w14:textFill>
        </w:rPr>
        <w:t>。</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258" w:name="_Toc120173152"/>
      <w:r>
        <w:rPr>
          <w:rFonts w:hint="default" w:ascii="Times New Roman" w:hAnsi="Times New Roman" w:cs="Times New Roman"/>
          <w:color w:val="000000" w:themeColor="text1"/>
          <w:highlight w:val="none"/>
          <w:lang w:eastAsia="zh-CN"/>
          <w14:textFill>
            <w14:solidFill>
              <w14:schemeClr w14:val="tx1"/>
            </w14:solidFill>
          </w14:textFill>
        </w:rPr>
        <w:t>施工期钻井工程环境影响分析</w:t>
      </w:r>
      <w:bookmarkEnd w:id="258"/>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bCs/>
          <w:color w:val="000000" w:themeColor="text1"/>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1、大气环境影响分析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本项目钻井阶段废气主要为备用柴油机/发电机废气、事故放喷废气、无组织挥发性废气。</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（1）备用柴油机/发电机废气</w:t>
      </w:r>
      <w:r>
        <w:rPr>
          <w:rFonts w:hint="default" w:ascii="Times New Roman" w:hAnsi="Times New Roman" w:cs="Times New Roman"/>
          <w:b/>
          <w:color w:val="000000" w:themeColor="text1"/>
          <w:szCs w:val="24"/>
          <w:highlight w:val="none"/>
          <w14:textFill>
            <w14:solidFill>
              <w14:schemeClr w14:val="tx1"/>
            </w14:solidFill>
          </w14:textFill>
        </w:rPr>
        <w:t>影响分析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钻井期间，一般电力由当地电网提供，钻井作业期间停电等紧急情况下柴油发电机组废气主要污染物为NOx、SO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颗粒物，虽然柴油机自带排气筒距离地面约6m，未达到15m，但由于在设备上升高排气筒技术上难实行，设备自身是环保达标设备，采用设备自带排气筒排气影响范围小，影响时间短，且根据2017.1.12环保部长《关于GB16297-1996 的适用范围的回复》，对“</w:t>
      </w:r>
      <w:r>
        <w:rPr>
          <w:rFonts w:hint="default" w:ascii="Times New Roman" w:hAnsi="Times New Roman" w:cs="Times New Roman"/>
          <w:bCs/>
          <w:color w:val="000000" w:themeColor="text1"/>
          <w:highlight w:val="none"/>
          <w14:textFill>
            <w14:solidFill>
              <w14:schemeClr w14:val="tx1"/>
            </w14:solidFill>
          </w14:textFill>
        </w:rPr>
        <w:t>固定式柴油发电机排气筒高度和排放速率暂不作要求</w:t>
      </w:r>
      <w:r>
        <w:rPr>
          <w:rFonts w:hint="default" w:ascii="Times New Roman" w:hAnsi="Times New Roman" w:cs="Times New Roman"/>
          <w:color w:val="000000" w:themeColor="text1"/>
          <w:highlight w:val="none"/>
          <w14:textFill>
            <w14:solidFill>
              <w14:schemeClr w14:val="tx1"/>
            </w14:solidFill>
          </w14:textFill>
        </w:rPr>
        <w:t>”，因此可不新增措施。</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本工程钻井期柴油动力机和发电机废气排放量为7760m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/h，NOx排放速率约为1.17kg/h，SO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排放速率约为0.008kg/h，颗粒物排放速率约为0.33kg/h，属连续排放。</w:t>
      </w:r>
      <w:r>
        <w:rPr>
          <w:rFonts w:hint="default" w:ascii="Times New Roman" w:hAnsi="Times New Roman" w:cs="Times New Roman"/>
          <w:color w:val="000000" w:themeColor="text1"/>
          <w:highlight w:val="none"/>
          <w:lang w:eastAsia="zh-CN"/>
          <w14:textFill>
            <w14:solidFill>
              <w14:schemeClr w14:val="tx1"/>
            </w14:solidFill>
          </w14:textFill>
        </w:rPr>
        <w:t>燃烧废气</w:t>
      </w:r>
      <w:r>
        <w:rPr>
          <w:rFonts w:hint="default" w:ascii="Times New Roman" w:hAnsi="Times New Roman" w:cs="Times New Roman"/>
          <w:color w:val="000000" w:themeColor="text1"/>
          <w:highlight w:val="none"/>
          <w14:textFill>
            <w14:solidFill>
              <w14:schemeClr w14:val="tx1"/>
            </w14:solidFill>
          </w14:textFill>
        </w:rPr>
        <w:t>释放到环境空气中后将很快被稀释，且其影响的持续时间较短，影响范围仅局限于钻井架周围较小范围内。钻井作业的柴油机为流动废气污染源，不会同时同地进行，所以本项目钻井期柴油机烟气对大气环境影响是有限的，能为环境所接受。因此，实际上钻井过程中，柴油机废气对环境空气的影响很小，不会改变敏感点环境功能，钻井期间的大气污染物将随钻井工程的结束而消除。</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（2）事故放喷废气</w:t>
      </w:r>
      <w:r>
        <w:rPr>
          <w:rFonts w:hint="default" w:ascii="Times New Roman" w:hAnsi="Times New Roman" w:cs="Times New Roman"/>
          <w:b/>
          <w:color w:val="000000" w:themeColor="text1"/>
          <w:szCs w:val="24"/>
          <w:highlight w:val="none"/>
          <w14:textFill>
            <w14:solidFill>
              <w14:schemeClr w14:val="tx1"/>
            </w14:solidFill>
          </w14:textFill>
        </w:rPr>
        <w:t>影响分析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事故放喷是由于地层高压异常导致的，在石油天然气行业是低概率事件。事故放喷主产物是含硫天然气燃烧后产生的CO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和SO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放喷前建设单位应对距离井口500m范围内的居民临时撤离，并建立警戒点进行24小时警戒，严禁居民靠近，以减轻放喷废气对这些居民的影响。同时由于测试放喷时间一般为3小时，属短期排放，不会形成长期环境影响，短期影响也可控制在周边居民健康安全限值以下，污染物排放随测试放喷的结束而停止，不会长期存在，不会影响区域环境空气功能区划。</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w:t>
      </w:r>
      <w:r>
        <w:rPr>
          <w:rFonts w:hint="default" w:ascii="Times New Roman" w:hAnsi="Times New Roman" w:cs="Times New Roman"/>
          <w:b/>
          <w:bCs/>
          <w:color w:val="000000" w:themeColor="text1"/>
          <w:highlight w:val="none"/>
          <w:lang w:val="en-US" w:eastAsia="zh-CN"/>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）无组织挥发性废气</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总之，钻井期间废气污染物排放量少，且排放时间短，对井场所在地大气环境影响甚微。</w:t>
      </w:r>
    </w:p>
    <w:p>
      <w:pPr>
        <w:ind w:firstLine="480"/>
        <w:rPr>
          <w:rFonts w:hint="default" w:ascii="Times New Roman" w:hAnsi="Times New Roman" w:eastAsia="黑体" w:cs="Times New Roman"/>
          <w:bCs/>
          <w:color w:val="000000" w:themeColor="text1"/>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2、地表水环境影响分析</w:t>
      </w:r>
    </w:p>
    <w:p>
      <w:pPr>
        <w:ind w:firstLine="48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（1）场地渗透、外溢对地表水环境影响分析</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本项目井口设置方井，用于收集钻井过程中散落的泥浆和污水，泥浆泵入泥浆罐回收利用，废水通过污水泵泵入泥浆不落地系统内处理回用。</w:t>
      </w:r>
      <w:r>
        <w:rPr>
          <w:rFonts w:hint="default" w:ascii="Times New Roman" w:hAnsi="Times New Roman" w:cs="Times New Roman"/>
          <w:bCs/>
          <w:color w:val="000000" w:themeColor="text1"/>
          <w:highlight w:val="none"/>
          <w14:textFill>
            <w14:solidFill>
              <w14:schemeClr w14:val="tx1"/>
            </w14:solidFill>
          </w14:textFill>
        </w:rPr>
        <w:t>钻井期生活污水经生态厕所收集后由密闭罐车定期拉运至周边生活污水处理厂处理；项目产生的钻井废水被贮存于井场泥浆不落地装置污水罐中。根据工程分析中的废水收集回用措施可知，泥浆不落地装置污水罐容积能够满足钻井废水贮存要求；当发生事故排水时，废水直接汇入泥浆不落地装置中，不会造成废水外溢。另外，在工程设计时，泥浆不落地装置污水罐均比地面高且有遮雨篷遮盖，可防止周边雨水汇入；井场周围设置雨水沟，井场周边雨水均不会进入井场内，井场内的雨水则顺着地势而排入四周的雨水沟；泥浆不落地装置上方配备了防雨棚，这样可避免因雨水进入集污池而增加废水量。本项目采用雨污分流，井场四周设置排水沟，并设置集水坑，初期雨水收集后与钻井废水合并处理，后期雨水依靠井站设置的地面坡度和内外环沟的阀门控制，就地散排至排水沟，排出场外。若场内雨水被污染流入外环沟，则需封闭外环沟后由作业队伍从集水坑抽汲至泥浆不落地装置或放喷池。</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区域内雨水排入山间冲沟，井场场地内及场地周围地表水仅在暴雨期间会对附近冲沟造成影响，属于正常的雨水排放，雨水通过山间冲沟最终汇入中河，不会对其水体功能造成影响。在暴雨期间应加强内外环沟的开闭工作，保证井场内初期雨水不流出井场。</w:t>
      </w:r>
      <w:r>
        <w:rPr>
          <w:rFonts w:hint="default" w:ascii="Times New Roman" w:hAnsi="Times New Roman" w:cs="Times New Roman"/>
          <w:color w:val="000000" w:themeColor="text1"/>
          <w:highlight w:val="none"/>
          <w14:textFill>
            <w14:solidFill>
              <w14:schemeClr w14:val="tx1"/>
            </w14:solidFill>
          </w14:textFill>
        </w:rPr>
        <w:t>另外，井场采取防渗措施，泥浆不落地工艺区、井口区域、循环罐区、钻井固废暂存区、柴油罐区、发电机区、放喷池等均采取防渗处理，有效避免废水通过漏失和渗漏进入当地环境中。</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在采取上述措施后，废水以漏失、渗透、外溢等方式进入地表水环境的量极少，类比本项目已实施钻井情况，预计不会对周边河流等水环境造成污染影响，对地表水环境影响很小。</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（2）项目用水对区域水资源影响分析</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施工期的生产用水根据施工期附近地表水存储情况就近采用附近地表水（中河），生活用水使用泉水或桶装水。由于项目距离中河较近，水量充足，项目生产用水量少，合理安排施工季节，尽量不在枯水期取水，用水前做好与当地主管部门沟通协调工作，项目取水不会对周边耕地等用水造成影响；若必须在枯水期取水要首先满足下游生态流量和管理部门的要求。</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（3）对区域地表水</w:t>
      </w:r>
      <w:r>
        <w:rPr>
          <w:rFonts w:hint="default" w:ascii="Times New Roman" w:hAnsi="Times New Roman" w:cs="Times New Roman"/>
          <w:b/>
          <w:color w:val="000000" w:themeColor="text1"/>
          <w:szCs w:val="24"/>
          <w:highlight w:val="none"/>
          <w14:textFill>
            <w14:solidFill>
              <w14:schemeClr w14:val="tx1"/>
            </w14:solidFill>
          </w14:textFill>
        </w:rPr>
        <w:t>影响分析</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钻井期生活污水经生态厕所收集后由密闭罐车定期拉运至周边生活污水处理厂处理；项目产生的钻井废水经固控设备固液分离后满足要求的</w:t>
      </w:r>
      <w:r>
        <w:rPr>
          <w:rFonts w:hint="eastAsia" w:cs="Times New Roman"/>
          <w:bCs/>
          <w:color w:val="000000" w:themeColor="text1"/>
          <w:highlight w:val="none"/>
          <w:lang w:eastAsia="zh-CN"/>
          <w14:textFill>
            <w14:solidFill>
              <w14:schemeClr w14:val="tx1"/>
            </w14:solidFill>
          </w14:textFill>
        </w:rPr>
        <w:t>首先回用于</w:t>
      </w:r>
      <w:r>
        <w:rPr>
          <w:rFonts w:hint="default" w:ascii="Times New Roman" w:hAnsi="Times New Roman" w:cs="Times New Roman"/>
          <w:bCs/>
          <w:color w:val="000000" w:themeColor="text1"/>
          <w:highlight w:val="none"/>
          <w14:textFill>
            <w14:solidFill>
              <w14:schemeClr w14:val="tx1"/>
            </w14:solidFill>
          </w14:textFill>
        </w:rPr>
        <w:t>钻井过程，</w:t>
      </w:r>
      <w:r>
        <w:rPr>
          <w:rFonts w:hint="default" w:ascii="Times New Roman" w:hAnsi="Times New Roman" w:cs="Times New Roman"/>
          <w:bCs/>
          <w:color w:val="000000" w:themeColor="text1"/>
          <w:szCs w:val="24"/>
          <w:highlight w:val="none"/>
          <w14:textFill>
            <w14:solidFill>
              <w14:schemeClr w14:val="tx1"/>
            </w14:solidFill>
          </w14:textFill>
        </w:rPr>
        <w:t>剩余废水经预处理后由罐车拉运至赵家坝污水处理站达标后管输至普光11井回注站回注，不外排</w:t>
      </w:r>
      <w:r>
        <w:rPr>
          <w:rFonts w:hint="default" w:ascii="Times New Roman" w:hAnsi="Times New Roman" w:cs="Times New Roman"/>
          <w:bCs/>
          <w:color w:val="000000" w:themeColor="text1"/>
          <w:highlight w:val="none"/>
          <w14:textFill>
            <w14:solidFill>
              <w14:schemeClr w14:val="tx1"/>
            </w14:solidFill>
          </w14:textFill>
        </w:rPr>
        <w:t>；</w:t>
      </w:r>
      <w:r>
        <w:rPr>
          <w:rFonts w:hint="default" w:ascii="Times New Roman" w:hAnsi="Times New Roman" w:cs="Times New Roman"/>
          <w:bCs/>
          <w:color w:val="000000" w:themeColor="text1"/>
          <w:highlight w:val="none"/>
          <w:lang w:eastAsia="zh-CN"/>
          <w14:textFill>
            <w14:solidFill>
              <w14:schemeClr w14:val="tx1"/>
            </w14:solidFill>
          </w14:textFill>
        </w:rPr>
        <w:t>初期雨水收集后同钻井废水一并经不落地装置处理后大部分回用于配制钻井液，剩余不能回用部分暂存于清洁生产操作平台的废水罐内，定期装车拉运至赵家坝污水处理站处理达标后经普光11井回注站回注</w:t>
      </w:r>
      <w:r>
        <w:rPr>
          <w:rFonts w:hint="default" w:ascii="Times New Roman" w:hAnsi="Times New Roman" w:cs="Times New Roman"/>
          <w:bCs/>
          <w:color w:val="000000" w:themeColor="text1"/>
          <w:highlight w:val="none"/>
          <w14:textFill>
            <w14:solidFill>
              <w14:schemeClr w14:val="tx1"/>
            </w14:solidFill>
          </w14:textFill>
        </w:rPr>
        <w:t>。项目废水产生量少，经处理达标后污染物排放量也少，对当地地表水环境的影响在可接受范围内。</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（4）对项目周边耕地</w:t>
      </w:r>
      <w:r>
        <w:rPr>
          <w:rFonts w:hint="default" w:ascii="Times New Roman" w:hAnsi="Times New Roman" w:cs="Times New Roman"/>
          <w:b/>
          <w:color w:val="000000" w:themeColor="text1"/>
          <w:szCs w:val="24"/>
          <w:highlight w:val="none"/>
          <w14:textFill>
            <w14:solidFill>
              <w14:schemeClr w14:val="tx1"/>
            </w14:solidFill>
          </w14:textFill>
        </w:rPr>
        <w:t>影响分析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井场钻井所有设备均设置了混凝土基础，并在设备周边均设置了排污沟；在所有井场没有设置混凝土基础区域不会进行设备安装、检修等工作，因此不会有废油产生于该区域。在雨季时，雨水冲刷混凝土基础及设备的雨水会进入设备周边的混凝土排污沟，经过集污坑隔油沉淀后废水进入废水罐，废油回用或委托有资质单位处理；井场内其他非混凝土基础部分没有废油产生，雨水则直接进入场界周边的排水沟排入周围环境，对周边耕地影响甚微。</w:t>
      </w:r>
    </w:p>
    <w:p>
      <w:pPr>
        <w:ind w:firstLine="480"/>
        <w:rPr>
          <w:rFonts w:hint="default" w:ascii="Times New Roman" w:hAnsi="Times New Roman" w:eastAsia="黑体" w:cs="Times New Roman"/>
          <w:bCs/>
          <w:color w:val="000000" w:themeColor="text1"/>
          <w:szCs w:val="24"/>
          <w:highlight w:val="none"/>
          <w14:textFill>
            <w14:solidFill>
              <w14:schemeClr w14:val="tx1"/>
            </w14:solidFill>
          </w14:textFill>
        </w:rPr>
      </w:pPr>
      <w:bookmarkStart w:id="259" w:name="5.1.3施工期噪声环境影响分析"/>
      <w:bookmarkEnd w:id="259"/>
      <w:bookmarkStart w:id="260" w:name="5.1.1施工期大气环境影响分析"/>
      <w:bookmarkEnd w:id="260"/>
      <w:r>
        <w:rPr>
          <w:rFonts w:hint="default" w:ascii="Times New Roman" w:hAnsi="Times New Roman" w:eastAsia="黑体" w:cs="Times New Roman"/>
          <w:bCs/>
          <w:color w:val="000000" w:themeColor="text1"/>
          <w:szCs w:val="24"/>
          <w:highlight w:val="none"/>
          <w14:textFill>
            <w14:solidFill>
              <w14:schemeClr w14:val="tx1"/>
            </w14:solidFill>
          </w14:textFill>
        </w:rPr>
        <w:t>3、施工期噪声环境影响分析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该项目钻井期间噪声影响主要来源于柴油发电机（备用）、钻机、泥浆泵、振动筛、离心机等设备产生的连续机械噪声；</w:t>
      </w:r>
      <w:r>
        <w:rPr>
          <w:rFonts w:hint="default" w:ascii="Times New Roman" w:hAnsi="Times New Roman" w:cs="Times New Roman"/>
          <w:color w:val="000000" w:themeColor="text1"/>
          <w:highlight w:val="none"/>
          <w:lang w:val="en-US" w:eastAsia="zh-CN"/>
          <w14:textFill>
            <w14:solidFill>
              <w14:schemeClr w14:val="tx1"/>
            </w14:solidFill>
          </w14:textFill>
        </w:rPr>
        <w:t>此外，事故放喷时还将产生高压气流噪声</w:t>
      </w:r>
      <w:r>
        <w:rPr>
          <w:rFonts w:hint="default" w:ascii="Times New Roman" w:hAnsi="Times New Roman" w:cs="Times New Roman"/>
          <w:color w:val="000000" w:themeColor="text1"/>
          <w:highlight w:val="none"/>
          <w14:textFill>
            <w14:solidFill>
              <w14:schemeClr w14:val="tx1"/>
            </w14:solidFill>
          </w14:textFill>
        </w:rPr>
        <w:t>。</w:t>
      </w:r>
    </w:p>
    <w:p>
      <w:pPr>
        <w:widowControl/>
        <w:ind w:firstLine="482"/>
        <w:jc w:val="left"/>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1、钻井工程</w:t>
      </w:r>
    </w:p>
    <w:p>
      <w:pPr>
        <w:widowControl/>
        <w:ind w:firstLine="482"/>
        <w:jc w:val="left"/>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（1）预测步骤</w:t>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1）建立坐标系，确定各声源坐标和预测点坐标，并根据声源性质以及预测点与声源之间的距离等情况。</w:t>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2）根据已获得的声源源强的数据和各声源到预测点的声波传播条件资料，计算出噪声从各声源传播到预测点的声衰减量，由此计算出各声源单独作用在预测点时产生的A声级。</w:t>
      </w:r>
    </w:p>
    <w:p>
      <w:pPr>
        <w:widowControl/>
        <w:ind w:firstLine="482"/>
        <w:jc w:val="left"/>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（2）源强</w:t>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钻井工程优先采用市政供电，停电等非正常工况时使用柴油发电机供电，可能会对周围居民产生影响。本项目井场设柴油动力机3台（2用1备），本项目预测考虑最不利情况下使用柴油动力机、发电机钻井作业对周围人居环境产生的影响。则井场钻井阶段钻井噪声主要来源于3台（2用1备）柴油机、4台发电机（1用1备）、1套钻井设备、6台空压机、4台增压机、2台泥浆泵、2台振动筛等设备产生的机械噪声；此外，在测试放喷和事故工况下将产生气流噪声。井场噪声源见</w:t>
      </w: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REF _Ref141209662 \h  \* MERGEFORMAT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default" w:ascii="Times New Roman" w:hAnsi="Times New Roman" w:cs="Times New Roman"/>
          <w:color w:val="000000" w:themeColor="text1"/>
          <w:kern w:val="0"/>
          <w:szCs w:val="24"/>
          <w:highlight w:val="none"/>
          <w14:textFill>
            <w14:solidFill>
              <w14:schemeClr w14:val="tx1"/>
            </w14:solidFill>
          </w14:textFill>
        </w:rPr>
        <w:t>表5.1</w:t>
      </w:r>
      <w:r>
        <w:rPr>
          <w:rFonts w:hint="default" w:ascii="Times New Roman" w:hAnsi="Times New Roman" w:cs="Times New Roman"/>
          <w:color w:val="000000" w:themeColor="text1"/>
          <w:kern w:val="0"/>
          <w:szCs w:val="24"/>
          <w:highlight w:val="none"/>
          <w14:textFill>
            <w14:solidFill>
              <w14:schemeClr w14:val="tx1"/>
            </w14:solidFill>
          </w14:textFill>
        </w:rPr>
        <w:noBreakHyphen/>
      </w:r>
      <w:r>
        <w:rPr>
          <w:rFonts w:hint="default" w:ascii="Times New Roman" w:hAnsi="Times New Roman" w:cs="Times New Roman"/>
          <w:color w:val="000000" w:themeColor="text1"/>
          <w:kern w:val="0"/>
          <w:szCs w:val="24"/>
          <w:highlight w:val="none"/>
          <w14:textFill>
            <w14:solidFill>
              <w14:schemeClr w14:val="tx1"/>
            </w14:solidFill>
          </w14:textFill>
        </w:rPr>
        <w:t>2</w:t>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t>：</w:t>
      </w:r>
    </w:p>
    <w:p>
      <w:pPr>
        <w:keepNext/>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pPr>
      <w:bookmarkStart w:id="261" w:name="_Ref141209662"/>
      <w:bookmarkStart w:id="262" w:name="_Hlk140760288"/>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t>表</w:t>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fldChar w:fldCharType="begin"/>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instrText xml:space="preserve"> STYLEREF 2 \s </w:instrText>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fldChar w:fldCharType="separate"/>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t>5.1</w:t>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fldChar w:fldCharType="end"/>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noBreakHyphen/>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fldChar w:fldCharType="begin"/>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instrText xml:space="preserve"> SEQ 表 \* ARABIC \s 2 </w:instrText>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fldChar w:fldCharType="separate"/>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t>2</w:t>
      </w:r>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fldChar w:fldCharType="end"/>
      </w:r>
      <w:bookmarkEnd w:id="261"/>
      <w:r>
        <w:rPr>
          <w:rFonts w:hint="default" w:ascii="Times New Roman" w:hAnsi="Times New Roman" w:eastAsia="黑体" w:cs="Times New Roman"/>
          <w:color w:val="000000" w:themeColor="text1"/>
          <w:sz w:val="22"/>
          <w:szCs w:val="24"/>
          <w:highlight w:val="none"/>
          <w14:textFill>
            <w14:solidFill>
              <w14:schemeClr w14:val="tx1"/>
            </w14:solidFill>
          </w14:textFill>
          <w14:ligatures w14:val="standardContextual"/>
        </w:rPr>
        <w:t>钻井工程主要噪声源强调查清单</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399"/>
        <w:gridCol w:w="1156"/>
        <w:gridCol w:w="708"/>
        <w:gridCol w:w="709"/>
        <w:gridCol w:w="567"/>
        <w:gridCol w:w="709"/>
        <w:gridCol w:w="1276"/>
        <w:gridCol w:w="850"/>
        <w:gridCol w:w="1134"/>
        <w:gridCol w:w="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399"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1156"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声源名称</w:t>
            </w:r>
          </w:p>
        </w:tc>
        <w:tc>
          <w:tcPr>
            <w:tcW w:w="708"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型号</w:t>
            </w:r>
          </w:p>
        </w:tc>
        <w:tc>
          <w:tcPr>
            <w:tcW w:w="1985" w:type="dxa"/>
            <w:gridSpan w:val="3"/>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空间相对位置/m</w:t>
            </w:r>
          </w:p>
        </w:tc>
        <w:tc>
          <w:tcPr>
            <w:tcW w:w="2126" w:type="dxa"/>
            <w:gridSpan w:val="2"/>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声源源强（任选一种）</w:t>
            </w:r>
          </w:p>
        </w:tc>
        <w:tc>
          <w:tcPr>
            <w:tcW w:w="1134"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声源控制措施</w:t>
            </w:r>
          </w:p>
        </w:tc>
        <w:tc>
          <w:tcPr>
            <w:tcW w:w="712"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399"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156"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08"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0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X</w:t>
            </w:r>
          </w:p>
        </w:tc>
        <w:tc>
          <w:tcPr>
            <w:tcW w:w="567"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Y</w:t>
            </w:r>
          </w:p>
        </w:tc>
        <w:tc>
          <w:tcPr>
            <w:tcW w:w="709"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Z</w:t>
            </w:r>
          </w:p>
        </w:tc>
        <w:tc>
          <w:tcPr>
            <w:tcW w:w="1276"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（声压级/距声源距离）/（dB(A)/m）</w:t>
            </w:r>
          </w:p>
        </w:tc>
        <w:tc>
          <w:tcPr>
            <w:tcW w:w="850" w:type="dxa"/>
            <w:shd w:val="clear" w:color="auto" w:fill="FFFFFF"/>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等效声级/dB(A)</w:t>
            </w:r>
          </w:p>
        </w:tc>
        <w:tc>
          <w:tcPr>
            <w:tcW w:w="1134"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2"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shd w:val="clear" w:color="auto" w:fill="FFFFFF"/>
            <w:vAlign w:val="center"/>
          </w:tcPr>
          <w:p>
            <w:pPr>
              <w:pStyle w:val="295"/>
              <w:numPr>
                <w:ilvl w:val="0"/>
                <w:numId w:val="15"/>
              </w:numPr>
              <w:rPr>
                <w:rFonts w:hint="default" w:ascii="Times New Roman" w:hAnsi="Times New Roman" w:cs="Times New Roman"/>
                <w:color w:val="000000" w:themeColor="text1"/>
                <w:highlight w:val="none"/>
                <w14:textFill>
                  <w14:solidFill>
                    <w14:schemeClr w14:val="tx1"/>
                  </w14:solidFill>
                </w14:textFill>
              </w:rPr>
            </w:pPr>
          </w:p>
        </w:tc>
        <w:tc>
          <w:tcPr>
            <w:tcW w:w="115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钻机1</w:t>
            </w:r>
          </w:p>
        </w:tc>
        <w:tc>
          <w:tcPr>
            <w:tcW w:w="708"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ZJ70</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c>
          <w:tcPr>
            <w:tcW w:w="567"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Cs w:val="21"/>
                <w:highlight w:val="none"/>
                <w14:textFill>
                  <w14:solidFill>
                    <w14:schemeClr w14:val="tx1"/>
                  </w14:solidFill>
                </w14:textFill>
              </w:rPr>
              <w:t>5</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850"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98</w:t>
            </w:r>
          </w:p>
        </w:tc>
        <w:tc>
          <w:tcPr>
            <w:tcW w:w="1134" w:type="dxa"/>
            <w:vMerge w:val="restar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置于钻井井场内，基础安装减振垫层，泥浆泵安装消声器</w:t>
            </w:r>
          </w:p>
        </w:tc>
        <w:tc>
          <w:tcPr>
            <w:tcW w:w="71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shd w:val="clear" w:color="auto" w:fill="FFFFFF"/>
            <w:vAlign w:val="center"/>
          </w:tcPr>
          <w:p>
            <w:pPr>
              <w:pStyle w:val="295"/>
              <w:numPr>
                <w:ilvl w:val="0"/>
                <w:numId w:val="15"/>
              </w:numPr>
              <w:rPr>
                <w:rFonts w:hint="default" w:ascii="Times New Roman" w:hAnsi="Times New Roman" w:cs="Times New Roman"/>
                <w:color w:val="000000" w:themeColor="text1"/>
                <w:highlight w:val="none"/>
                <w14:textFill>
                  <w14:solidFill>
                    <w14:schemeClr w14:val="tx1"/>
                  </w14:solidFill>
                </w14:textFill>
              </w:rPr>
            </w:pPr>
          </w:p>
        </w:tc>
        <w:tc>
          <w:tcPr>
            <w:tcW w:w="115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泥浆泵1</w:t>
            </w:r>
          </w:p>
        </w:tc>
        <w:tc>
          <w:tcPr>
            <w:tcW w:w="708"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-17.88</w:t>
            </w:r>
          </w:p>
        </w:tc>
        <w:tc>
          <w:tcPr>
            <w:tcW w:w="567"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5.35</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3.0</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850"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85</w:t>
            </w:r>
          </w:p>
        </w:tc>
        <w:tc>
          <w:tcPr>
            <w:tcW w:w="1134"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2" w:type="dxa"/>
            <w:vMerge w:val="restar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shd w:val="clear" w:color="auto" w:fill="FFFFFF"/>
            <w:vAlign w:val="center"/>
          </w:tcPr>
          <w:p>
            <w:pPr>
              <w:pStyle w:val="295"/>
              <w:numPr>
                <w:ilvl w:val="0"/>
                <w:numId w:val="15"/>
              </w:numPr>
              <w:rPr>
                <w:rFonts w:hint="default" w:ascii="Times New Roman" w:hAnsi="Times New Roman" w:cs="Times New Roman"/>
                <w:color w:val="000000" w:themeColor="text1"/>
                <w:highlight w:val="none"/>
                <w14:textFill>
                  <w14:solidFill>
                    <w14:schemeClr w14:val="tx1"/>
                  </w14:solidFill>
                </w14:textFill>
              </w:rPr>
            </w:pPr>
          </w:p>
        </w:tc>
        <w:tc>
          <w:tcPr>
            <w:tcW w:w="115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泥浆泵2</w:t>
            </w:r>
          </w:p>
        </w:tc>
        <w:tc>
          <w:tcPr>
            <w:tcW w:w="708"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-11.9</w:t>
            </w:r>
          </w:p>
        </w:tc>
        <w:tc>
          <w:tcPr>
            <w:tcW w:w="567"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12.33</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3.0</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850"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85</w:t>
            </w:r>
          </w:p>
        </w:tc>
        <w:tc>
          <w:tcPr>
            <w:tcW w:w="1134"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2"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shd w:val="clear" w:color="auto" w:fill="FFFFFF"/>
            <w:vAlign w:val="center"/>
          </w:tcPr>
          <w:p>
            <w:pPr>
              <w:pStyle w:val="295"/>
              <w:numPr>
                <w:ilvl w:val="0"/>
                <w:numId w:val="15"/>
              </w:numPr>
              <w:rPr>
                <w:rFonts w:hint="default" w:ascii="Times New Roman" w:hAnsi="Times New Roman" w:cs="Times New Roman"/>
                <w:color w:val="000000" w:themeColor="text1"/>
                <w:highlight w:val="none"/>
                <w14:textFill>
                  <w14:solidFill>
                    <w14:schemeClr w14:val="tx1"/>
                  </w14:solidFill>
                </w14:textFill>
              </w:rPr>
            </w:pPr>
          </w:p>
        </w:tc>
        <w:tc>
          <w:tcPr>
            <w:tcW w:w="115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振动筛1</w:t>
            </w:r>
          </w:p>
        </w:tc>
        <w:tc>
          <w:tcPr>
            <w:tcW w:w="708"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5.5kW</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-17.39</w:t>
            </w:r>
          </w:p>
        </w:tc>
        <w:tc>
          <w:tcPr>
            <w:tcW w:w="567"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11.34</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2.5</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850"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85</w:t>
            </w:r>
          </w:p>
        </w:tc>
        <w:tc>
          <w:tcPr>
            <w:tcW w:w="1134"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2" w:type="dxa"/>
            <w:vMerge w:val="restar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shd w:val="clear" w:color="auto" w:fill="FFFFFF"/>
            <w:vAlign w:val="center"/>
          </w:tcPr>
          <w:p>
            <w:pPr>
              <w:pStyle w:val="295"/>
              <w:numPr>
                <w:ilvl w:val="0"/>
                <w:numId w:val="15"/>
              </w:numPr>
              <w:rPr>
                <w:rFonts w:hint="default" w:ascii="Times New Roman" w:hAnsi="Times New Roman" w:cs="Times New Roman"/>
                <w:color w:val="000000" w:themeColor="text1"/>
                <w:highlight w:val="none"/>
                <w14:textFill>
                  <w14:solidFill>
                    <w14:schemeClr w14:val="tx1"/>
                  </w14:solidFill>
                </w14:textFill>
              </w:rPr>
            </w:pPr>
          </w:p>
        </w:tc>
        <w:tc>
          <w:tcPr>
            <w:tcW w:w="115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振动筛2</w:t>
            </w:r>
          </w:p>
        </w:tc>
        <w:tc>
          <w:tcPr>
            <w:tcW w:w="708"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5.5kW</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-11.4</w:t>
            </w:r>
          </w:p>
        </w:tc>
        <w:tc>
          <w:tcPr>
            <w:tcW w:w="567"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18.32</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2.5</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850"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85</w:t>
            </w:r>
          </w:p>
        </w:tc>
        <w:tc>
          <w:tcPr>
            <w:tcW w:w="1134"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2"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shd w:val="clear" w:color="auto" w:fill="FFFFFF"/>
            <w:vAlign w:val="center"/>
          </w:tcPr>
          <w:p>
            <w:pPr>
              <w:pStyle w:val="295"/>
              <w:numPr>
                <w:ilvl w:val="0"/>
                <w:numId w:val="15"/>
              </w:numPr>
              <w:rPr>
                <w:rFonts w:hint="default" w:ascii="Times New Roman" w:hAnsi="Times New Roman" w:cs="Times New Roman"/>
                <w:color w:val="000000" w:themeColor="text1"/>
                <w:highlight w:val="none"/>
                <w14:textFill>
                  <w14:solidFill>
                    <w14:schemeClr w14:val="tx1"/>
                  </w14:solidFill>
                </w14:textFill>
              </w:rPr>
            </w:pPr>
          </w:p>
        </w:tc>
        <w:tc>
          <w:tcPr>
            <w:tcW w:w="115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离心机1台</w:t>
            </w:r>
          </w:p>
        </w:tc>
        <w:tc>
          <w:tcPr>
            <w:tcW w:w="708"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-23.37</w:t>
            </w:r>
          </w:p>
        </w:tc>
        <w:tc>
          <w:tcPr>
            <w:tcW w:w="567"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15.33</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1.5</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850"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83</w:t>
            </w:r>
          </w:p>
        </w:tc>
        <w:tc>
          <w:tcPr>
            <w:tcW w:w="1134"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shd w:val="clear" w:color="auto" w:fill="FFFFFF"/>
            <w:vAlign w:val="center"/>
          </w:tcPr>
          <w:p>
            <w:pPr>
              <w:pStyle w:val="295"/>
              <w:numPr>
                <w:ilvl w:val="0"/>
                <w:numId w:val="15"/>
              </w:numPr>
              <w:rPr>
                <w:rFonts w:hint="default" w:ascii="Times New Roman" w:hAnsi="Times New Roman" w:cs="Times New Roman"/>
                <w:color w:val="000000" w:themeColor="text1"/>
                <w:highlight w:val="none"/>
                <w14:textFill>
                  <w14:solidFill>
                    <w14:schemeClr w14:val="tx1"/>
                  </w14:solidFill>
                </w14:textFill>
              </w:rPr>
            </w:pPr>
          </w:p>
        </w:tc>
        <w:tc>
          <w:tcPr>
            <w:tcW w:w="115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泥浆不落地装置</w:t>
            </w:r>
          </w:p>
        </w:tc>
        <w:tc>
          <w:tcPr>
            <w:tcW w:w="708"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-16.89</w:t>
            </w:r>
          </w:p>
        </w:tc>
        <w:tc>
          <w:tcPr>
            <w:tcW w:w="567"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19.81</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1.5</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850"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85</w:t>
            </w:r>
          </w:p>
        </w:tc>
        <w:tc>
          <w:tcPr>
            <w:tcW w:w="1134"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shd w:val="clear" w:color="auto" w:fill="FFFFFF"/>
            <w:vAlign w:val="center"/>
          </w:tcPr>
          <w:p>
            <w:pPr>
              <w:pStyle w:val="295"/>
              <w:numPr>
                <w:ilvl w:val="0"/>
                <w:numId w:val="15"/>
              </w:numPr>
              <w:rPr>
                <w:rFonts w:hint="default" w:ascii="Times New Roman" w:hAnsi="Times New Roman" w:cs="Times New Roman"/>
                <w:color w:val="000000" w:themeColor="text1"/>
                <w:highlight w:val="none"/>
                <w14:textFill>
                  <w14:solidFill>
                    <w14:schemeClr w14:val="tx1"/>
                  </w14:solidFill>
                </w14:textFill>
              </w:rPr>
            </w:pPr>
          </w:p>
        </w:tc>
        <w:tc>
          <w:tcPr>
            <w:tcW w:w="115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柴油发电机1</w:t>
            </w:r>
          </w:p>
        </w:tc>
        <w:tc>
          <w:tcPr>
            <w:tcW w:w="708"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882kW</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9.54</w:t>
            </w:r>
          </w:p>
        </w:tc>
        <w:tc>
          <w:tcPr>
            <w:tcW w:w="567"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30.28</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1.5</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850"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95</w:t>
            </w:r>
          </w:p>
        </w:tc>
        <w:tc>
          <w:tcPr>
            <w:tcW w:w="1134" w:type="dxa"/>
            <w:vMerge w:val="restar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活动板房隔声，自带高质量消声器的柴油机</w:t>
            </w:r>
          </w:p>
        </w:tc>
        <w:tc>
          <w:tcPr>
            <w:tcW w:w="712" w:type="dxa"/>
            <w:vMerge w:val="restar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偶尔、连续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shd w:val="clear" w:color="auto" w:fill="FFFFFF"/>
            <w:vAlign w:val="center"/>
          </w:tcPr>
          <w:p>
            <w:pPr>
              <w:pStyle w:val="295"/>
              <w:numPr>
                <w:ilvl w:val="0"/>
                <w:numId w:val="15"/>
              </w:numPr>
              <w:rPr>
                <w:rFonts w:hint="default" w:ascii="Times New Roman" w:hAnsi="Times New Roman" w:cs="Times New Roman"/>
                <w:color w:val="000000" w:themeColor="text1"/>
                <w:highlight w:val="none"/>
                <w14:textFill>
                  <w14:solidFill>
                    <w14:schemeClr w14:val="tx1"/>
                  </w14:solidFill>
                </w14:textFill>
              </w:rPr>
            </w:pPr>
          </w:p>
        </w:tc>
        <w:tc>
          <w:tcPr>
            <w:tcW w:w="115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柴油发电机2</w:t>
            </w:r>
          </w:p>
        </w:tc>
        <w:tc>
          <w:tcPr>
            <w:tcW w:w="708"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882kW</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17.02</w:t>
            </w:r>
          </w:p>
        </w:tc>
        <w:tc>
          <w:tcPr>
            <w:tcW w:w="567"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34.27</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1.5</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50"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95</w:t>
            </w:r>
          </w:p>
        </w:tc>
        <w:tc>
          <w:tcPr>
            <w:tcW w:w="1134"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2" w:type="dxa"/>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399" w:type="dxa"/>
            <w:shd w:val="clear" w:color="auto" w:fill="FFFFFF"/>
            <w:vAlign w:val="center"/>
          </w:tcPr>
          <w:p>
            <w:pPr>
              <w:pStyle w:val="295"/>
              <w:numPr>
                <w:ilvl w:val="0"/>
                <w:numId w:val="15"/>
              </w:numPr>
              <w:rPr>
                <w:rFonts w:hint="default" w:ascii="Times New Roman" w:hAnsi="Times New Roman" w:cs="Times New Roman"/>
                <w:color w:val="000000" w:themeColor="text1"/>
                <w:highlight w:val="none"/>
                <w14:textFill>
                  <w14:solidFill>
                    <w14:schemeClr w14:val="tx1"/>
                  </w14:solidFill>
                </w14:textFill>
              </w:rPr>
            </w:pPr>
          </w:p>
        </w:tc>
        <w:tc>
          <w:tcPr>
            <w:tcW w:w="115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柴油动力机1</w:t>
            </w:r>
          </w:p>
        </w:tc>
        <w:tc>
          <w:tcPr>
            <w:tcW w:w="708"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320 kW</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17.52</w:t>
            </w:r>
          </w:p>
        </w:tc>
        <w:tc>
          <w:tcPr>
            <w:tcW w:w="567"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22.81</w:t>
            </w:r>
          </w:p>
        </w:tc>
        <w:tc>
          <w:tcPr>
            <w:tcW w:w="709"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1.5</w:t>
            </w:r>
          </w:p>
        </w:tc>
        <w:tc>
          <w:tcPr>
            <w:tcW w:w="1276"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850"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w:t>
            </w:r>
          </w:p>
        </w:tc>
        <w:tc>
          <w:tcPr>
            <w:tcW w:w="1134"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自带高质量消声器的柴油机</w:t>
            </w:r>
          </w:p>
        </w:tc>
        <w:tc>
          <w:tcPr>
            <w:tcW w:w="712" w:type="dxa"/>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偶尔、连续</w:t>
            </w:r>
          </w:p>
        </w:tc>
      </w:tr>
    </w:tbl>
    <w:p>
      <w:pPr>
        <w:spacing w:line="240" w:lineRule="auto"/>
        <w:ind w:firstLine="420"/>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 w:val="21"/>
          <w:szCs w:val="18"/>
          <w:highlight w:val="none"/>
          <w14:textFill>
            <w14:solidFill>
              <w14:schemeClr w14:val="tx1"/>
            </w14:solidFill>
          </w14:textFill>
        </w:rPr>
        <w:t>注：表中坐标以普光106-2H侧钻井中心为坐标原点，沿东侧为X轴正方向，沿井场北侧为Y轴正方向</w:t>
      </w:r>
    </w:p>
    <w:bookmarkEnd w:id="262"/>
    <w:p>
      <w:pPr>
        <w:widowControl/>
        <w:spacing w:before="120" w:beforeLines="50"/>
        <w:ind w:firstLine="482"/>
        <w:jc w:val="left"/>
        <w:rPr>
          <w:rFonts w:hint="default" w:ascii="Times New Roman" w:hAnsi="Times New Roman" w:cs="Times New Roman"/>
          <w:b/>
          <w:bCs/>
          <w:color w:val="000000" w:themeColor="text1"/>
          <w:kern w:val="0"/>
          <w:szCs w:val="24"/>
          <w:highlight w:val="none"/>
          <w14:textFill>
            <w14:solidFill>
              <w14:schemeClr w14:val="tx1"/>
            </w14:solidFill>
          </w14:textFill>
        </w:rPr>
      </w:pPr>
    </w:p>
    <w:p>
      <w:pPr>
        <w:widowControl/>
        <w:spacing w:before="120" w:beforeLines="50"/>
        <w:ind w:firstLine="482"/>
        <w:jc w:val="left"/>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（3）钻井阶段场界噪声影响预测</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①预测方法</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本项目按照钻井过程中最大噪声影响情况，预测钻井平台场界和敏感点噪声值，并进行达标分析。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②预测模式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预测时考虑声源在传播过程中经过距离衰减，采用《环境影响评价技术导则 声环境》（HJ2.4-2021）中的点声源几何发散衰减模式进行计算，预测模式如下：</w:t>
      </w:r>
    </w:p>
    <w:p>
      <w:pPr>
        <w:ind w:firstLine="480"/>
        <w:rPr>
          <w:rFonts w:hint="default" w:ascii="Times New Roman" w:hAnsi="Times New Roman" w:cs="Times New Roman"/>
          <w:bCs/>
          <w:color w:val="000000" w:themeColor="text1"/>
          <w:szCs w:val="32"/>
          <w:highlight w:val="none"/>
          <w14:textFill>
            <w14:solidFill>
              <w14:schemeClr w14:val="tx1"/>
            </w14:solidFill>
          </w14:textFill>
        </w:rPr>
      </w:pPr>
      <m:oMathPara>
        <m:oMath>
          <m:sSub>
            <m:sSubPr>
              <m:ctrlPr>
                <w:rPr>
                  <w:rFonts w:hint="default" w:ascii="Cambria Math" w:hAnsi="Cambria Math" w:cs="Times New Roman"/>
                  <w:bCs/>
                  <w:i/>
                  <w:color w:val="000000" w:themeColor="text1"/>
                  <w:szCs w:val="24"/>
                  <w:highlight w:val="none"/>
                  <w14:textFill>
                    <w14:solidFill>
                      <w14:schemeClr w14:val="tx1"/>
                    </w14:solidFill>
                  </w14:textFill>
                </w:rPr>
              </m:ctrlPr>
            </m:sSubPr>
            <m:e>
              <m:r>
                <m:rPr/>
                <w:rPr>
                  <w:rFonts w:hint="default" w:ascii="Cambria Math" w:hAnsi="Cambria Math" w:cs="Times New Roman"/>
                  <w:color w:val="000000" w:themeColor="text1"/>
                  <w:szCs w:val="24"/>
                  <w:highlight w:val="none"/>
                  <w14:textFill>
                    <w14:solidFill>
                      <w14:schemeClr w14:val="tx1"/>
                    </w14:solidFill>
                  </w14:textFill>
                </w:rPr>
                <m:t>L</m:t>
              </m:r>
              <m:ctrlPr>
                <w:rPr>
                  <w:rFonts w:hint="default" w:ascii="Cambria Math" w:hAnsi="Cambria Math" w:cs="Times New Roman"/>
                  <w:bCs/>
                  <w:i/>
                  <w:color w:val="000000" w:themeColor="text1"/>
                  <w:szCs w:val="24"/>
                  <w:highlight w:val="none"/>
                  <w14:textFill>
                    <w14:solidFill>
                      <w14:schemeClr w14:val="tx1"/>
                    </w14:solidFill>
                  </w14:textFill>
                </w:rPr>
              </m:ctrlPr>
            </m:e>
            <m:sub>
              <m:r>
                <m:rPr/>
                <w:rPr>
                  <w:rFonts w:hint="default" w:ascii="Cambria Math" w:hAnsi="Cambria Math" w:cs="Times New Roman"/>
                  <w:color w:val="000000" w:themeColor="text1"/>
                  <w:szCs w:val="24"/>
                  <w:highlight w:val="none"/>
                  <w14:textFill>
                    <w14:solidFill>
                      <w14:schemeClr w14:val="tx1"/>
                    </w14:solidFill>
                  </w14:textFill>
                </w:rPr>
                <m:t>A</m:t>
              </m:r>
              <m:ctrlPr>
                <w:rPr>
                  <w:rFonts w:hint="default" w:ascii="Cambria Math" w:hAnsi="Cambria Math" w:cs="Times New Roman"/>
                  <w:bCs/>
                  <w:i/>
                  <w:color w:val="000000" w:themeColor="text1"/>
                  <w:szCs w:val="24"/>
                  <w:highlight w:val="none"/>
                  <w14:textFill>
                    <w14:solidFill>
                      <w14:schemeClr w14:val="tx1"/>
                    </w14:solidFill>
                  </w14:textFill>
                </w:rPr>
              </m:ctrlPr>
            </m:sub>
          </m:sSub>
          <m:r>
            <m:rPr/>
            <w:rPr>
              <w:rFonts w:hint="default" w:ascii="Cambria Math" w:hAnsi="Cambria Math" w:cs="Times New Roman"/>
              <w:color w:val="000000" w:themeColor="text1"/>
              <w:szCs w:val="24"/>
              <w:highlight w:val="none"/>
              <w14:textFill>
                <w14:solidFill>
                  <w14:schemeClr w14:val="tx1"/>
                </w14:solidFill>
              </w14:textFill>
            </w:rPr>
            <m:t>（r）=</m:t>
          </m:r>
          <m:sSub>
            <m:sSubPr>
              <m:ctrlPr>
                <w:rPr>
                  <w:rFonts w:hint="default" w:ascii="Cambria Math" w:hAnsi="Cambria Math" w:cs="Times New Roman"/>
                  <w:bCs/>
                  <w:i/>
                  <w:color w:val="000000" w:themeColor="text1"/>
                  <w:szCs w:val="24"/>
                  <w:highlight w:val="none"/>
                  <w14:textFill>
                    <w14:solidFill>
                      <w14:schemeClr w14:val="tx1"/>
                    </w14:solidFill>
                  </w14:textFill>
                </w:rPr>
              </m:ctrlPr>
            </m:sSubPr>
            <m:e>
              <m:r>
                <m:rPr/>
                <w:rPr>
                  <w:rFonts w:hint="default" w:ascii="Cambria Math" w:hAnsi="Cambria Math" w:cs="Times New Roman"/>
                  <w:color w:val="000000" w:themeColor="text1"/>
                  <w:szCs w:val="24"/>
                  <w:highlight w:val="none"/>
                  <w14:textFill>
                    <w14:solidFill>
                      <w14:schemeClr w14:val="tx1"/>
                    </w14:solidFill>
                  </w14:textFill>
                </w:rPr>
                <m:t>L</m:t>
              </m:r>
              <m:ctrlPr>
                <w:rPr>
                  <w:rFonts w:hint="default" w:ascii="Cambria Math" w:hAnsi="Cambria Math" w:cs="Times New Roman"/>
                  <w:bCs/>
                  <w:i/>
                  <w:color w:val="000000" w:themeColor="text1"/>
                  <w:szCs w:val="24"/>
                  <w:highlight w:val="none"/>
                  <w14:textFill>
                    <w14:solidFill>
                      <w14:schemeClr w14:val="tx1"/>
                    </w14:solidFill>
                  </w14:textFill>
                </w:rPr>
              </m:ctrlPr>
            </m:e>
            <m:sub>
              <m:r>
                <m:rPr/>
                <w:rPr>
                  <w:rFonts w:hint="default" w:ascii="Cambria Math" w:hAnsi="Cambria Math" w:cs="Times New Roman"/>
                  <w:color w:val="000000" w:themeColor="text1"/>
                  <w:szCs w:val="24"/>
                  <w:highlight w:val="none"/>
                  <w14:textFill>
                    <w14:solidFill>
                      <w14:schemeClr w14:val="tx1"/>
                    </w14:solidFill>
                  </w14:textFill>
                </w:rPr>
                <m:t>A</m:t>
              </m:r>
              <m:ctrlPr>
                <w:rPr>
                  <w:rFonts w:hint="default" w:ascii="Cambria Math" w:hAnsi="Cambria Math" w:cs="Times New Roman"/>
                  <w:bCs/>
                  <w:i/>
                  <w:color w:val="000000" w:themeColor="text1"/>
                  <w:szCs w:val="24"/>
                  <w:highlight w:val="none"/>
                  <w14:textFill>
                    <w14:solidFill>
                      <w14:schemeClr w14:val="tx1"/>
                    </w14:solidFill>
                  </w14:textFill>
                </w:rPr>
              </m:ctrlPr>
            </m:sub>
          </m:sSub>
          <m:r>
            <m:rPr/>
            <w:rPr>
              <w:rFonts w:hint="default" w:ascii="Cambria Math" w:hAnsi="Cambria Math" w:cs="Times New Roman"/>
              <w:color w:val="000000" w:themeColor="text1"/>
              <w:szCs w:val="24"/>
              <w:highlight w:val="none"/>
              <w14:textFill>
                <w14:solidFill>
                  <w14:schemeClr w14:val="tx1"/>
                </w14:solidFill>
              </w14:textFill>
            </w:rPr>
            <m:t>（ro）−20</m:t>
          </m:r>
          <m:sSub>
            <m:sSubPr>
              <m:ctrlPr>
                <w:rPr>
                  <w:rFonts w:hint="default" w:ascii="Cambria Math" w:hAnsi="Cambria Math" w:cs="Times New Roman"/>
                  <w:bCs/>
                  <w:i/>
                  <w:color w:val="000000" w:themeColor="text1"/>
                  <w:szCs w:val="24"/>
                  <w:highlight w:val="none"/>
                  <w14:textFill>
                    <w14:solidFill>
                      <w14:schemeClr w14:val="tx1"/>
                    </w14:solidFill>
                  </w14:textFill>
                </w:rPr>
              </m:ctrlPr>
            </m:sSubPr>
            <m:e>
              <m:r>
                <m:rPr/>
                <w:rPr>
                  <w:rFonts w:hint="default" w:ascii="Cambria Math" w:hAnsi="Cambria Math" w:cs="Times New Roman"/>
                  <w:color w:val="000000" w:themeColor="text1"/>
                  <w:szCs w:val="24"/>
                  <w:highlight w:val="none"/>
                  <w14:textFill>
                    <w14:solidFill>
                      <w14:schemeClr w14:val="tx1"/>
                    </w14:solidFill>
                  </w14:textFill>
                </w:rPr>
                <m:t>L</m:t>
              </m:r>
              <m:ctrlPr>
                <w:rPr>
                  <w:rFonts w:hint="default" w:ascii="Cambria Math" w:hAnsi="Cambria Math" w:cs="Times New Roman"/>
                  <w:bCs/>
                  <w:i/>
                  <w:color w:val="000000" w:themeColor="text1"/>
                  <w:szCs w:val="24"/>
                  <w:highlight w:val="none"/>
                  <w14:textFill>
                    <w14:solidFill>
                      <w14:schemeClr w14:val="tx1"/>
                    </w14:solidFill>
                  </w14:textFill>
                </w:rPr>
              </m:ctrlPr>
            </m:e>
            <m:sub>
              <m:r>
                <m:rPr/>
                <w:rPr>
                  <w:rFonts w:hint="default" w:ascii="Cambria Math" w:hAnsi="Cambria Math" w:cs="Times New Roman"/>
                  <w:color w:val="000000" w:themeColor="text1"/>
                  <w:szCs w:val="24"/>
                  <w:highlight w:val="none"/>
                  <w14:textFill>
                    <w14:solidFill>
                      <w14:schemeClr w14:val="tx1"/>
                    </w14:solidFill>
                  </w14:textFill>
                </w:rPr>
                <m:t>g</m:t>
              </m:r>
              <m:ctrlPr>
                <w:rPr>
                  <w:rFonts w:hint="default" w:ascii="Cambria Math" w:hAnsi="Cambria Math" w:cs="Times New Roman"/>
                  <w:bCs/>
                  <w:i/>
                  <w:color w:val="000000" w:themeColor="text1"/>
                  <w:szCs w:val="24"/>
                  <w:highlight w:val="none"/>
                  <w14:textFill>
                    <w14:solidFill>
                      <w14:schemeClr w14:val="tx1"/>
                    </w14:solidFill>
                  </w14:textFill>
                </w:rPr>
              </m:ctrlPr>
            </m:sub>
          </m:sSub>
          <m:d>
            <m:dPr>
              <m:ctrlPr>
                <w:rPr>
                  <w:rFonts w:hint="default" w:ascii="Cambria Math" w:hAnsi="Cambria Math" w:cs="Times New Roman"/>
                  <w:bCs/>
                  <w:i/>
                  <w:color w:val="000000" w:themeColor="text1"/>
                  <w:szCs w:val="24"/>
                  <w:highlight w:val="none"/>
                  <w14:textFill>
                    <w14:solidFill>
                      <w14:schemeClr w14:val="tx1"/>
                    </w14:solidFill>
                  </w14:textFill>
                </w:rPr>
              </m:ctrlPr>
            </m:dPr>
            <m:e>
              <m:f>
                <m:fPr>
                  <m:type m:val="lin"/>
                  <m:ctrlPr>
                    <w:rPr>
                      <w:rFonts w:hint="default" w:ascii="Cambria Math" w:hAnsi="Cambria Math" w:cs="Times New Roman"/>
                      <w:bCs/>
                      <w:i/>
                      <w:color w:val="000000" w:themeColor="text1"/>
                      <w:szCs w:val="24"/>
                      <w:highlight w:val="none"/>
                      <w14:textFill>
                        <w14:solidFill>
                          <w14:schemeClr w14:val="tx1"/>
                        </w14:solidFill>
                      </w14:textFill>
                    </w:rPr>
                  </m:ctrlPr>
                </m:fPr>
                <m:num>
                  <m:r>
                    <m:rPr/>
                    <w:rPr>
                      <w:rFonts w:hint="default" w:ascii="Cambria Math" w:hAnsi="Cambria Math" w:cs="Times New Roman"/>
                      <w:color w:val="000000" w:themeColor="text1"/>
                      <w:szCs w:val="24"/>
                      <w:highlight w:val="none"/>
                      <w14:textFill>
                        <w14:solidFill>
                          <w14:schemeClr w14:val="tx1"/>
                        </w14:solidFill>
                      </w14:textFill>
                    </w:rPr>
                    <m:t>r</m:t>
                  </m:r>
                  <m:ctrlPr>
                    <w:rPr>
                      <w:rFonts w:hint="default" w:ascii="Cambria Math" w:hAnsi="Cambria Math" w:cs="Times New Roman"/>
                      <w:bCs/>
                      <w:i/>
                      <w:color w:val="000000" w:themeColor="text1"/>
                      <w:szCs w:val="24"/>
                      <w:highlight w:val="none"/>
                      <w14:textFill>
                        <w14:solidFill>
                          <w14:schemeClr w14:val="tx1"/>
                        </w14:solidFill>
                      </w14:textFill>
                    </w:rPr>
                  </m:ctrlPr>
                </m:num>
                <m:den>
                  <m:sSub>
                    <m:sSubPr>
                      <m:ctrlPr>
                        <w:rPr>
                          <w:rFonts w:hint="default" w:ascii="Cambria Math" w:hAnsi="Cambria Math" w:cs="Times New Roman"/>
                          <w:bCs/>
                          <w:i/>
                          <w:color w:val="000000" w:themeColor="text1"/>
                          <w:szCs w:val="24"/>
                          <w:highlight w:val="none"/>
                          <w14:textFill>
                            <w14:solidFill>
                              <w14:schemeClr w14:val="tx1"/>
                            </w14:solidFill>
                          </w14:textFill>
                        </w:rPr>
                      </m:ctrlPr>
                    </m:sSubPr>
                    <m:e>
                      <m:r>
                        <m:rPr/>
                        <w:rPr>
                          <w:rFonts w:hint="default" w:ascii="Cambria Math" w:hAnsi="Cambria Math" w:cs="Times New Roman"/>
                          <w:color w:val="000000" w:themeColor="text1"/>
                          <w:szCs w:val="24"/>
                          <w:highlight w:val="none"/>
                          <w14:textFill>
                            <w14:solidFill>
                              <w14:schemeClr w14:val="tx1"/>
                            </w14:solidFill>
                          </w14:textFill>
                        </w:rPr>
                        <m:t>r</m:t>
                      </m:r>
                      <m:ctrlPr>
                        <w:rPr>
                          <w:rFonts w:hint="default" w:ascii="Cambria Math" w:hAnsi="Cambria Math" w:cs="Times New Roman"/>
                          <w:bCs/>
                          <w:i/>
                          <w:color w:val="000000" w:themeColor="text1"/>
                          <w:szCs w:val="24"/>
                          <w:highlight w:val="none"/>
                          <w14:textFill>
                            <w14:solidFill>
                              <w14:schemeClr w14:val="tx1"/>
                            </w14:solidFill>
                          </w14:textFill>
                        </w:rPr>
                      </m:ctrlPr>
                    </m:e>
                    <m:sub>
                      <m:r>
                        <m:rPr/>
                        <w:rPr>
                          <w:rFonts w:hint="default" w:ascii="Cambria Math" w:hAnsi="Cambria Math" w:cs="Times New Roman"/>
                          <w:color w:val="000000" w:themeColor="text1"/>
                          <w:szCs w:val="24"/>
                          <w:highlight w:val="none"/>
                          <w14:textFill>
                            <w14:solidFill>
                              <w14:schemeClr w14:val="tx1"/>
                            </w14:solidFill>
                          </w14:textFill>
                        </w:rPr>
                        <m:t>o</m:t>
                      </m:r>
                      <m:ctrlPr>
                        <w:rPr>
                          <w:rFonts w:hint="default" w:ascii="Cambria Math" w:hAnsi="Cambria Math" w:cs="Times New Roman"/>
                          <w:bCs/>
                          <w:i/>
                          <w:color w:val="000000" w:themeColor="text1"/>
                          <w:szCs w:val="24"/>
                          <w:highlight w:val="none"/>
                          <w14:textFill>
                            <w14:solidFill>
                              <w14:schemeClr w14:val="tx1"/>
                            </w14:solidFill>
                          </w14:textFill>
                        </w:rPr>
                      </m:ctrlPr>
                    </m:sub>
                  </m:sSub>
                  <m:ctrlPr>
                    <w:rPr>
                      <w:rFonts w:hint="default" w:ascii="Cambria Math" w:hAnsi="Cambria Math" w:cs="Times New Roman"/>
                      <w:bCs/>
                      <w:i/>
                      <w:color w:val="000000" w:themeColor="text1"/>
                      <w:szCs w:val="24"/>
                      <w:highlight w:val="none"/>
                      <w14:textFill>
                        <w14:solidFill>
                          <w14:schemeClr w14:val="tx1"/>
                        </w14:solidFill>
                      </w14:textFill>
                    </w:rPr>
                  </m:ctrlPr>
                </m:den>
              </m:f>
              <m:ctrlPr>
                <w:rPr>
                  <w:rFonts w:hint="default" w:ascii="Cambria Math" w:hAnsi="Cambria Math" w:cs="Times New Roman"/>
                  <w:bCs/>
                  <w:i/>
                  <w:color w:val="000000" w:themeColor="text1"/>
                  <w:szCs w:val="24"/>
                  <w:highlight w:val="none"/>
                  <w14:textFill>
                    <w14:solidFill>
                      <w14:schemeClr w14:val="tx1"/>
                    </w14:solidFill>
                  </w14:textFill>
                </w:rPr>
              </m:ctrlPr>
            </m:e>
          </m:d>
          <m:r>
            <m:rPr/>
            <w:rPr>
              <w:rFonts w:hint="default" w:ascii="Cambria Math" w:hAnsi="Cambria Math" w:cs="Times New Roman"/>
              <w:color w:val="000000" w:themeColor="text1"/>
              <w:szCs w:val="24"/>
              <w:highlight w:val="none"/>
              <w14:textFill>
                <w14:solidFill>
                  <w14:schemeClr w14:val="tx1"/>
                </w14:solidFill>
              </w14:textFill>
            </w:rPr>
            <m:t>−ΔL</m:t>
          </m:r>
        </m:oMath>
      </m:oMathPara>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式中：</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L</w:t>
      </w:r>
      <w:r>
        <w:rPr>
          <w:rFonts w:hint="default" w:ascii="Times New Roman" w:hAnsi="Times New Roman" w:cs="Times New Roman"/>
          <w:color w:val="000000" w:themeColor="text1"/>
          <w:highlight w:val="none"/>
          <w:vertAlign w:val="subscript"/>
          <w14:textFill>
            <w14:solidFill>
              <w14:schemeClr w14:val="tx1"/>
            </w14:solidFill>
          </w14:textFill>
        </w:rPr>
        <w:t>A</w:t>
      </w:r>
      <w:r>
        <w:rPr>
          <w:rFonts w:hint="default" w:ascii="Times New Roman" w:hAnsi="Times New Roman" w:cs="Times New Roman"/>
          <w:color w:val="000000" w:themeColor="text1"/>
          <w:highlight w:val="none"/>
          <w14:textFill>
            <w14:solidFill>
              <w14:schemeClr w14:val="tx1"/>
            </w14:solidFill>
          </w14:textFill>
        </w:rPr>
        <w:t>（r）—距声源r处的施工噪声预测值，dB（A）；</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L</w:t>
      </w:r>
      <w:r>
        <w:rPr>
          <w:rFonts w:hint="default" w:ascii="Times New Roman" w:hAnsi="Times New Roman" w:cs="Times New Roman"/>
          <w:color w:val="000000" w:themeColor="text1"/>
          <w:highlight w:val="none"/>
          <w:vertAlign w:val="subscript"/>
          <w14:textFill>
            <w14:solidFill>
              <w14:schemeClr w14:val="tx1"/>
            </w14:solidFill>
          </w14:textFill>
        </w:rPr>
        <w:t>A</w:t>
      </w:r>
      <w:r>
        <w:rPr>
          <w:rFonts w:hint="default" w:ascii="Times New Roman" w:hAnsi="Times New Roman" w:cs="Times New Roman"/>
          <w:color w:val="000000" w:themeColor="text1"/>
          <w:highlight w:val="none"/>
          <w14:textFill>
            <w14:solidFill>
              <w14:schemeClr w14:val="tx1"/>
            </w14:solidFill>
          </w14:textFill>
        </w:rPr>
        <w:t>（r</w:t>
      </w:r>
      <w:r>
        <w:rPr>
          <w:rFonts w:hint="default" w:ascii="Times New Roman" w:hAnsi="Times New Roman" w:cs="Times New Roman"/>
          <w:color w:val="000000" w:themeColor="text1"/>
          <w:highlight w:val="none"/>
          <w:vertAlign w:val="subscript"/>
          <w14:textFill>
            <w14:solidFill>
              <w14:schemeClr w14:val="tx1"/>
            </w14:solidFill>
          </w14:textFill>
        </w:rPr>
        <w:t>0</w:t>
      </w:r>
      <w:r>
        <w:rPr>
          <w:rFonts w:hint="default" w:ascii="Times New Roman" w:hAnsi="Times New Roman" w:cs="Times New Roman"/>
          <w:color w:val="000000" w:themeColor="text1"/>
          <w:highlight w:val="none"/>
          <w14:textFill>
            <w14:solidFill>
              <w14:schemeClr w14:val="tx1"/>
            </w14:solidFill>
          </w14:textFill>
        </w:rPr>
        <w:t>）—距声源r0处的参考声压级，dB（A）；</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r—预测点距声源的距离，m；</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r</w:t>
      </w:r>
      <w:r>
        <w:rPr>
          <w:rFonts w:hint="default" w:ascii="Times New Roman" w:hAnsi="Times New Roman" w:cs="Times New Roman"/>
          <w:color w:val="000000" w:themeColor="text1"/>
          <w:highlight w:val="none"/>
          <w:vertAlign w:val="subscript"/>
          <w14:textFill>
            <w14:solidFill>
              <w14:schemeClr w14:val="tx1"/>
            </w14:solidFill>
          </w14:textFill>
        </w:rPr>
        <w:t>0</w:t>
      </w:r>
      <w:r>
        <w:rPr>
          <w:rFonts w:hint="default" w:ascii="Times New Roman" w:hAnsi="Times New Roman" w:cs="Times New Roman"/>
          <w:color w:val="000000" w:themeColor="text1"/>
          <w:highlight w:val="none"/>
          <w14:textFill>
            <w14:solidFill>
              <w14:schemeClr w14:val="tx1"/>
            </w14:solidFill>
          </w14:textFill>
        </w:rPr>
        <w:t>—参考点距声源的距离，m。</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180975" cy="180975"/>
            <wp:effectExtent l="0" t="0" r="9525" b="9525"/>
            <wp:docPr id="670032246" name="图片 67003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32246" name="图片 67003224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t>—各种衰减量（除发散衰减外），dB（A）。室外噪声源</w: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180975" cy="180975"/>
            <wp:effectExtent l="0" t="0" r="9525" b="9525"/>
            <wp:docPr id="637849483" name="图片 63784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49483" name="图片 63784948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t>取为零。</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多个声源发出的噪声在同一受声点的共同影响，噪声在预测点处产生的等效声级贡献值叠加的计算公式如下：</w:t>
      </w:r>
    </w:p>
    <w:p>
      <w:pPr>
        <w:ind w:firstLine="480"/>
        <w:contextualSpacing/>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position w:val="-28"/>
          <w:szCs w:val="24"/>
          <w:highlight w:val="none"/>
          <w14:textFill>
            <w14:solidFill>
              <w14:schemeClr w14:val="tx1"/>
            </w14:solidFill>
          </w14:textFill>
        </w:rPr>
        <w:drawing>
          <wp:inline distT="0" distB="0" distL="0" distR="0">
            <wp:extent cx="1733550" cy="457200"/>
            <wp:effectExtent l="0" t="0" r="0" b="0"/>
            <wp:docPr id="551164088" name="图片 55116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64088" name="图片 55116408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1733550" cy="457200"/>
                    </a:xfrm>
                    <a:prstGeom prst="rect">
                      <a:avLst/>
                    </a:prstGeom>
                    <a:noFill/>
                    <a:ln>
                      <a:noFill/>
                    </a:ln>
                  </pic:spPr>
                </pic:pic>
              </a:graphicData>
            </a:graphic>
          </wp:inline>
        </w:drawing>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式中：</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Leqg—建设项目在预测点的等效声级贡献值，dB（A）；</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LAi—i声源在预测点产生的A声级，dB（A）；</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T—预测计算的时间段，s；</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ti—i声源在T时段内的运行时间，s。</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声源在敏感点处的贡献值叠加背景值即为该敏感点处噪声预测值，计算采用评价导则8.2.2中（2）式，公式为：</w:t>
      </w:r>
    </w:p>
    <w:p>
      <w:pPr>
        <w:ind w:firstLine="480"/>
        <w:contextualSpacing/>
        <w:jc w:val="center"/>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position w:val="-12"/>
          <w:szCs w:val="24"/>
          <w:highlight w:val="none"/>
          <w14:textFill>
            <w14:solidFill>
              <w14:schemeClr w14:val="tx1"/>
            </w14:solidFill>
          </w14:textFill>
        </w:rPr>
        <w:drawing>
          <wp:inline distT="0" distB="0" distL="0" distR="0">
            <wp:extent cx="2286000" cy="276225"/>
            <wp:effectExtent l="0" t="0" r="0" b="9525"/>
            <wp:docPr id="1788614019" name="图片 178861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14019" name="图片 17886140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286000" cy="276225"/>
                    </a:xfrm>
                    <a:prstGeom prst="rect">
                      <a:avLst/>
                    </a:prstGeom>
                    <a:noFill/>
                    <a:ln>
                      <a:noFill/>
                    </a:ln>
                  </pic:spPr>
                </pic:pic>
              </a:graphicData>
            </a:graphic>
          </wp:inline>
        </w:drawing>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式中：</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Leqg—建设项目声源在预测点的等效声级贡献值，dB（A）；</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Leqb—预测点的背景值，dB（A）。</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3 \* GB3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③</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场界噪声预测结果分析</w:t>
      </w:r>
    </w:p>
    <w:p>
      <w:pPr>
        <w:pStyle w:val="27"/>
        <w:ind w:firstLine="480"/>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根据上述预测模式，井场钻井噪声在各施工边界的噪声贡献值详见</w:t>
      </w: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REF _Ref144067328 \h  \* MERGEFORMAT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default" w:ascii="Times New Roman" w:hAnsi="Times New Roman" w:cs="Times New Roman"/>
          <w:color w:val="000000" w:themeColor="text1"/>
          <w:kern w:val="0"/>
          <w:szCs w:val="24"/>
          <w:highlight w:val="none"/>
          <w14:textFill>
            <w14:solidFill>
              <w14:schemeClr w14:val="tx1"/>
            </w14:solidFill>
          </w14:textFill>
        </w:rPr>
        <w:t>表5.1</w:t>
      </w:r>
      <w:r>
        <w:rPr>
          <w:rFonts w:hint="default" w:ascii="Times New Roman" w:hAnsi="Times New Roman" w:cs="Times New Roman"/>
          <w:color w:val="000000" w:themeColor="text1"/>
          <w:kern w:val="0"/>
          <w:szCs w:val="24"/>
          <w:highlight w:val="none"/>
          <w14:textFill>
            <w14:solidFill>
              <w14:schemeClr w14:val="tx1"/>
            </w14:solidFill>
          </w14:textFill>
        </w:rPr>
        <w:noBreakHyphen/>
      </w:r>
      <w:r>
        <w:rPr>
          <w:rFonts w:hint="default" w:ascii="Times New Roman" w:hAnsi="Times New Roman" w:cs="Times New Roman"/>
          <w:color w:val="000000" w:themeColor="text1"/>
          <w:kern w:val="0"/>
          <w:szCs w:val="24"/>
          <w:highlight w:val="none"/>
          <w14:textFill>
            <w14:solidFill>
              <w14:schemeClr w14:val="tx1"/>
            </w14:solidFill>
          </w14:textFill>
        </w:rPr>
        <w:t>3</w:t>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t>和</w:t>
      </w:r>
      <w:r>
        <w:rPr>
          <w:rFonts w:hint="default" w:ascii="Times New Roman" w:hAnsi="Times New Roman" w:cs="Times New Roman"/>
          <w:color w:val="000000" w:themeColor="text1"/>
          <w:kern w:val="0"/>
          <w:szCs w:val="24"/>
          <w:highlight w:val="none"/>
          <w14:textFill>
            <w14:solidFill>
              <w14:schemeClr w14:val="tx1"/>
            </w14:solidFill>
          </w14:textFill>
        </w:rPr>
        <w:fldChar w:fldCharType="begin"/>
      </w:r>
      <w:r>
        <w:rPr>
          <w:rFonts w:hint="default" w:ascii="Times New Roman" w:hAnsi="Times New Roman" w:cs="Times New Roman"/>
          <w:color w:val="000000" w:themeColor="text1"/>
          <w:kern w:val="0"/>
          <w:szCs w:val="24"/>
          <w:highlight w:val="none"/>
          <w14:textFill>
            <w14:solidFill>
              <w14:schemeClr w14:val="tx1"/>
            </w14:solidFill>
          </w14:textFill>
        </w:rPr>
        <w:instrText xml:space="preserve"> REF _Ref144067339 \h  \* MERGEFORMAT </w:instrText>
      </w:r>
      <w:r>
        <w:rPr>
          <w:rFonts w:hint="default" w:ascii="Times New Roman" w:hAnsi="Times New Roman" w:cs="Times New Roman"/>
          <w:color w:val="000000" w:themeColor="text1"/>
          <w:kern w:val="0"/>
          <w:szCs w:val="24"/>
          <w:highlight w:val="none"/>
          <w14:textFill>
            <w14:solidFill>
              <w14:schemeClr w14:val="tx1"/>
            </w14:solidFill>
          </w14:textFill>
        </w:rPr>
        <w:fldChar w:fldCharType="separate"/>
      </w:r>
      <w:r>
        <w:rPr>
          <w:rFonts w:hint="default" w:ascii="Times New Roman" w:hAnsi="Times New Roman" w:cs="Times New Roman"/>
          <w:color w:val="000000" w:themeColor="text1"/>
          <w:kern w:val="0"/>
          <w:szCs w:val="24"/>
          <w:highlight w:val="none"/>
          <w14:textFill>
            <w14:solidFill>
              <w14:schemeClr w14:val="tx1"/>
            </w14:solidFill>
          </w14:textFill>
        </w:rPr>
        <w:t>图5.1</w:t>
      </w:r>
      <w:r>
        <w:rPr>
          <w:rFonts w:hint="default" w:ascii="Times New Roman" w:hAnsi="Times New Roman" w:cs="Times New Roman"/>
          <w:color w:val="000000" w:themeColor="text1"/>
          <w:kern w:val="0"/>
          <w:szCs w:val="24"/>
          <w:highlight w:val="none"/>
          <w14:textFill>
            <w14:solidFill>
              <w14:schemeClr w14:val="tx1"/>
            </w14:solidFill>
          </w14:textFill>
        </w:rPr>
        <w:noBreakHyphen/>
      </w:r>
      <w:r>
        <w:rPr>
          <w:rFonts w:hint="default" w:ascii="Times New Roman" w:hAnsi="Times New Roman" w:cs="Times New Roman"/>
          <w:color w:val="000000" w:themeColor="text1"/>
          <w:kern w:val="0"/>
          <w:szCs w:val="24"/>
          <w:highlight w:val="none"/>
          <w14:textFill>
            <w14:solidFill>
              <w14:schemeClr w14:val="tx1"/>
            </w14:solidFill>
          </w14:textFill>
        </w:rPr>
        <w:t>2</w:t>
      </w:r>
      <w:r>
        <w:rPr>
          <w:rFonts w:hint="default" w:ascii="Times New Roman" w:hAnsi="Times New Roman" w:cs="Times New Roman"/>
          <w:color w:val="000000" w:themeColor="text1"/>
          <w:kern w:val="0"/>
          <w:szCs w:val="24"/>
          <w:highlight w:val="none"/>
          <w14:textFill>
            <w14:solidFill>
              <w14:schemeClr w14:val="tx1"/>
            </w14:solidFill>
          </w14:textFill>
        </w:rPr>
        <w:fldChar w:fldCharType="end"/>
      </w:r>
      <w:r>
        <w:rPr>
          <w:rFonts w:hint="default" w:ascii="Times New Roman" w:hAnsi="Times New Roman" w:cs="Times New Roman"/>
          <w:color w:val="000000" w:themeColor="text1"/>
          <w:kern w:val="0"/>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63" w:name="_Ref144067328"/>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bookmarkEnd w:id="263"/>
      <w:r>
        <w:rPr>
          <w:rFonts w:hint="default" w:ascii="Times New Roman" w:hAnsi="Times New Roman" w:cs="Times New Roman"/>
          <w:color w:val="000000" w:themeColor="text1"/>
          <w:highlight w:val="none"/>
          <w14:textFill>
            <w14:solidFill>
              <w14:schemeClr w14:val="tx1"/>
            </w14:solidFill>
          </w14:textFill>
        </w:rPr>
        <w:t xml:space="preserve"> 本项目柴油机工况钻井噪声影响   单位：dB（A）</w:t>
      </w:r>
    </w:p>
    <w:tbl>
      <w:tblPr>
        <w:tblStyle w:val="5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72"/>
        <w:gridCol w:w="1418"/>
        <w:gridCol w:w="719"/>
        <w:gridCol w:w="844"/>
        <w:gridCol w:w="804"/>
        <w:gridCol w:w="949"/>
        <w:gridCol w:w="950"/>
        <w:gridCol w:w="949"/>
        <w:gridCol w:w="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464" w:type="pct"/>
            <w:vMerge w:val="restar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预测工况</w:t>
            </w:r>
          </w:p>
        </w:tc>
        <w:tc>
          <w:tcPr>
            <w:tcW w:w="852" w:type="pct"/>
            <w:vMerge w:val="restar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场界</w:t>
            </w:r>
          </w:p>
        </w:tc>
        <w:tc>
          <w:tcPr>
            <w:tcW w:w="1422" w:type="pct"/>
            <w:gridSpan w:val="3"/>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坐标</w:t>
            </w:r>
          </w:p>
        </w:tc>
        <w:tc>
          <w:tcPr>
            <w:tcW w:w="1141" w:type="pct"/>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噪声贡献值</w:t>
            </w:r>
          </w:p>
        </w:tc>
        <w:tc>
          <w:tcPr>
            <w:tcW w:w="1118" w:type="pct"/>
            <w:gridSpan w:val="2"/>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超标值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464"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852"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43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X</w:t>
            </w:r>
          </w:p>
        </w:tc>
        <w:tc>
          <w:tcPr>
            <w:tcW w:w="50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Y</w:t>
            </w:r>
          </w:p>
        </w:tc>
        <w:tc>
          <w:tcPr>
            <w:tcW w:w="4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Z</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昼间</w:t>
            </w:r>
          </w:p>
        </w:tc>
        <w:tc>
          <w:tcPr>
            <w:tcW w:w="5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夜间</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昼间</w:t>
            </w:r>
          </w:p>
        </w:tc>
        <w:tc>
          <w:tcPr>
            <w:tcW w:w="5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464" w:type="pct"/>
            <w:vMerge w:val="restart"/>
            <w:tcBorders>
              <w:top w:val="single" w:color="auto" w:sz="4" w:space="0"/>
              <w:left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柴油机供电</w:t>
            </w:r>
          </w:p>
        </w:tc>
        <w:tc>
          <w:tcPr>
            <w:tcW w:w="85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西侧厂界</w:t>
            </w:r>
          </w:p>
        </w:tc>
        <w:tc>
          <w:tcPr>
            <w:tcW w:w="43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-22.87</w:t>
            </w:r>
          </w:p>
        </w:tc>
        <w:tc>
          <w:tcPr>
            <w:tcW w:w="50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35.77</w:t>
            </w:r>
          </w:p>
        </w:tc>
        <w:tc>
          <w:tcPr>
            <w:tcW w:w="4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64</w:t>
            </w:r>
          </w:p>
        </w:tc>
        <w:tc>
          <w:tcPr>
            <w:tcW w:w="5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64</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464" w:type="pct"/>
            <w:vMerge w:val="continue"/>
            <w:tcBorders>
              <w:left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85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北侧厂界</w:t>
            </w:r>
          </w:p>
        </w:tc>
        <w:tc>
          <w:tcPr>
            <w:tcW w:w="43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57.91</w:t>
            </w:r>
          </w:p>
        </w:tc>
        <w:tc>
          <w:tcPr>
            <w:tcW w:w="50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53.72</w:t>
            </w:r>
          </w:p>
        </w:tc>
        <w:tc>
          <w:tcPr>
            <w:tcW w:w="4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52</w:t>
            </w:r>
          </w:p>
        </w:tc>
        <w:tc>
          <w:tcPr>
            <w:tcW w:w="5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52</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464" w:type="pct"/>
            <w:vMerge w:val="continue"/>
            <w:tcBorders>
              <w:left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85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东侧厂界</w:t>
            </w:r>
          </w:p>
        </w:tc>
        <w:tc>
          <w:tcPr>
            <w:tcW w:w="43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18.02</w:t>
            </w:r>
          </w:p>
        </w:tc>
        <w:tc>
          <w:tcPr>
            <w:tcW w:w="50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-27.06</w:t>
            </w:r>
          </w:p>
        </w:tc>
        <w:tc>
          <w:tcPr>
            <w:tcW w:w="4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57</w:t>
            </w:r>
          </w:p>
        </w:tc>
        <w:tc>
          <w:tcPr>
            <w:tcW w:w="5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57</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464" w:type="pct"/>
            <w:vMerge w:val="continue"/>
            <w:tcBorders>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85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南侧厂界</w:t>
            </w:r>
          </w:p>
        </w:tc>
        <w:tc>
          <w:tcPr>
            <w:tcW w:w="43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-52.29</w:t>
            </w:r>
          </w:p>
        </w:tc>
        <w:tc>
          <w:tcPr>
            <w:tcW w:w="50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-43.01</w:t>
            </w:r>
          </w:p>
        </w:tc>
        <w:tc>
          <w:tcPr>
            <w:tcW w:w="4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51</w:t>
            </w:r>
          </w:p>
        </w:tc>
        <w:tc>
          <w:tcPr>
            <w:tcW w:w="5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51</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464" w:type="pct"/>
            <w:vMerge w:val="restart"/>
            <w:tcBorders>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网电供电</w:t>
            </w:r>
          </w:p>
        </w:tc>
        <w:tc>
          <w:tcPr>
            <w:tcW w:w="85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西侧厂界</w:t>
            </w:r>
          </w:p>
        </w:tc>
        <w:tc>
          <w:tcPr>
            <w:tcW w:w="43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-22.87</w:t>
            </w:r>
          </w:p>
        </w:tc>
        <w:tc>
          <w:tcPr>
            <w:tcW w:w="50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35.77</w:t>
            </w:r>
          </w:p>
        </w:tc>
        <w:tc>
          <w:tcPr>
            <w:tcW w:w="4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61</w:t>
            </w:r>
          </w:p>
        </w:tc>
        <w:tc>
          <w:tcPr>
            <w:tcW w:w="5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61</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464" w:type="pct"/>
            <w:vMerge w:val="continue"/>
            <w:tcBorders>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85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北侧厂界</w:t>
            </w:r>
          </w:p>
        </w:tc>
        <w:tc>
          <w:tcPr>
            <w:tcW w:w="43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57.91</w:t>
            </w:r>
          </w:p>
        </w:tc>
        <w:tc>
          <w:tcPr>
            <w:tcW w:w="50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53.72</w:t>
            </w:r>
          </w:p>
        </w:tc>
        <w:tc>
          <w:tcPr>
            <w:tcW w:w="4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45</w:t>
            </w:r>
          </w:p>
        </w:tc>
        <w:tc>
          <w:tcPr>
            <w:tcW w:w="5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45</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464" w:type="pct"/>
            <w:vMerge w:val="continue"/>
            <w:tcBorders>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85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东侧厂界</w:t>
            </w:r>
          </w:p>
        </w:tc>
        <w:tc>
          <w:tcPr>
            <w:tcW w:w="43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18.02</w:t>
            </w:r>
          </w:p>
        </w:tc>
        <w:tc>
          <w:tcPr>
            <w:tcW w:w="50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-27.06</w:t>
            </w:r>
          </w:p>
        </w:tc>
        <w:tc>
          <w:tcPr>
            <w:tcW w:w="4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56</w:t>
            </w:r>
          </w:p>
        </w:tc>
        <w:tc>
          <w:tcPr>
            <w:tcW w:w="5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56</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464" w:type="pct"/>
            <w:vMerge w:val="continue"/>
            <w:tcBorders>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85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南侧厂界</w:t>
            </w:r>
          </w:p>
        </w:tc>
        <w:tc>
          <w:tcPr>
            <w:tcW w:w="43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-52.29</w:t>
            </w:r>
          </w:p>
        </w:tc>
        <w:tc>
          <w:tcPr>
            <w:tcW w:w="50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-43.01</w:t>
            </w:r>
          </w:p>
        </w:tc>
        <w:tc>
          <w:tcPr>
            <w:tcW w:w="4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50</w:t>
            </w:r>
          </w:p>
        </w:tc>
        <w:tc>
          <w:tcPr>
            <w:tcW w:w="5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4"/>
                <w:highlight w:val="none"/>
                <w14:textFill>
                  <w14:solidFill>
                    <w14:schemeClr w14:val="tx1"/>
                  </w14:solidFill>
                </w14:textFill>
              </w:rPr>
              <w:t>50</w:t>
            </w:r>
          </w:p>
        </w:tc>
        <w:tc>
          <w:tcPr>
            <w:tcW w:w="57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54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bl>
    <w:p>
      <w:pPr>
        <w:pStyle w:val="93"/>
        <w:rPr>
          <w:rFonts w:hint="default" w:ascii="Times New Roman" w:hAnsi="Times New Roman" w:cs="Times New Roman"/>
          <w:color w:val="000000" w:themeColor="text1"/>
          <w:sz w:val="10"/>
          <w:szCs w:val="10"/>
          <w:highlight w:val="none"/>
          <w14:textFill>
            <w14:solidFill>
              <w14:schemeClr w14:val="tx1"/>
            </w14:solidFill>
          </w14:textFill>
        </w:rPr>
      </w:pP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drawing>
          <wp:inline distT="0" distB="0" distL="0" distR="0">
            <wp:extent cx="4540250" cy="3649345"/>
            <wp:effectExtent l="0" t="0" r="0" b="8255"/>
            <wp:docPr id="226306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06093" name="图片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4540250" cy="3649345"/>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钻井期电网供电工况噪声贡献值等声级线图</w:t>
      </w:r>
    </w:p>
    <w:p>
      <w:pPr>
        <w:pStyle w:val="93"/>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drawing>
          <wp:inline distT="0" distB="0" distL="0" distR="0">
            <wp:extent cx="4563745" cy="3569970"/>
            <wp:effectExtent l="0" t="0" r="8255" b="0"/>
            <wp:docPr id="11412068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06837" name="图片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4563745" cy="3569970"/>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264" w:name="_Ref144067339"/>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bookmarkEnd w:id="264"/>
      <w:r>
        <w:rPr>
          <w:rFonts w:hint="default" w:ascii="Times New Roman" w:hAnsi="Times New Roman" w:cs="Times New Roman"/>
          <w:color w:val="000000" w:themeColor="text1"/>
          <w:highlight w:val="none"/>
          <w14:textFill>
            <w14:solidFill>
              <w14:schemeClr w14:val="tx1"/>
            </w14:solidFill>
          </w14:textFill>
        </w:rPr>
        <w:t xml:space="preserve"> 钻井期柴油机工况噪声贡献值等声级线图</w:t>
      </w:r>
    </w:p>
    <w:p>
      <w:pPr>
        <w:ind w:firstLine="48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由上图表可知，在电网供电时，井场四个场界昼间噪声满足《建筑施工场界环境噪声排放标准》（GB12523-2011）标准，夜间西侧、东侧场界噪声均超标，超标范围1~6dB（A）；采用柴油发电机供电钻井施工期间，井场四个场界昼间噪声满足《建筑施工场界环境噪声排放标准》（GB12523-2011）标准；夜间东南、西北、西南三个场界噪声超标范围2~9dB（A）。</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由以上分析可知，网电供电时场界噪声明显小于柴油发电机供电，拟建项目钻井期间采用网电供电，且在厂界范围外四周仍按一定距离进行了征地，钻井期噪声仅限于钻机施工，随钻井结束而结束，对周边声环境影响可以接受</w:t>
      </w:r>
      <w:r>
        <w:rPr>
          <w:rFonts w:hint="default" w:ascii="Times New Roman" w:hAnsi="Times New Roman" w:cs="Times New Roman"/>
          <w:color w:val="000000" w:themeColor="text1"/>
          <w:highlight w:val="none"/>
          <w14:textFill>
            <w14:solidFill>
              <w14:schemeClr w14:val="tx1"/>
            </w14:solidFill>
          </w14:textFill>
        </w:rPr>
        <w:t>。</w:t>
      </w:r>
    </w:p>
    <w:p>
      <w:pPr>
        <w:widowControl/>
        <w:ind w:firstLine="482"/>
        <w:jc w:val="left"/>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（4）钻井阶段敏感目标处噪声预测</w:t>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根据《环境影响评价技术导则 声环境》（HJ2.4-2021），预测点的贡献值和背景值按能量叠加方法计算得到的声级为预测值，计算公式为：</w:t>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drawing>
          <wp:inline distT="0" distB="0" distL="0" distR="0">
            <wp:extent cx="1781175" cy="387985"/>
            <wp:effectExtent l="0" t="0" r="0" b="0"/>
            <wp:docPr id="1284131446" name="图片 128413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31446" name="图片 1284131446"/>
                    <pic:cNvPicPr>
                      <a:picLocks noChangeAspect="1"/>
                    </pic:cNvPicPr>
                  </pic:nvPicPr>
                  <pic:blipFill>
                    <a:blip r:embed="rId71"/>
                    <a:stretch>
                      <a:fillRect/>
                    </a:stretch>
                  </pic:blipFill>
                  <pic:spPr>
                    <a:xfrm>
                      <a:off x="0" y="0"/>
                      <a:ext cx="1780952" cy="388328"/>
                    </a:xfrm>
                    <a:prstGeom prst="rect">
                      <a:avLst/>
                    </a:prstGeom>
                  </pic:spPr>
                </pic:pic>
              </a:graphicData>
            </a:graphic>
          </wp:inline>
        </w:drawing>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式中：Leq——预测点的噪声预测值，dB；</w:t>
      </w:r>
    </w:p>
    <w:p>
      <w:pPr>
        <w:widowControl/>
        <w:ind w:firstLine="1132" w:firstLineChars="472"/>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Leqg——建设项目声源在预测点产生的噪声贡献值，dB；</w:t>
      </w:r>
    </w:p>
    <w:p>
      <w:pPr>
        <w:widowControl/>
        <w:ind w:firstLine="1132" w:firstLineChars="472"/>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Leqb——预测点的背景噪声值，dB。</w:t>
      </w:r>
    </w:p>
    <w:p>
      <w:pPr>
        <w:spacing w:before="120" w:beforeLines="5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由以上预测结果知，通过进一步预测得知，非正常情况（柴油机工况）期间昼间噪声达标距离为井口约113m范围内、夜间噪声达标距离为井口约167m范围内。结合外环境关系调查可知，井口周边300m范围内无居民分布。总的来看，项目的建设对周围居民影响较小。</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此外，本项目优先采用网电供电，仅在停电时采用柴油发电机供电，正常施工时噪声影响较小。同时如果施工时有附近居民投诉噪声超标，将根据施工时投诉居民的实测噪声值情况，对居民采取临时避让措施（临时避让范围根据施工过程中噪声监测超标情况确定），同时通过宣传讲解、争取谅解的方式，将噪声对周边环境的影响降至最低。钻井噪声影响是暂时性的，钻井结束后影响即消失</w:t>
      </w:r>
      <w:r>
        <w:rPr>
          <w:rFonts w:hint="default" w:ascii="Times New Roman" w:hAnsi="Times New Roman" w:cs="Times New Roman"/>
          <w:color w:val="000000" w:themeColor="text1"/>
          <w:szCs w:val="24"/>
          <w:highlight w:val="none"/>
          <w14:textFill>
            <w14:solidFill>
              <w14:schemeClr w14:val="tx1"/>
            </w14:solidFill>
          </w14:textFill>
        </w:rPr>
        <w:t>。</w:t>
      </w:r>
    </w:p>
    <w:p>
      <w:pPr>
        <w:pStyle w:val="224"/>
        <w:ind w:firstLine="482"/>
        <w:rPr>
          <w:rFonts w:hint="default" w:ascii="Times New Roman" w:hAnsi="Times New Roman" w:cs="Times New Roman"/>
          <w:b/>
          <w:color w:val="000000" w:themeColor="text1"/>
          <w:highlight w:val="none"/>
          <w:lang w:eastAsia="zh-CN"/>
          <w14:textFill>
            <w14:solidFill>
              <w14:schemeClr w14:val="tx1"/>
            </w14:solidFill>
          </w14:textFill>
        </w:rPr>
      </w:pPr>
      <w:r>
        <w:rPr>
          <w:rFonts w:hint="default" w:ascii="Times New Roman" w:hAnsi="Times New Roman" w:cs="Times New Roman"/>
          <w:b/>
          <w:color w:val="000000" w:themeColor="text1"/>
          <w:highlight w:val="none"/>
          <w:lang w:val="en-US" w:eastAsia="zh-CN"/>
          <w14:textFill>
            <w14:solidFill>
              <w14:schemeClr w14:val="tx1"/>
            </w14:solidFill>
          </w14:textFill>
        </w:rPr>
        <w:t>2</w:t>
      </w:r>
      <w:r>
        <w:rPr>
          <w:rFonts w:hint="default" w:ascii="Times New Roman" w:hAnsi="Times New Roman" w:cs="Times New Roman"/>
          <w:b/>
          <w:color w:val="000000" w:themeColor="text1"/>
          <w:highlight w:val="none"/>
          <w:lang w:eastAsia="zh-CN"/>
          <w14:textFill>
            <w14:solidFill>
              <w14:schemeClr w14:val="tx1"/>
            </w14:solidFill>
          </w14:textFill>
        </w:rPr>
        <w:t>、</w:t>
      </w:r>
      <w:r>
        <w:rPr>
          <w:rFonts w:hint="default" w:ascii="Times New Roman" w:hAnsi="Times New Roman" w:cs="Times New Roman"/>
          <w:b/>
          <w:color w:val="000000" w:themeColor="text1"/>
          <w:highlight w:val="none"/>
          <w:lang w:val="en-US" w:eastAsia="zh-CN"/>
          <w14:textFill>
            <w14:solidFill>
              <w14:schemeClr w14:val="tx1"/>
            </w14:solidFill>
          </w14:textFill>
        </w:rPr>
        <w:t>事故</w:t>
      </w:r>
      <w:r>
        <w:rPr>
          <w:rFonts w:hint="default" w:ascii="Times New Roman" w:hAnsi="Times New Roman" w:cs="Times New Roman"/>
          <w:b/>
          <w:color w:val="000000" w:themeColor="text1"/>
          <w:highlight w:val="none"/>
          <w:lang w:eastAsia="zh-CN"/>
          <w14:textFill>
            <w14:solidFill>
              <w14:schemeClr w14:val="tx1"/>
            </w14:solidFill>
          </w14:textFill>
        </w:rPr>
        <w:t>放喷噪声环境影响预测及分析</w:t>
      </w:r>
    </w:p>
    <w:p>
      <w:pPr>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事故放喷是由于地层高压异常导致的，在石油天然气行业是低概率事件</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事故放喷时间持续较短，且通过专用的放喷管线将天然气引至放喷池进行点火放喷，事故放喷时间短</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噪声源强度约为95~105dB（A）。项目通过在放喷池设置三面建较高的密实的防火墙，可以降低一定的噪声；随着</w:t>
      </w:r>
      <w:r>
        <w:rPr>
          <w:rFonts w:hint="default" w:ascii="Times New Roman" w:hAnsi="Times New Roman" w:cs="Times New Roman"/>
          <w:color w:val="000000" w:themeColor="text1"/>
          <w:szCs w:val="24"/>
          <w:highlight w:val="none"/>
          <w:lang w:val="en-US" w:eastAsia="zh-CN"/>
          <w14:textFill>
            <w14:solidFill>
              <w14:schemeClr w14:val="tx1"/>
            </w14:solidFill>
          </w14:textFill>
        </w:rPr>
        <w:t>事故放喷</w:t>
      </w:r>
      <w:r>
        <w:rPr>
          <w:rFonts w:hint="default" w:ascii="Times New Roman" w:hAnsi="Times New Roman" w:cs="Times New Roman"/>
          <w:color w:val="000000" w:themeColor="text1"/>
          <w:szCs w:val="24"/>
          <w:highlight w:val="none"/>
          <w14:textFill>
            <w14:solidFill>
              <w14:schemeClr w14:val="tx1"/>
            </w14:solidFill>
          </w14:textFill>
        </w:rPr>
        <w:t>的结束，噪声影响也消失。因此，</w:t>
      </w:r>
      <w:r>
        <w:rPr>
          <w:rFonts w:hint="default" w:ascii="Times New Roman" w:hAnsi="Times New Roman" w:cs="Times New Roman"/>
          <w:color w:val="000000" w:themeColor="text1"/>
          <w:szCs w:val="24"/>
          <w:highlight w:val="none"/>
          <w:lang w:val="en-US" w:eastAsia="zh-CN"/>
          <w14:textFill>
            <w14:solidFill>
              <w14:schemeClr w14:val="tx1"/>
            </w14:solidFill>
          </w14:textFill>
        </w:rPr>
        <w:t>事故</w:t>
      </w:r>
      <w:r>
        <w:rPr>
          <w:rFonts w:hint="default" w:ascii="Times New Roman" w:hAnsi="Times New Roman" w:cs="Times New Roman"/>
          <w:color w:val="000000" w:themeColor="text1"/>
          <w:szCs w:val="24"/>
          <w:highlight w:val="none"/>
          <w14:textFill>
            <w14:solidFill>
              <w14:schemeClr w14:val="tx1"/>
            </w14:solidFill>
          </w14:textFill>
        </w:rPr>
        <w:t>放喷噪声影响短暂的，对周围居民影响是可接受的。</w:t>
      </w:r>
    </w:p>
    <w:p>
      <w:pPr>
        <w:pStyle w:val="27"/>
        <w:ind w:firstLine="480"/>
        <w:rPr>
          <w:rFonts w:hint="default" w:ascii="Times New Roman" w:hAnsi="Times New Roman" w:eastAsia="黑体" w:cs="Times New Roman"/>
          <w:color w:val="000000" w:themeColor="text1"/>
          <w:szCs w:val="24"/>
          <w:highlight w:val="none"/>
          <w14:textFill>
            <w14:solidFill>
              <w14:schemeClr w14:val="tx1"/>
            </w14:solidFill>
          </w14:textFill>
        </w:rPr>
      </w:pPr>
      <w:bookmarkStart w:id="265" w:name="5.1.4施工期固体废物环境影响分析"/>
      <w:bookmarkEnd w:id="265"/>
      <w:r>
        <w:rPr>
          <w:rFonts w:hint="default" w:ascii="Times New Roman" w:hAnsi="Times New Roman" w:eastAsia="黑体" w:cs="Times New Roman"/>
          <w:color w:val="000000" w:themeColor="text1"/>
          <w:szCs w:val="24"/>
          <w:highlight w:val="none"/>
          <w14:textFill>
            <w14:solidFill>
              <w14:schemeClr w14:val="tx1"/>
            </w14:solidFill>
          </w14:textFill>
        </w:rPr>
        <w:t>4、土壤环境影响分析</w:t>
      </w:r>
    </w:p>
    <w:p>
      <w:pPr>
        <w:pStyle w:val="27"/>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（1）土壤环境影响分析</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1）大气污染途径</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天然气开发过程中主要的大气污染物有甲烷、SO</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、NOx、颗粒物及挥发性有机物等，主要来源于场地施工机械、柴油发电机等</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同时，事故放喷时的燃烧废气中</w:t>
      </w:r>
      <w:r>
        <w:rPr>
          <w:rFonts w:hint="default" w:ascii="Times New Roman" w:hAnsi="Times New Roman" w:cs="Times New Roman"/>
          <w:bCs/>
          <w:color w:val="000000" w:themeColor="text1"/>
          <w:szCs w:val="24"/>
          <w:highlight w:val="none"/>
          <w14:textFill>
            <w14:solidFill>
              <w14:schemeClr w14:val="tx1"/>
            </w14:solidFill>
          </w14:textFill>
        </w:rPr>
        <w:t>有SO</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上述</w:t>
      </w:r>
      <w:r>
        <w:rPr>
          <w:rFonts w:hint="default" w:ascii="Times New Roman" w:hAnsi="Times New Roman" w:cs="Times New Roman"/>
          <w:bCs/>
          <w:color w:val="000000" w:themeColor="text1"/>
          <w:szCs w:val="24"/>
          <w:highlight w:val="none"/>
          <w14:textFill>
            <w14:solidFill>
              <w14:schemeClr w14:val="tx1"/>
            </w14:solidFill>
          </w14:textFill>
        </w:rPr>
        <w:t>大气污染物通过降雨或沉降进入土壤，从而引起土壤污染。</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根据对周边已建天然气项目的调查，通过施工单位严格施工管理，天然气开发过程中周边大气中一般不会出现重金属、挥发性有机物以及SO</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等酸性氧化物超标的情况，通过大气污染土壤的可能性较小。</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2）水污染途径</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本项目井场建设期污染物主要通过地面漫流、垂直入渗途径污染土壤。</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①地面漫流</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对于泥浆不落地装置区及泥浆循环系统、泥浆料台区、储备罐区、油罐区、柴油机组区、放喷池等区域，在事故情况和降雨情况下产生的废水</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及油类物质</w:t>
      </w:r>
      <w:r>
        <w:rPr>
          <w:rFonts w:hint="default" w:ascii="Times New Roman" w:hAnsi="Times New Roman" w:cs="Times New Roman"/>
          <w:bCs/>
          <w:color w:val="000000" w:themeColor="text1"/>
          <w:szCs w:val="24"/>
          <w:highlight w:val="none"/>
          <w14:textFill>
            <w14:solidFill>
              <w14:schemeClr w14:val="tx1"/>
            </w14:solidFill>
          </w14:textFill>
        </w:rPr>
        <w:t>会发生地面漫流，进一步污染土壤。</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建设单位对泥浆不落地装置区及泥浆循环系统、泥浆料台区、储备罐区、油罐区、柴油机组区均设置了防雨棚，废油暂存区、发电机均设在活动房内，方井周边、放喷池在雨天加盖篷布，避免暴雨引起废水、废油外溢形成地面漫流。并在废水收集罐周围设置0.</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m高围堰，防止废水外溢；油罐区周围设置0.</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m高围堰及集油池，防止</w:t>
      </w:r>
      <w:r>
        <w:rPr>
          <w:rFonts w:hint="default" w:ascii="Times New Roman" w:hAnsi="Times New Roman" w:cs="Times New Roman"/>
          <w:bCs/>
          <w:color w:val="000000" w:themeColor="text1"/>
          <w:szCs w:val="24"/>
          <w:highlight w:val="none"/>
          <w:lang w:eastAsia="zh-CN"/>
          <w14:textFill>
            <w14:solidFill>
              <w14:schemeClr w14:val="tx1"/>
            </w14:solidFill>
          </w14:textFill>
        </w:rPr>
        <w:t>泄漏</w:t>
      </w:r>
      <w:r>
        <w:rPr>
          <w:rFonts w:hint="default" w:ascii="Times New Roman" w:hAnsi="Times New Roman" w:cs="Times New Roman"/>
          <w:bCs/>
          <w:color w:val="000000" w:themeColor="text1"/>
          <w:szCs w:val="24"/>
          <w:highlight w:val="none"/>
          <w14:textFill>
            <w14:solidFill>
              <w14:schemeClr w14:val="tx1"/>
            </w14:solidFill>
          </w14:textFill>
        </w:rPr>
        <w:t>油料外溢；放喷池最低面墙设置不低于0.5m，避免雨水进入；井口作业区周边设置导流沟，将可能泄露的废水导流至集污坑；井场四周设置双环沟，外环沟与自然沟渠连接，便于导排场地外雨水等，内环沟用于收集井场内的雨水和可能产生的污水，汇入集污坑。通过以上措施全面防控事故废水和可能受污染的雨水发生地面漫流，进入土壤。</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在全面落实污染防控措施的情况下，污染物的地面漫流对土壤影响较小。</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②垂直入渗</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对于泥浆不落地装置区及泥浆循环系统、泥浆料台区、储备罐区、油罐区、放喷池、方井周边、</w:t>
      </w:r>
      <w:r>
        <w:rPr>
          <w:rFonts w:hint="default" w:ascii="Times New Roman" w:hAnsi="Times New Roman" w:cs="Times New Roman"/>
          <w:color w:val="000000" w:themeColor="text1"/>
          <w:szCs w:val="24"/>
          <w:highlight w:val="none"/>
          <w14:textFill>
            <w14:solidFill>
              <w14:schemeClr w14:val="tx1"/>
            </w14:solidFill>
          </w14:textFill>
        </w:rPr>
        <w:t>钻井固废暂存区</w:t>
      </w:r>
      <w:r>
        <w:rPr>
          <w:rFonts w:hint="default" w:ascii="Times New Roman" w:hAnsi="Times New Roman" w:cs="Times New Roman"/>
          <w:bCs/>
          <w:color w:val="000000" w:themeColor="text1"/>
          <w:szCs w:val="24"/>
          <w:highlight w:val="none"/>
          <w14:textFill>
            <w14:solidFill>
              <w14:schemeClr w14:val="tx1"/>
            </w14:solidFill>
          </w14:textFill>
        </w:rPr>
        <w:t>、发电机房、柴油机组区等区域，在事故情况下会造成污染物的泄露，通过垂直入渗途径污染土壤。</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本项目井场采取分区防渗措施，</w:t>
      </w:r>
      <w:r>
        <w:rPr>
          <w:rFonts w:hint="default" w:ascii="Times New Roman" w:hAnsi="Times New Roman" w:cs="Times New Roman"/>
          <w:color w:val="000000" w:themeColor="text1"/>
          <w:szCs w:val="24"/>
          <w:highlight w:val="none"/>
          <w14:textFill>
            <w14:solidFill>
              <w14:schemeClr w14:val="tx1"/>
            </w14:solidFill>
          </w14:textFill>
        </w:rPr>
        <w:t>场地内方井、泥浆循环系统区域、泥浆不落地系统区域（含油桶堆放区）、泥浆储备罐区、循环罐区、柴油罐区、放喷池、污水罐、埋地管道等采取重点防渗措施；井架基础、发电机房、钻井固废暂存区、气源房、材料棚、雨、污分流区域以及厕所等区域采取一般防渗措施；其他区域等采取简单防渗措施</w:t>
      </w:r>
      <w:r>
        <w:rPr>
          <w:rFonts w:hint="default" w:ascii="Times New Roman" w:hAnsi="Times New Roman" w:cs="Times New Roman"/>
          <w:bCs/>
          <w:color w:val="000000" w:themeColor="text1"/>
          <w:szCs w:val="24"/>
          <w:highlight w:val="none"/>
          <w14:textFill>
            <w14:solidFill>
              <w14:schemeClr w14:val="tx1"/>
            </w14:solidFill>
          </w14:textFill>
        </w:rPr>
        <w:t>。在全面落实分区防渗措施的情况下，污染物的垂直入渗对土壤影响较小。</w:t>
      </w:r>
    </w:p>
    <w:p>
      <w:pPr>
        <w:pStyle w:val="27"/>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（2）土壤环境影响预测与评价</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w:t>
      </w:r>
      <w:r>
        <w:rPr>
          <w:rFonts w:hint="default" w:ascii="Times New Roman" w:hAnsi="Times New Roman" w:cs="Times New Roman"/>
          <w:color w:val="000000" w:themeColor="text1"/>
          <w:szCs w:val="24"/>
          <w:highlight w:val="none"/>
          <w:lang w:val="en-US" w:eastAsia="zh-CN"/>
          <w14:textFill>
            <w14:solidFill>
              <w14:schemeClr w14:val="tx1"/>
            </w14:solidFill>
          </w14:textFill>
        </w:rPr>
        <w:t>在既有井场内</w:t>
      </w:r>
      <w:r>
        <w:rPr>
          <w:rFonts w:hint="default" w:ascii="Times New Roman" w:hAnsi="Times New Roman" w:cs="Times New Roman"/>
          <w:color w:val="000000" w:themeColor="text1"/>
          <w:szCs w:val="24"/>
          <w:highlight w:val="none"/>
          <w14:textFill>
            <w14:solidFill>
              <w14:schemeClr w14:val="tx1"/>
            </w14:solidFill>
          </w14:textFill>
        </w:rPr>
        <w:t>进行建设，项目施工期时间短、工程量小，施工占地范围小，对土壤环境的扰动范围很小。本次土壤环境影响评价采用同区域项目南侧</w:t>
      </w:r>
      <w:r>
        <w:rPr>
          <w:rFonts w:hint="default" w:ascii="Times New Roman" w:hAnsi="Times New Roman" w:cs="Times New Roman"/>
          <w:color w:val="000000" w:themeColor="text1"/>
          <w:szCs w:val="24"/>
          <w:highlight w:val="none"/>
          <w:lang w:val="en-US" w:eastAsia="zh-CN"/>
          <w14:textFill>
            <w14:solidFill>
              <w14:schemeClr w14:val="tx1"/>
            </w14:solidFill>
          </w14:textFill>
        </w:rPr>
        <w:t>12</w:t>
      </w:r>
      <w:r>
        <w:rPr>
          <w:rFonts w:hint="default" w:ascii="Times New Roman" w:hAnsi="Times New Roman" w:cs="Times New Roman"/>
          <w:color w:val="000000" w:themeColor="text1"/>
          <w:szCs w:val="24"/>
          <w:highlight w:val="none"/>
          <w14:textFill>
            <w14:solidFill>
              <w14:schemeClr w14:val="tx1"/>
            </w14:solidFill>
          </w14:textFill>
        </w:rPr>
        <w:t>km处的老君701集气站内监测数据进行分析（老君701集气站旁涉及施工钻井期与运营采气期，因此具有可比性）。</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老君7011井台钻井及试采工程环评报告书》中对老君701集气站的土壤环境现状监测数据，2022年在已钻井施工完成的老君701集气站旁布设了6个土壤监测点，其中新建井场内布置1个表层样点，3个柱状样点，井场外布置2个表层样点，各监测指标均满足</w:t>
      </w:r>
      <w:r>
        <w:rPr>
          <w:rFonts w:hint="default" w:ascii="Times New Roman" w:hAnsi="Times New Roman" w:cs="Times New Roman"/>
          <w:bCs/>
          <w:color w:val="000000" w:themeColor="text1"/>
          <w:szCs w:val="24"/>
          <w:highlight w:val="none"/>
          <w14:textFill>
            <w14:solidFill>
              <w14:schemeClr w14:val="tx1"/>
            </w14:solidFill>
          </w14:textFill>
        </w:rPr>
        <w:t>《土壤环境质量 建设用地土壤污染风险管控标准（试行）（GB36600—2018）》第二类用地筛选值和《土壤环境质量 农用地土壤污染风险管控标准（试行）（GB15618—2018）》中“其他”用地类型筛选值，特征因子石油烃满足参考的《土壤环境质量 建设用地土壤污染风险管控标准（试行）（GB36600—2018）》筛选值。由此可见，</w:t>
      </w:r>
      <w:r>
        <w:rPr>
          <w:rFonts w:hint="default" w:ascii="Times New Roman" w:hAnsi="Times New Roman" w:cs="Times New Roman"/>
          <w:color w:val="000000" w:themeColor="text1"/>
          <w:szCs w:val="24"/>
          <w:highlight w:val="none"/>
          <w14:textFill>
            <w14:solidFill>
              <w14:schemeClr w14:val="tx1"/>
            </w14:solidFill>
          </w14:textFill>
        </w:rPr>
        <w:t>老君701集气站（含钻井与采气期）的建设并未对土壤环境造成污染。</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lang w:val="en-US" w:eastAsia="zh-CN"/>
          <w14:textFill>
            <w14:solidFill>
              <w14:schemeClr w14:val="tx1"/>
            </w14:solidFill>
          </w14:textFill>
        </w:rPr>
        <w:t xml:space="preserve">4 </w:t>
      </w:r>
      <w:r>
        <w:rPr>
          <w:rFonts w:hint="default" w:ascii="Times New Roman" w:hAnsi="Times New Roman" w:cs="Times New Roman"/>
          <w:color w:val="000000" w:themeColor="text1"/>
          <w:highlight w:val="none"/>
          <w14:textFill>
            <w14:solidFill>
              <w14:schemeClr w14:val="tx1"/>
            </w14:solidFill>
          </w14:textFill>
        </w:rPr>
        <w:t xml:space="preserve"> 钻井工程对土壤影响类比分析一览表</w:t>
      </w:r>
    </w:p>
    <w:tbl>
      <w:tblPr>
        <w:tblStyle w:val="59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3"/>
        <w:gridCol w:w="2919"/>
        <w:gridCol w:w="3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pct"/>
            <w:vAlign w:val="center"/>
          </w:tcPr>
          <w:p>
            <w:pPr>
              <w:pStyle w:val="295"/>
              <w:spacing w:line="240" w:lineRule="auto"/>
              <w:ind w:firstLine="0"/>
              <w:rPr>
                <w:rFonts w:hint="default" w:ascii="Times New Roman" w:hAnsi="Times New Roman" w:eastAsia="Times New Roman" w:cs="Times New Roman"/>
                <w:b/>
                <w:bCs/>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b/>
                <w:bCs/>
                <w:snapToGrid w:val="0"/>
                <w:color w:val="000000" w:themeColor="text1"/>
                <w:highlight w:val="none"/>
                <w14:textFill>
                  <w14:solidFill>
                    <w14:schemeClr w14:val="tx1"/>
                  </w14:solidFill>
                </w14:textFill>
                <w14:ligatures w14:val="standardContextual"/>
              </w:rPr>
              <w:t>类比项目</w:t>
            </w:r>
          </w:p>
        </w:tc>
        <w:tc>
          <w:tcPr>
            <w:tcW w:w="1712" w:type="pct"/>
            <w:vAlign w:val="center"/>
          </w:tcPr>
          <w:p>
            <w:pPr>
              <w:pStyle w:val="295"/>
              <w:spacing w:line="240" w:lineRule="auto"/>
              <w:ind w:firstLine="0"/>
              <w:rPr>
                <w:rFonts w:hint="default" w:ascii="Times New Roman" w:hAnsi="Times New Roman" w:eastAsia="Times New Roman" w:cs="Times New Roman"/>
                <w:b/>
                <w:bCs/>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b/>
                <w:bCs/>
                <w:snapToGrid w:val="0"/>
                <w:color w:val="000000" w:themeColor="text1"/>
                <w:highlight w:val="none"/>
                <w14:textFill>
                  <w14:solidFill>
                    <w14:schemeClr w14:val="tx1"/>
                  </w14:solidFill>
                </w14:textFill>
                <w14:ligatures w14:val="standardContextual"/>
              </w:rPr>
              <w:t>本项目</w:t>
            </w:r>
          </w:p>
        </w:tc>
        <w:tc>
          <w:tcPr>
            <w:tcW w:w="2184" w:type="pct"/>
            <w:vAlign w:val="center"/>
          </w:tcPr>
          <w:p>
            <w:pPr>
              <w:pStyle w:val="295"/>
              <w:spacing w:line="240" w:lineRule="auto"/>
              <w:ind w:firstLine="0"/>
              <w:rPr>
                <w:rFonts w:hint="default" w:ascii="Times New Roman" w:hAnsi="Times New Roman" w:eastAsia="Times New Roman" w:cs="Times New Roman"/>
                <w:b/>
                <w:bCs/>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b/>
                <w:bCs/>
                <w:color w:val="000000" w:themeColor="text1"/>
                <w:szCs w:val="24"/>
                <w:highlight w:val="none"/>
                <w14:textFill>
                  <w14:solidFill>
                    <w14:schemeClr w14:val="tx1"/>
                  </w14:solidFill>
                </w14:textFill>
                <w14:ligatures w14:val="standardContextual"/>
              </w:rPr>
              <w:t>老君</w:t>
            </w:r>
            <w:r>
              <w:rPr>
                <w:rFonts w:hint="default" w:ascii="Times New Roman" w:hAnsi="Times New Roman" w:eastAsia="Times New Roman" w:cs="Times New Roman"/>
                <w:b/>
                <w:bCs/>
                <w:color w:val="000000" w:themeColor="text1"/>
                <w:szCs w:val="24"/>
                <w:highlight w:val="none"/>
                <w14:textFill>
                  <w14:solidFill>
                    <w14:schemeClr w14:val="tx1"/>
                  </w14:solidFill>
                </w14:textFill>
                <w14:ligatures w14:val="standardContextual"/>
              </w:rPr>
              <w:t>701</w:t>
            </w:r>
            <w:r>
              <w:rPr>
                <w:rFonts w:hint="default" w:ascii="Times New Roman" w:hAnsi="Times New Roman" w:eastAsia="宋体" w:cs="Times New Roman"/>
                <w:b/>
                <w:bCs/>
                <w:color w:val="000000" w:themeColor="text1"/>
                <w:szCs w:val="24"/>
                <w:highlight w:val="none"/>
                <w14:textFill>
                  <w14:solidFill>
                    <w14:schemeClr w14:val="tx1"/>
                  </w14:solidFill>
                </w14:textFill>
                <w14:ligatures w14:val="standardContextual"/>
              </w:rPr>
              <w:t>集气站（含钻井与采气期）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地理位置</w:t>
            </w:r>
          </w:p>
        </w:tc>
        <w:tc>
          <w:tcPr>
            <w:tcW w:w="171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宣汉县</w:t>
            </w:r>
          </w:p>
        </w:tc>
        <w:tc>
          <w:tcPr>
            <w:tcW w:w="218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宣汉县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项目建设内容</w:t>
            </w:r>
          </w:p>
        </w:tc>
        <w:tc>
          <w:tcPr>
            <w:tcW w:w="1712"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钻采工艺采用常规钻井工艺，污染防治措施为川东北地区普遍措施</w:t>
            </w:r>
          </w:p>
        </w:tc>
        <w:tc>
          <w:tcPr>
            <w:tcW w:w="218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钻采工艺采用常规钻井工艺，污染防治措施为川东北地区普遍措施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所在地环境特征</w:t>
            </w:r>
          </w:p>
        </w:tc>
        <w:tc>
          <w:tcPr>
            <w:tcW w:w="1712" w:type="pct"/>
            <w:vAlign w:val="center"/>
          </w:tcPr>
          <w:p>
            <w:pPr>
              <w:pStyle w:val="295"/>
              <w:spacing w:line="240" w:lineRule="auto"/>
              <w:ind w:firstLine="0"/>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外环境为耕地和散居农户为主</w:t>
            </w:r>
          </w:p>
        </w:tc>
        <w:tc>
          <w:tcPr>
            <w:tcW w:w="218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外环境为耕地和散居农户为主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pct"/>
            <w:vAlign w:val="center"/>
          </w:tcPr>
          <w:p>
            <w:pPr>
              <w:pStyle w:val="295"/>
              <w:spacing w:line="240" w:lineRule="auto"/>
              <w:ind w:firstLine="0"/>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土壤环境影响</w:t>
            </w:r>
          </w:p>
        </w:tc>
        <w:tc>
          <w:tcPr>
            <w:tcW w:w="1712" w:type="pct"/>
            <w:vAlign w:val="center"/>
          </w:tcPr>
          <w:p>
            <w:pPr>
              <w:pStyle w:val="295"/>
              <w:spacing w:line="240" w:lineRule="auto"/>
              <w:ind w:firstLine="0"/>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项目施工期对土壤环境的影响是很小的</w:t>
            </w:r>
          </w:p>
        </w:tc>
        <w:tc>
          <w:tcPr>
            <w:tcW w:w="2184" w:type="pct"/>
            <w:vAlign w:val="center"/>
          </w:tcPr>
          <w:p>
            <w:pPr>
              <w:pStyle w:val="295"/>
              <w:spacing w:line="240" w:lineRule="auto"/>
              <w:ind w:firstLine="0"/>
              <w:rPr>
                <w:rFonts w:hint="default" w:ascii="Times New Roman" w:hAnsi="Times New Roman" w:eastAsia="Times New Roman" w:cs="Times New Roman"/>
                <w:snapToGrid w:val="0"/>
                <w:color w:val="000000" w:themeColor="text1"/>
                <w:highlight w:val="none"/>
                <w14:textFill>
                  <w14:solidFill>
                    <w14:schemeClr w14:val="tx1"/>
                  </w14:solidFill>
                </w14:textFill>
                <w14:ligatures w14:val="standardContextual"/>
              </w:rPr>
            </w:pPr>
            <w:r>
              <w:rPr>
                <w:rFonts w:hint="default" w:ascii="Times New Roman" w:hAnsi="Times New Roman" w:eastAsia="宋体" w:cs="Times New Roman"/>
                <w:snapToGrid w:val="0"/>
                <w:color w:val="000000" w:themeColor="text1"/>
                <w:highlight w:val="none"/>
                <w14:textFill>
                  <w14:solidFill>
                    <w14:schemeClr w14:val="tx1"/>
                  </w14:solidFill>
                </w14:textFill>
                <w14:ligatures w14:val="standardContextual"/>
              </w:rPr>
              <w:t>本项目环境质量监测报告，该井场建设期未发生过土壤环境污染事故和土壤投诉，无超标、酸化或碱化现象</w:t>
            </w:r>
          </w:p>
        </w:tc>
      </w:tr>
    </w:tbl>
    <w:p>
      <w:pPr>
        <w:pStyle w:val="2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p>
    <w:p>
      <w:pPr>
        <w:pStyle w:val="2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因此，根据项目对土壤环境影响途径分析和类比同类项目同类地区的建设经验，项目建设对土壤环境的影响很小，可接受。本</w:t>
      </w:r>
      <w:r>
        <w:rPr>
          <w:rFonts w:hint="default" w:ascii="Times New Roman" w:hAnsi="Times New Roman" w:cs="Times New Roman"/>
          <w:color w:val="000000" w:themeColor="text1"/>
          <w:szCs w:val="24"/>
          <w:highlight w:val="none"/>
          <w14:textFill>
            <w14:solidFill>
              <w14:schemeClr w14:val="tx1"/>
            </w14:solidFill>
          </w14:textFill>
        </w:rPr>
        <w:t>项目除采取上述土壤污染防治措施外，还应将</w:t>
      </w:r>
      <w:r>
        <w:rPr>
          <w:rFonts w:hint="default" w:ascii="Times New Roman" w:hAnsi="Times New Roman" w:cs="Times New Roman"/>
          <w:bCs/>
          <w:color w:val="000000" w:themeColor="text1"/>
          <w:szCs w:val="24"/>
          <w:highlight w:val="none"/>
          <w14:textFill>
            <w14:solidFill>
              <w14:schemeClr w14:val="tx1"/>
            </w14:solidFill>
          </w14:textFill>
        </w:rPr>
        <w:t>土壤污染防治措施和地下水污染防治、生态环境治理措施相结合，综合做好土壤环境、地下水环境和生态环境的保护；完钻后对钻井期临时占地进行污染治理后恢复，并进行生态修复，临时占地还耕前进行土壤监测，确保无污染后再用作农用地复耕。</w:t>
      </w:r>
    </w:p>
    <w:p>
      <w:pPr>
        <w:pStyle w:val="27"/>
        <w:ind w:firstLine="48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5、固体废物环境影响分析</w:t>
      </w:r>
    </w:p>
    <w:p>
      <w:pPr>
        <w:pStyle w:val="27"/>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（1）钻井固废</w:t>
      </w:r>
      <w:r>
        <w:rPr>
          <w:rFonts w:hint="default" w:ascii="Times New Roman" w:hAnsi="Times New Roman" w:cs="Times New Roman"/>
          <w:b/>
          <w:color w:val="000000" w:themeColor="text1"/>
          <w:szCs w:val="24"/>
          <w:highlight w:val="none"/>
          <w14:textFill>
            <w14:solidFill>
              <w14:schemeClr w14:val="tx1"/>
            </w14:solidFill>
          </w14:textFill>
        </w:rPr>
        <w:t>影响分析</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水基泥浆体系中不添加有毒有害重金属等物质，主要成分为水、无机盐、普通有机聚合物等无毒物质。水基钻井固废为经泥浆不落地工艺对钻井泥浆及岩屑等进行固液分离后产生的固相废渣，属于第Ⅱ类一般工业固体废物，按照</w:t>
      </w:r>
      <w:r>
        <w:rPr>
          <w:rFonts w:hint="default" w:ascii="Times New Roman" w:hAnsi="Times New Roman" w:cs="Times New Roman"/>
          <w:bCs/>
          <w:color w:val="000000" w:themeColor="text1"/>
          <w:szCs w:val="24"/>
          <w:highlight w:val="none"/>
          <w14:textFill>
            <w14:solidFill>
              <w14:schemeClr w14:val="tx1"/>
            </w14:solidFill>
          </w14:textFill>
        </w:rPr>
        <w:t>《一般工业固体废物贮存和填埋污染控制标准》（GB18599-2020）</w:t>
      </w:r>
      <w:r>
        <w:rPr>
          <w:rFonts w:hint="default" w:ascii="Times New Roman" w:hAnsi="Times New Roman" w:cs="Times New Roman"/>
          <w:color w:val="000000" w:themeColor="text1"/>
          <w:szCs w:val="24"/>
          <w:highlight w:val="none"/>
          <w14:textFill>
            <w14:solidFill>
              <w14:schemeClr w14:val="tx1"/>
            </w14:solidFill>
          </w14:textFill>
        </w:rPr>
        <w:t>中对第Ⅱ类一般工业固体废物的处置要求，本项目现场在泥浆不落地装置附近设置的钻井固废暂存区暂存钻井固废，防渗层渗透系数≤1.0×10</w:t>
      </w:r>
      <w:r>
        <w:rPr>
          <w:rFonts w:hint="default" w:ascii="Times New Roman" w:hAnsi="Times New Roman" w:cs="Times New Roman"/>
          <w:color w:val="000000" w:themeColor="text1"/>
          <w:szCs w:val="24"/>
          <w:highlight w:val="none"/>
          <w:vertAlign w:val="superscript"/>
          <w14:textFill>
            <w14:solidFill>
              <w14:schemeClr w14:val="tx1"/>
            </w14:solidFill>
          </w14:textFill>
        </w:rPr>
        <w:t>-7</w:t>
      </w:r>
      <w:r>
        <w:rPr>
          <w:rFonts w:hint="default" w:ascii="Times New Roman" w:hAnsi="Times New Roman" w:cs="Times New Roman"/>
          <w:color w:val="000000" w:themeColor="text1"/>
          <w:szCs w:val="24"/>
          <w:highlight w:val="none"/>
          <w14:textFill>
            <w14:solidFill>
              <w14:schemeClr w14:val="tx1"/>
            </w14:solidFill>
          </w14:textFill>
        </w:rPr>
        <w:t>cm/s，满足第Ⅱ类一般工业固体废物处置场防渗要求。本项目水基钻井固废总计产生量约609.62t，水基钻井固废</w:t>
      </w:r>
      <w:r>
        <w:rPr>
          <w:rFonts w:hint="default" w:ascii="Times New Roman" w:hAnsi="Times New Roman" w:cs="Times New Roman"/>
          <w:color w:val="000000" w:themeColor="text1"/>
          <w:highlight w:val="none"/>
          <w14:textFill>
            <w14:solidFill>
              <w14:schemeClr w14:val="tx1"/>
            </w14:solidFill>
          </w14:textFill>
        </w:rPr>
        <w:t>在</w:t>
      </w:r>
      <w:r>
        <w:rPr>
          <w:rFonts w:hint="default" w:ascii="Times New Roman" w:hAnsi="Times New Roman" w:cs="Times New Roman"/>
          <w:color w:val="000000" w:themeColor="text1"/>
          <w:szCs w:val="24"/>
          <w:highlight w:val="none"/>
          <w14:textFill>
            <w14:solidFill>
              <w14:schemeClr w14:val="tx1"/>
            </w14:solidFill>
          </w14:textFill>
        </w:rPr>
        <w:t>泥浆不落地装置附近设置钻井固废暂存区</w:t>
      </w:r>
      <w:r>
        <w:rPr>
          <w:rFonts w:hint="default" w:ascii="Times New Roman" w:hAnsi="Times New Roman" w:cs="Times New Roman"/>
          <w:color w:val="000000" w:themeColor="text1"/>
          <w:highlight w:val="none"/>
          <w14:textFill>
            <w14:solidFill>
              <w14:schemeClr w14:val="tx1"/>
            </w14:solidFill>
          </w14:textFill>
        </w:rPr>
        <w:t>由废渣收集罐收集后临时暂存，定期用密闭罐车就近交给依法取得生态环境部门关于利用和处置相关工业固体废物项目环评批复、具有处理处置相应固体废物能力并配套建设有废气、废水、固废等污染物治理设施的单位进行资源化利用</w:t>
      </w:r>
      <w:r>
        <w:rPr>
          <w:rFonts w:hint="default" w:ascii="Times New Roman" w:hAnsi="Times New Roman" w:cs="Times New Roman"/>
          <w:color w:val="000000" w:themeColor="text1"/>
          <w:szCs w:val="24"/>
          <w:highlight w:val="none"/>
          <w14:textFill>
            <w14:solidFill>
              <w14:schemeClr w14:val="tx1"/>
            </w14:solidFill>
          </w14:textFill>
        </w:rPr>
        <w:t>，不会对区域环境造成影响。</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如遇特殊地层，油基钻井废泥浆、岩屑暂存于新建的60m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危险废物暂存场所（采取必要的防风、防晒、防雨、防漏、防渗、防腐以及其他环境污染防治措施，不得露天堆放危险废物），泥浆和油基钻井岩屑</w:t>
      </w:r>
      <w:r>
        <w:rPr>
          <w:rFonts w:hint="default" w:ascii="Times New Roman" w:hAnsi="Times New Roman" w:cs="Times New Roman"/>
          <w:color w:val="000000" w:themeColor="text1"/>
          <w:highlight w:val="none"/>
          <w:lang w:eastAsia="zh-CN"/>
          <w14:textFill>
            <w14:solidFill>
              <w14:schemeClr w14:val="tx1"/>
            </w14:solidFill>
          </w14:textFill>
        </w:rPr>
        <w:t>及时</w:t>
      </w:r>
      <w:r>
        <w:rPr>
          <w:rFonts w:hint="default" w:ascii="Times New Roman" w:hAnsi="Times New Roman" w:cs="Times New Roman"/>
          <w:color w:val="000000" w:themeColor="text1"/>
          <w:highlight w:val="none"/>
          <w14:textFill>
            <w14:solidFill>
              <w14:schemeClr w14:val="tx1"/>
            </w14:solidFill>
          </w14:textFill>
        </w:rPr>
        <w:t>交由有资质的单位处置，</w:t>
      </w:r>
      <w:r>
        <w:rPr>
          <w:rFonts w:hint="default" w:ascii="Times New Roman" w:hAnsi="Times New Roman" w:cs="Times New Roman"/>
          <w:color w:val="000000" w:themeColor="text1"/>
          <w:szCs w:val="24"/>
          <w:highlight w:val="none"/>
          <w14:textFill>
            <w14:solidFill>
              <w14:schemeClr w14:val="tx1"/>
            </w14:solidFill>
          </w14:textFill>
        </w:rPr>
        <w:t>不会对区域环境造成影响。</w:t>
      </w:r>
    </w:p>
    <w:p>
      <w:pPr>
        <w:pStyle w:val="27"/>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（2）废油</w:t>
      </w:r>
      <w:r>
        <w:rPr>
          <w:rFonts w:hint="default" w:ascii="Times New Roman" w:hAnsi="Times New Roman" w:cs="Times New Roman"/>
          <w:b/>
          <w:color w:val="000000" w:themeColor="text1"/>
          <w:szCs w:val="24"/>
          <w:highlight w:val="none"/>
          <w14:textFill>
            <w14:solidFill>
              <w14:schemeClr w14:val="tx1"/>
            </w14:solidFill>
          </w14:textFill>
        </w:rPr>
        <w:t>影响分析</w:t>
      </w:r>
    </w:p>
    <w:p>
      <w:pPr>
        <w:pStyle w:val="27"/>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井场内设备保养润滑用油及跑冒滴漏产生的少量含油属于危险废物</w:t>
      </w:r>
      <w:r>
        <w:rPr>
          <w:rFonts w:hint="default" w:ascii="Times New Roman" w:hAnsi="Times New Roman" w:cs="Times New Roman"/>
          <w:color w:val="000000" w:themeColor="text1"/>
          <w:szCs w:val="24"/>
          <w:highlight w:val="none"/>
          <w:lang w:eastAsia="zh-CN"/>
          <w14:textFill>
            <w14:solidFill>
              <w14:schemeClr w14:val="tx1"/>
            </w14:solidFill>
          </w14:textFill>
        </w:rPr>
        <w:t>（产</w:t>
      </w:r>
      <w:r>
        <w:rPr>
          <w:rFonts w:hint="default" w:ascii="Times New Roman" w:hAnsi="Times New Roman" w:cs="Times New Roman"/>
          <w:color w:val="000000" w:themeColor="text1"/>
          <w:szCs w:val="24"/>
          <w:highlight w:val="none"/>
          <w14:textFill>
            <w14:solidFill>
              <w14:schemeClr w14:val="tx1"/>
            </w14:solidFill>
          </w14:textFill>
        </w:rPr>
        <w:t>物类别为HW08，废物代码900-214-08），按照</w:t>
      </w:r>
      <w:bookmarkStart w:id="266" w:name="_Hlk92724121"/>
      <w:r>
        <w:rPr>
          <w:rFonts w:hint="default" w:ascii="Times New Roman" w:hAnsi="Times New Roman" w:cs="Times New Roman"/>
          <w:color w:val="000000" w:themeColor="text1"/>
          <w:szCs w:val="24"/>
          <w:highlight w:val="none"/>
          <w14:textFill>
            <w14:solidFill>
              <w14:schemeClr w14:val="tx1"/>
            </w14:solidFill>
          </w14:textFill>
        </w:rPr>
        <w:t>《危险废物贮存污染控制标准》（GB18597-2023）</w:t>
      </w:r>
      <w:bookmarkEnd w:id="266"/>
      <w:r>
        <w:rPr>
          <w:rFonts w:hint="default" w:ascii="Times New Roman" w:hAnsi="Times New Roman" w:cs="Times New Roman"/>
          <w:color w:val="000000" w:themeColor="text1"/>
          <w:szCs w:val="24"/>
          <w:highlight w:val="none"/>
          <w14:textFill>
            <w14:solidFill>
              <w14:schemeClr w14:val="tx1"/>
            </w14:solidFill>
          </w14:textFill>
        </w:rPr>
        <w:t>和《废矿物油回收利用污染控制技术规范》（HJ607-2011）的相关规定要求，对产生的油类用废油桶集中收集，钻井队综合利用或交由有资质的单位处理，</w:t>
      </w:r>
      <w:r>
        <w:rPr>
          <w:rFonts w:hint="default" w:ascii="Times New Roman" w:hAnsi="Times New Roman" w:cs="Times New Roman"/>
          <w:color w:val="000000" w:themeColor="text1"/>
          <w:highlight w:val="none"/>
          <w14:textFill>
            <w14:solidFill>
              <w14:schemeClr w14:val="tx1"/>
            </w14:solidFill>
          </w14:textFill>
        </w:rPr>
        <w:t>设置废油桶集中收集暂存于泥浆不落地装置区临时堆放区内，并做好“防风、防雨、防晒、防渗漏”四防措施，暂存期间做好废油管理记录，通过</w:t>
      </w:r>
      <w:r>
        <w:rPr>
          <w:rFonts w:hint="default" w:ascii="Times New Roman" w:hAnsi="Times New Roman" w:cs="Times New Roman"/>
          <w:color w:val="000000" w:themeColor="text1"/>
          <w:szCs w:val="24"/>
          <w:highlight w:val="none"/>
          <w14:textFill>
            <w14:solidFill>
              <w14:schemeClr w14:val="tx1"/>
            </w14:solidFill>
          </w14:textFill>
        </w:rPr>
        <w:t>后期</w:t>
      </w:r>
      <w:r>
        <w:rPr>
          <w:rFonts w:hint="default" w:ascii="Times New Roman" w:hAnsi="Times New Roman" w:cs="Times New Roman"/>
          <w:color w:val="000000" w:themeColor="text1"/>
          <w:highlight w:val="none"/>
          <w14:textFill>
            <w14:solidFill>
              <w14:schemeClr w14:val="tx1"/>
            </w14:solidFill>
          </w14:textFill>
        </w:rPr>
        <w:t>擦拭站场设备、原料添加、放喷点火等方式回收综合利用，根据类比调查井站产生废油能在井站内全部综合利用。若因为个别特殊情况存在不能综合利用的废油，则和不能继续使用的废油桶以及擦拭站场设备产生的其他含油固废交由有资质的单位处理</w:t>
      </w:r>
      <w:r>
        <w:rPr>
          <w:rFonts w:hint="default" w:ascii="Times New Roman" w:hAnsi="Times New Roman" w:cs="Times New Roman"/>
          <w:color w:val="000000" w:themeColor="text1"/>
          <w:szCs w:val="24"/>
          <w:highlight w:val="none"/>
          <w14:textFill>
            <w14:solidFill>
              <w14:schemeClr w14:val="tx1"/>
            </w14:solidFill>
          </w14:textFill>
        </w:rPr>
        <w:t>，对周围环境的影响较小。</w:t>
      </w:r>
    </w:p>
    <w:p>
      <w:pPr>
        <w:pStyle w:val="27"/>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（3）生活垃圾</w:t>
      </w:r>
      <w:r>
        <w:rPr>
          <w:rFonts w:hint="default" w:ascii="Times New Roman" w:hAnsi="Times New Roman" w:cs="Times New Roman"/>
          <w:b/>
          <w:color w:val="000000" w:themeColor="text1"/>
          <w:szCs w:val="24"/>
          <w:highlight w:val="none"/>
          <w14:textFill>
            <w14:solidFill>
              <w14:schemeClr w14:val="tx1"/>
            </w14:solidFill>
          </w14:textFill>
        </w:rPr>
        <w:t>影响分析</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生活垃圾可分为两类，如可降解的果皮、菜根、废纸、烟盒、剩饭菜等，不可降解的塑料制品、废金属、废电池等，这些垃圾分类堆放，定期交由环卫部门妥善处置。</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一般情况下，生活垃圾对环境影响不大，但在管理不严特别是大风天气时，轻质垃圾如废纸、塑料等随风移动，散乱在地或悬挂灌木，影响环境卫生；再者，遇到大雨时，如果垃圾没有堆放好，可能会被水冲走，影响周围土壤环境；若垃圾不能及时清运，则容易经风吹雨淋而腐烂变质，不但会影响周围环境的卫生和美观，而且产生的恶臭、淋液可能影响局部地下水。生活垃圾重在管理，施工作业场地设垃圾收集桶，生活垃圾依托当地环卫部门对生活垃圾进行定期清运在统一外运至当地垃圾处理场所进行处置后，对环境影响较小。</w:t>
      </w:r>
    </w:p>
    <w:p>
      <w:pPr>
        <w:pStyle w:val="27"/>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（4）</w:t>
      </w:r>
      <w:r>
        <w:rPr>
          <w:rFonts w:hint="default" w:ascii="Times New Roman" w:hAnsi="Times New Roman" w:cs="Times New Roman"/>
          <w:b/>
          <w:bCs/>
          <w:color w:val="000000" w:themeColor="text1"/>
          <w:highlight w:val="none"/>
          <w14:textFill>
            <w14:solidFill>
              <w14:schemeClr w14:val="tx1"/>
            </w14:solidFill>
          </w14:textFill>
        </w:rPr>
        <w:t>废包装材料</w:t>
      </w:r>
      <w:r>
        <w:rPr>
          <w:rFonts w:hint="default" w:ascii="Times New Roman" w:hAnsi="Times New Roman" w:cs="Times New Roman"/>
          <w:b/>
          <w:color w:val="000000" w:themeColor="text1"/>
          <w:szCs w:val="24"/>
          <w:highlight w:val="none"/>
          <w14:textFill>
            <w14:solidFill>
              <w14:schemeClr w14:val="tx1"/>
            </w14:solidFill>
          </w14:textFill>
        </w:rPr>
        <w:t>影响分析</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废弃包装材料集中收集后施工队自己回用部分，剩余部分送当地废品回收站处理，对周围环境的影响也较小。</w:t>
      </w:r>
    </w:p>
    <w:p>
      <w:pPr>
        <w:pStyle w:val="27"/>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（5）其他</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散失的钻井泥浆材料（重晶石、膨润土粉、堵漏剂）、水泥废浆、废弃包装材料、防冻保温废料及废棉纱等一般固废，产生量少，全部收集并资源化回收利用；完井搬迁时可能产生少量建筑垃圾，主要如包装袋，废弃建筑材料等，其量小，由施工队伍统一收集清运至政府指定地方，对环境影响轻微。</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综上分析，项目固体废物均可得到综合利用和妥善处置，项目产生的固体废物对环境的影响较小。</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施工期</w:t>
      </w:r>
      <w:r>
        <w:rPr>
          <w:rFonts w:hint="default" w:ascii="Times New Roman" w:hAnsi="Times New Roman" w:cs="Times New Roman"/>
          <w:color w:val="000000" w:themeColor="text1"/>
          <w:highlight w:val="none"/>
          <w:lang w:val="en-US" w:eastAsia="zh-CN"/>
          <w14:textFill>
            <w14:solidFill>
              <w14:schemeClr w14:val="tx1"/>
            </w14:solidFill>
          </w14:textFill>
        </w:rPr>
        <w:t>储层改造</w:t>
      </w:r>
      <w:r>
        <w:rPr>
          <w:rFonts w:hint="default" w:ascii="Times New Roman" w:hAnsi="Times New Roman" w:cs="Times New Roman"/>
          <w:color w:val="000000" w:themeColor="text1"/>
          <w:highlight w:val="none"/>
          <w:lang w:eastAsia="zh-CN"/>
          <w14:textFill>
            <w14:solidFill>
              <w14:schemeClr w14:val="tx1"/>
            </w14:solidFill>
          </w14:textFill>
        </w:rPr>
        <w:t>工程环境影响分析</w:t>
      </w:r>
    </w:p>
    <w:p>
      <w:pPr>
        <w:ind w:firstLine="480"/>
        <w:rPr>
          <w:rFonts w:hint="default" w:ascii="Times New Roman" w:hAnsi="Times New Roman" w:eastAsia="黑体" w:cs="Times New Roman"/>
          <w:bCs/>
          <w:color w:val="000000" w:themeColor="text1"/>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1、大气环境影响分析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w:t>
      </w:r>
      <w:r>
        <w:rPr>
          <w:rFonts w:hint="default" w:ascii="Times New Roman" w:hAnsi="Times New Roman" w:cs="Times New Roman"/>
          <w:color w:val="000000" w:themeColor="text1"/>
          <w:highlight w:val="none"/>
          <w:lang w:val="en-US" w:eastAsia="zh-CN"/>
          <w14:textFill>
            <w14:solidFill>
              <w14:schemeClr w14:val="tx1"/>
            </w14:solidFill>
          </w14:textFill>
        </w:rPr>
        <w:t>储层改造</w:t>
      </w:r>
      <w:r>
        <w:rPr>
          <w:rFonts w:hint="default" w:ascii="Times New Roman" w:hAnsi="Times New Roman" w:cs="Times New Roman"/>
          <w:color w:val="000000" w:themeColor="text1"/>
          <w:highlight w:val="none"/>
          <w14:textFill>
            <w14:solidFill>
              <w14:schemeClr w14:val="tx1"/>
            </w14:solidFill>
          </w14:textFill>
        </w:rPr>
        <w:t>阶段废气主要为压裂作业废气</w:t>
      </w:r>
      <w:r>
        <w:rPr>
          <w:rFonts w:hint="default" w:ascii="Times New Roman" w:hAnsi="Times New Roman" w:cs="Times New Roman"/>
          <w:color w:val="000000" w:themeColor="text1"/>
          <w:highlight w:val="none"/>
          <w:lang w:val="en-US" w:eastAsia="zh-CN"/>
          <w14:textFill>
            <w14:solidFill>
              <w14:schemeClr w14:val="tx1"/>
            </w14:solidFill>
          </w14:textFill>
        </w:rPr>
        <w:t>及</w:t>
      </w:r>
      <w:r>
        <w:rPr>
          <w:rFonts w:hint="default" w:ascii="Times New Roman" w:hAnsi="Times New Roman" w:cs="Times New Roman"/>
          <w:color w:val="000000" w:themeColor="text1"/>
          <w:highlight w:val="none"/>
          <w14:textFill>
            <w14:solidFill>
              <w14:schemeClr w14:val="tx1"/>
            </w14:solidFill>
          </w14:textFill>
        </w:rPr>
        <w:t>完井测试放喷废气。</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w:t>
      </w:r>
      <w:r>
        <w:rPr>
          <w:rFonts w:hint="default" w:ascii="Times New Roman" w:hAnsi="Times New Roman" w:cs="Times New Roman"/>
          <w:b/>
          <w:bCs/>
          <w:color w:val="000000" w:themeColor="text1"/>
          <w:highlight w:val="none"/>
          <w:lang w:val="en-US" w:eastAsia="zh-CN"/>
          <w14:textFill>
            <w14:solidFill>
              <w14:schemeClr w14:val="tx1"/>
            </w14:solidFill>
          </w14:textFill>
        </w:rPr>
        <w:t>1</w:t>
      </w:r>
      <w:r>
        <w:rPr>
          <w:rFonts w:hint="default" w:ascii="Times New Roman" w:hAnsi="Times New Roman" w:cs="Times New Roman"/>
          <w:b/>
          <w:bCs/>
          <w:color w:val="000000" w:themeColor="text1"/>
          <w:highlight w:val="none"/>
          <w14:textFill>
            <w14:solidFill>
              <w14:schemeClr w14:val="tx1"/>
            </w14:solidFill>
          </w14:textFill>
        </w:rPr>
        <w:t>）压裂作业废气</w:t>
      </w:r>
      <w:r>
        <w:rPr>
          <w:rFonts w:hint="default" w:ascii="Times New Roman" w:hAnsi="Times New Roman" w:cs="Times New Roman"/>
          <w:b/>
          <w:color w:val="000000" w:themeColor="text1"/>
          <w:szCs w:val="24"/>
          <w:highlight w:val="none"/>
          <w14:textFill>
            <w14:solidFill>
              <w14:schemeClr w14:val="tx1"/>
            </w14:solidFill>
          </w14:textFill>
        </w:rPr>
        <w:t>影响分析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压裂作业废气主要为压裂车施工机械尾气，主要污染物为NO</w:t>
      </w:r>
      <w:r>
        <w:rPr>
          <w:rFonts w:hint="default" w:ascii="Times New Roman" w:hAnsi="Times New Roman" w:cs="Times New Roman"/>
          <w:color w:val="000000" w:themeColor="text1"/>
          <w:highlight w:val="none"/>
          <w:vertAlign w:val="subscript"/>
          <w14:textFill>
            <w14:solidFill>
              <w14:schemeClr w14:val="tx1"/>
            </w14:solidFill>
          </w14:textFill>
        </w:rPr>
        <w:t>X</w:t>
      </w:r>
      <w:r>
        <w:rPr>
          <w:rFonts w:hint="default" w:ascii="Times New Roman" w:hAnsi="Times New Roman" w:cs="Times New Roman"/>
          <w:color w:val="000000" w:themeColor="text1"/>
          <w:highlight w:val="none"/>
          <w14:textFill>
            <w14:solidFill>
              <w14:schemeClr w14:val="tx1"/>
            </w14:solidFill>
          </w14:textFill>
        </w:rPr>
        <w:t>、烟尘及少量CO，采用合格燃油、加强设备保养减少尾气排放量。压裂作业持续时间较短、污染物产生量小，对当地大气环境影响较小，影响可接受。</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w:t>
      </w:r>
      <w:r>
        <w:rPr>
          <w:rFonts w:hint="default" w:ascii="Times New Roman" w:hAnsi="Times New Roman" w:cs="Times New Roman"/>
          <w:b/>
          <w:bCs/>
          <w:color w:val="000000" w:themeColor="text1"/>
          <w:highlight w:val="none"/>
          <w:lang w:val="en-US" w:eastAsia="zh-CN"/>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）测试放喷废气</w:t>
      </w:r>
      <w:r>
        <w:rPr>
          <w:rFonts w:hint="default" w:ascii="Times New Roman" w:hAnsi="Times New Roman" w:cs="Times New Roman"/>
          <w:b/>
          <w:color w:val="000000" w:themeColor="text1"/>
          <w:szCs w:val="24"/>
          <w:highlight w:val="none"/>
          <w14:textFill>
            <w14:solidFill>
              <w14:schemeClr w14:val="tx1"/>
            </w14:solidFill>
          </w14:textFill>
        </w:rPr>
        <w:t>影响分析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测试放喷废气采用地面灼烧处理，放喷池地势空旷，该技术在钻井工程中广泛应用，技术成熟可靠，措施可行，</w:t>
      </w:r>
      <w:r>
        <w:rPr>
          <w:rFonts w:hint="default" w:ascii="Times New Roman" w:hAnsi="Times New Roman" w:cs="Times New Roman"/>
          <w:color w:val="000000" w:themeColor="text1"/>
          <w:szCs w:val="24"/>
          <w:highlight w:val="none"/>
          <w14:textFill>
            <w14:solidFill>
              <w14:schemeClr w14:val="tx1"/>
            </w14:solidFill>
          </w14:textFill>
        </w:rPr>
        <w:t>其主要污染物为CO</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和SO</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等，放喷时间短，属临时排放，类比区域已完钻井测试情况，测试放喷废气对大气环境的影响是可接受的。</w:t>
      </w:r>
      <w:r>
        <w:rPr>
          <w:rFonts w:hint="default" w:ascii="Times New Roman" w:hAnsi="Times New Roman" w:cs="Times New Roman"/>
          <w:color w:val="000000" w:themeColor="text1"/>
          <w:szCs w:val="24"/>
          <w:highlight w:val="none"/>
          <w14:textFill>
            <w14:solidFill>
              <w14:schemeClr w14:val="tx1"/>
            </w14:solidFill>
          </w14:textFill>
        </w:rPr>
        <w:t>并将随测试放喷的结束而消除，对周边大气环境影响较小。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总之，</w:t>
      </w:r>
      <w:r>
        <w:rPr>
          <w:rFonts w:hint="default" w:ascii="Times New Roman" w:hAnsi="Times New Roman" w:cs="Times New Roman"/>
          <w:color w:val="000000" w:themeColor="text1"/>
          <w:highlight w:val="none"/>
          <w:lang w:val="en-US" w:eastAsia="zh-CN"/>
          <w14:textFill>
            <w14:solidFill>
              <w14:schemeClr w14:val="tx1"/>
            </w14:solidFill>
          </w14:textFill>
        </w:rPr>
        <w:t>储层</w:t>
      </w:r>
      <w:r>
        <w:rPr>
          <w:rFonts w:hint="default" w:ascii="Times New Roman" w:hAnsi="Times New Roman" w:cs="Times New Roman"/>
          <w:color w:val="000000" w:themeColor="text1"/>
          <w:highlight w:val="none"/>
          <w14:textFill>
            <w14:solidFill>
              <w14:schemeClr w14:val="tx1"/>
            </w14:solidFill>
          </w14:textFill>
        </w:rPr>
        <w:t>期间废气污染物排放量少，且排放时间短，对井场所在地大气环境影响甚微。</w:t>
      </w:r>
    </w:p>
    <w:p>
      <w:pPr>
        <w:ind w:firstLine="480"/>
        <w:rPr>
          <w:rFonts w:hint="default" w:ascii="Times New Roman" w:hAnsi="Times New Roman" w:eastAsia="黑体" w:cs="Times New Roman"/>
          <w:bCs/>
          <w:color w:val="000000" w:themeColor="text1"/>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2、地表水环境影响分析</w:t>
      </w:r>
    </w:p>
    <w:p>
      <w:pPr>
        <w:ind w:firstLine="48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（1）场地渗透、外溢对地表水环境影响分析</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w:t>
      </w:r>
      <w:r>
        <w:rPr>
          <w:rFonts w:hint="default" w:ascii="Times New Roman" w:hAnsi="Times New Roman" w:cs="Times New Roman"/>
          <w:bCs/>
          <w:color w:val="000000" w:themeColor="text1"/>
          <w:highlight w:val="none"/>
          <w14:textFill>
            <w14:solidFill>
              <w14:schemeClr w14:val="tx1"/>
            </w14:solidFill>
          </w14:textFill>
        </w:rPr>
        <w:t>项目产生的洗井废水和压裂返排液被</w:t>
      </w:r>
      <w:r>
        <w:rPr>
          <w:rFonts w:hint="default" w:ascii="Times New Roman" w:hAnsi="Times New Roman" w:cs="Times New Roman"/>
          <w:bCs/>
          <w:color w:val="000000" w:themeColor="text1"/>
          <w:highlight w:val="none"/>
          <w:lang w:val="en-US" w:eastAsia="zh-CN"/>
          <w14:textFill>
            <w14:solidFill>
              <w14:schemeClr w14:val="tx1"/>
            </w14:solidFill>
          </w14:textFill>
        </w:rPr>
        <w:t>暂时</w:t>
      </w:r>
      <w:r>
        <w:rPr>
          <w:rFonts w:hint="default" w:ascii="Times New Roman" w:hAnsi="Times New Roman" w:cs="Times New Roman"/>
          <w:bCs/>
          <w:color w:val="000000" w:themeColor="text1"/>
          <w:highlight w:val="none"/>
          <w:lang w:eastAsia="zh-CN"/>
          <w14:textFill>
            <w14:solidFill>
              <w14:schemeClr w14:val="tx1"/>
            </w14:solidFill>
          </w14:textFill>
        </w:rPr>
        <w:t>贮存于放喷池或压裂液储罐中</w:t>
      </w:r>
      <w:r>
        <w:rPr>
          <w:rFonts w:hint="default" w:ascii="Times New Roman" w:hAnsi="Times New Roman" w:cs="Times New Roman"/>
          <w:bCs/>
          <w:color w:val="000000" w:themeColor="text1"/>
          <w:highlight w:val="none"/>
          <w14:textFill>
            <w14:solidFill>
              <w14:schemeClr w14:val="tx1"/>
            </w14:solidFill>
          </w14:textFill>
        </w:rPr>
        <w:t>。根据工程分析中的废水收集回用措施可知，</w:t>
      </w:r>
      <w:r>
        <w:rPr>
          <w:rFonts w:hint="default" w:ascii="Times New Roman" w:hAnsi="Times New Roman" w:cs="Times New Roman"/>
          <w:bCs/>
          <w:color w:val="000000" w:themeColor="text1"/>
          <w:highlight w:val="none"/>
          <w:lang w:eastAsia="zh-CN"/>
          <w14:textFill>
            <w14:solidFill>
              <w14:schemeClr w14:val="tx1"/>
            </w14:solidFill>
          </w14:textFill>
        </w:rPr>
        <w:t>压裂液储罐</w:t>
      </w:r>
      <w:r>
        <w:rPr>
          <w:rFonts w:hint="default" w:ascii="Times New Roman" w:hAnsi="Times New Roman" w:cs="Times New Roman"/>
          <w:bCs/>
          <w:color w:val="000000" w:themeColor="text1"/>
          <w:highlight w:val="none"/>
          <w14:textFill>
            <w14:solidFill>
              <w14:schemeClr w14:val="tx1"/>
            </w14:solidFill>
          </w14:textFill>
        </w:rPr>
        <w:t>、放喷池容积能够满足</w:t>
      </w:r>
      <w:r>
        <w:rPr>
          <w:rFonts w:hint="default" w:ascii="Times New Roman" w:hAnsi="Times New Roman" w:cs="Times New Roman"/>
          <w:bCs/>
          <w:color w:val="000000" w:themeColor="text1"/>
          <w:highlight w:val="none"/>
          <w:lang w:val="en-US" w:eastAsia="zh-CN"/>
          <w14:textFill>
            <w14:solidFill>
              <w14:schemeClr w14:val="tx1"/>
            </w14:solidFill>
          </w14:textFill>
        </w:rPr>
        <w:t>储层改造期间</w:t>
      </w:r>
      <w:r>
        <w:rPr>
          <w:rFonts w:hint="default" w:ascii="Times New Roman" w:hAnsi="Times New Roman" w:cs="Times New Roman"/>
          <w:bCs/>
          <w:color w:val="000000" w:themeColor="text1"/>
          <w:highlight w:val="none"/>
          <w14:textFill>
            <w14:solidFill>
              <w14:schemeClr w14:val="tx1"/>
            </w14:solidFill>
          </w14:textFill>
        </w:rPr>
        <w:t>洗井废水、压裂返排液贮存要求；当发生事故排水时，废水</w:t>
      </w:r>
      <w:r>
        <w:rPr>
          <w:rFonts w:hint="default" w:ascii="Times New Roman" w:hAnsi="Times New Roman" w:cs="Times New Roman"/>
          <w:bCs/>
          <w:color w:val="000000" w:themeColor="text1"/>
          <w:highlight w:val="none"/>
          <w:lang w:val="en-US" w:eastAsia="zh-CN"/>
          <w14:textFill>
            <w14:solidFill>
              <w14:schemeClr w14:val="tx1"/>
            </w14:solidFill>
          </w14:textFill>
        </w:rPr>
        <w:t>可</w:t>
      </w:r>
      <w:r>
        <w:rPr>
          <w:rFonts w:hint="default" w:ascii="Times New Roman" w:hAnsi="Times New Roman" w:cs="Times New Roman"/>
          <w:bCs/>
          <w:color w:val="000000" w:themeColor="text1"/>
          <w:highlight w:val="none"/>
          <w14:textFill>
            <w14:solidFill>
              <w14:schemeClr w14:val="tx1"/>
            </w14:solidFill>
          </w14:textFill>
        </w:rPr>
        <w:t>直接汇入放喷池中，不会造成废水外溢。另外，在工程设计时，</w:t>
      </w:r>
      <w:r>
        <w:rPr>
          <w:rFonts w:hint="default" w:ascii="Times New Roman" w:hAnsi="Times New Roman" w:cs="Times New Roman"/>
          <w:bCs/>
          <w:color w:val="000000" w:themeColor="text1"/>
          <w:highlight w:val="none"/>
          <w:lang w:val="en-US" w:eastAsia="zh-CN"/>
          <w14:textFill>
            <w14:solidFill>
              <w14:schemeClr w14:val="tx1"/>
            </w14:solidFill>
          </w14:textFill>
        </w:rPr>
        <w:t>井场</w:t>
      </w:r>
      <w:r>
        <w:rPr>
          <w:rFonts w:hint="default" w:ascii="Times New Roman" w:hAnsi="Times New Roman" w:cs="Times New Roman"/>
          <w:bCs/>
          <w:color w:val="000000" w:themeColor="text1"/>
          <w:highlight w:val="none"/>
          <w:lang w:eastAsia="zh-CN"/>
          <w14:textFill>
            <w14:solidFill>
              <w14:schemeClr w14:val="tx1"/>
            </w14:solidFill>
          </w14:textFill>
        </w:rPr>
        <w:t>压裂液储罐</w:t>
      </w:r>
      <w:r>
        <w:rPr>
          <w:rFonts w:hint="default" w:ascii="Times New Roman" w:hAnsi="Times New Roman" w:cs="Times New Roman"/>
          <w:bCs/>
          <w:color w:val="000000" w:themeColor="text1"/>
          <w:highlight w:val="none"/>
          <w14:textFill>
            <w14:solidFill>
              <w14:schemeClr w14:val="tx1"/>
            </w14:solidFill>
          </w14:textFill>
        </w:rPr>
        <w:t>、放喷池均比地面高且有遮雨篷遮盖，可防止周边雨水汇入；井场周围设置雨水沟，井场周边雨水均不会进入井场内，井场内的雨水则顺着地势而排入四周的雨水沟</w:t>
      </w:r>
      <w:r>
        <w:rPr>
          <w:rFonts w:hint="default" w:ascii="Times New Roman" w:hAnsi="Times New Roman" w:cs="Times New Roman"/>
          <w:bCs/>
          <w:color w:val="000000" w:themeColor="text1"/>
          <w:highlight w:val="none"/>
          <w:lang w:eastAsia="zh-CN"/>
          <w14:textFill>
            <w14:solidFill>
              <w14:schemeClr w14:val="tx1"/>
            </w14:solidFill>
          </w14:textFill>
        </w:rPr>
        <w:t>，</w:t>
      </w:r>
      <w:r>
        <w:rPr>
          <w:rFonts w:hint="default" w:ascii="Times New Roman" w:hAnsi="Times New Roman" w:cs="Times New Roman"/>
          <w:bCs/>
          <w:color w:val="000000" w:themeColor="text1"/>
          <w:highlight w:val="none"/>
          <w14:textFill>
            <w14:solidFill>
              <w14:schemeClr w14:val="tx1"/>
            </w14:solidFill>
          </w14:textFill>
        </w:rPr>
        <w:t>可避免因雨水进入而增加废水量。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在采取上述措施后，</w:t>
      </w:r>
      <w:r>
        <w:rPr>
          <w:rFonts w:hint="default" w:ascii="Times New Roman" w:hAnsi="Times New Roman" w:cs="Times New Roman"/>
          <w:color w:val="000000" w:themeColor="text1"/>
          <w:highlight w:val="none"/>
          <w:lang w:val="en-US" w:eastAsia="zh-CN"/>
          <w14:textFill>
            <w14:solidFill>
              <w14:schemeClr w14:val="tx1"/>
            </w14:solidFill>
          </w14:textFill>
        </w:rPr>
        <w:t>储层改造期间洗井废水、压裂返排液以</w:t>
      </w:r>
      <w:r>
        <w:rPr>
          <w:rFonts w:hint="default" w:ascii="Times New Roman" w:hAnsi="Times New Roman" w:cs="Times New Roman"/>
          <w:color w:val="000000" w:themeColor="text1"/>
          <w:highlight w:val="none"/>
          <w14:textFill>
            <w14:solidFill>
              <w14:schemeClr w14:val="tx1"/>
            </w14:solidFill>
          </w14:textFill>
        </w:rPr>
        <w:t>渗透、外溢等方式进入地表水环境的量极少，类比本项目已实施钻井情况，预计不会对周边河流等水环境造成污染影响，对地表水环境影响很小。</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（2）项目用水对区域水资源影响分析</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w:t>
      </w:r>
      <w:r>
        <w:rPr>
          <w:rFonts w:hint="default" w:ascii="Times New Roman" w:hAnsi="Times New Roman" w:cs="Times New Roman"/>
          <w:bCs/>
          <w:color w:val="000000" w:themeColor="text1"/>
          <w:highlight w:val="none"/>
          <w:lang w:val="en-US" w:eastAsia="zh-CN"/>
          <w14:textFill>
            <w14:solidFill>
              <w14:schemeClr w14:val="tx1"/>
            </w14:solidFill>
          </w14:textFill>
        </w:rPr>
        <w:t>储层改造期间新增</w:t>
      </w:r>
      <w:r>
        <w:rPr>
          <w:rFonts w:hint="default" w:ascii="Times New Roman" w:hAnsi="Times New Roman" w:cs="Times New Roman"/>
          <w:bCs/>
          <w:color w:val="000000" w:themeColor="text1"/>
          <w:highlight w:val="none"/>
          <w14:textFill>
            <w14:solidFill>
              <w14:schemeClr w14:val="tx1"/>
            </w14:solidFill>
          </w14:textFill>
        </w:rPr>
        <w:t>的生产用水</w:t>
      </w:r>
      <w:r>
        <w:rPr>
          <w:rFonts w:hint="default" w:ascii="Times New Roman" w:hAnsi="Times New Roman" w:cs="Times New Roman"/>
          <w:bCs/>
          <w:color w:val="000000" w:themeColor="text1"/>
          <w:highlight w:val="none"/>
          <w:lang w:val="en-US" w:eastAsia="zh-CN"/>
          <w14:textFill>
            <w14:solidFill>
              <w14:schemeClr w14:val="tx1"/>
            </w14:solidFill>
          </w14:textFill>
        </w:rPr>
        <w:t>主要</w:t>
      </w:r>
      <w:r>
        <w:rPr>
          <w:rFonts w:hint="default" w:ascii="Times New Roman" w:hAnsi="Times New Roman" w:cs="Times New Roman"/>
          <w:bCs/>
          <w:color w:val="000000" w:themeColor="text1"/>
          <w:highlight w:val="none"/>
          <w14:textFill>
            <w14:solidFill>
              <w14:schemeClr w14:val="tx1"/>
            </w14:solidFill>
          </w14:textFill>
        </w:rPr>
        <w:t>就近采用附近地表水（中河）。由于项目距离中河较近，水量充足，项目</w:t>
      </w:r>
      <w:r>
        <w:rPr>
          <w:rFonts w:hint="default" w:ascii="Times New Roman" w:hAnsi="Times New Roman" w:cs="Times New Roman"/>
          <w:bCs/>
          <w:color w:val="000000" w:themeColor="text1"/>
          <w:highlight w:val="none"/>
          <w:lang w:val="en-US" w:eastAsia="zh-CN"/>
          <w14:textFill>
            <w14:solidFill>
              <w14:schemeClr w14:val="tx1"/>
            </w14:solidFill>
          </w14:textFill>
        </w:rPr>
        <w:t>通过</w:t>
      </w:r>
      <w:r>
        <w:rPr>
          <w:rFonts w:hint="default" w:ascii="Times New Roman" w:hAnsi="Times New Roman" w:cs="Times New Roman"/>
          <w:bCs/>
          <w:color w:val="000000" w:themeColor="text1"/>
          <w:highlight w:val="none"/>
          <w14:textFill>
            <w14:solidFill>
              <w14:schemeClr w14:val="tx1"/>
            </w14:solidFill>
          </w14:textFill>
        </w:rPr>
        <w:t>合理安排施工季节，尽量不在枯水期取水，用水前做好与当地主管部门沟通协调工作，项目</w:t>
      </w:r>
      <w:r>
        <w:rPr>
          <w:rFonts w:hint="default" w:ascii="Times New Roman" w:hAnsi="Times New Roman" w:cs="Times New Roman"/>
          <w:bCs/>
          <w:color w:val="000000" w:themeColor="text1"/>
          <w:highlight w:val="none"/>
          <w:lang w:val="en-US" w:eastAsia="zh-CN"/>
          <w14:textFill>
            <w14:solidFill>
              <w14:schemeClr w14:val="tx1"/>
            </w14:solidFill>
          </w14:textFill>
        </w:rPr>
        <w:t>储层改造施工</w:t>
      </w:r>
      <w:r>
        <w:rPr>
          <w:rFonts w:hint="default" w:ascii="Times New Roman" w:hAnsi="Times New Roman" w:cs="Times New Roman"/>
          <w:bCs/>
          <w:color w:val="000000" w:themeColor="text1"/>
          <w:highlight w:val="none"/>
          <w14:textFill>
            <w14:solidFill>
              <w14:schemeClr w14:val="tx1"/>
            </w14:solidFill>
          </w14:textFill>
        </w:rPr>
        <w:t>取水不会对周边耕地等用水造成影响；若必须在枯水期取水要首先满足下游生态流量和管理部门的要求。</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（3）对区域地表水</w:t>
      </w:r>
      <w:r>
        <w:rPr>
          <w:rFonts w:hint="default" w:ascii="Times New Roman" w:hAnsi="Times New Roman" w:cs="Times New Roman"/>
          <w:b/>
          <w:color w:val="000000" w:themeColor="text1"/>
          <w:szCs w:val="24"/>
          <w:highlight w:val="none"/>
          <w14:textFill>
            <w14:solidFill>
              <w14:schemeClr w14:val="tx1"/>
            </w14:solidFill>
          </w14:textFill>
        </w:rPr>
        <w:t>影响分析</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lang w:val="en-US" w:eastAsia="zh-CN"/>
          <w14:textFill>
            <w14:solidFill>
              <w14:schemeClr w14:val="tx1"/>
            </w14:solidFill>
          </w14:textFill>
        </w:rPr>
        <w:t>储层改造期间产生的</w:t>
      </w:r>
      <w:r>
        <w:rPr>
          <w:rFonts w:hint="default" w:ascii="Times New Roman" w:hAnsi="Times New Roman" w:cs="Times New Roman"/>
          <w:color w:val="000000" w:themeColor="text1"/>
          <w:highlight w:val="none"/>
          <w14:textFill>
            <w14:solidFill>
              <w14:schemeClr w14:val="tx1"/>
            </w14:solidFill>
          </w14:textFill>
        </w:rPr>
        <w:t>压裂返排液及洗井废水</w:t>
      </w:r>
      <w:r>
        <w:rPr>
          <w:rFonts w:hint="eastAsia" w:ascii="Times New Roman" w:hAnsi="Times New Roman" w:cs="Times New Roman"/>
          <w:color w:val="000000" w:themeColor="text1"/>
          <w:highlight w:val="none"/>
          <w:lang w:val="en-US" w:eastAsia="zh-CN"/>
          <w14:textFill>
            <w14:solidFill>
              <w14:schemeClr w14:val="tx1"/>
            </w14:solidFill>
          </w14:textFill>
        </w:rPr>
        <w:t>由放喷池、压裂液储罐收集后，</w:t>
      </w:r>
      <w:r>
        <w:rPr>
          <w:rFonts w:hint="default" w:ascii="Times New Roman" w:hAnsi="Times New Roman" w:cs="Times New Roman"/>
          <w:color w:val="000000" w:themeColor="text1"/>
          <w:highlight w:val="none"/>
          <w:lang w:eastAsia="zh-CN"/>
          <w14:textFill>
            <w14:solidFill>
              <w14:schemeClr w14:val="tx1"/>
            </w14:solidFill>
          </w14:textFill>
        </w:rPr>
        <w:t>优先回用于周边其他井场压裂液配置</w:t>
      </w:r>
      <w:r>
        <w:rPr>
          <w:rFonts w:hint="default" w:ascii="Times New Roman" w:hAnsi="Times New Roman" w:cs="Times New Roman"/>
          <w:color w:val="000000" w:themeColor="text1"/>
          <w:highlight w:val="none"/>
          <w14:textFill>
            <w14:solidFill>
              <w14:schemeClr w14:val="tx1"/>
            </w14:solidFill>
          </w14:textFill>
        </w:rPr>
        <w:t>，不能回用的用罐车拉运至赵家坝污水处理站处理达标后经普光11井回注站回注</w:t>
      </w:r>
      <w:r>
        <w:rPr>
          <w:rFonts w:hint="default" w:ascii="Times New Roman" w:hAnsi="Times New Roman" w:cs="Times New Roman"/>
          <w:bCs/>
          <w:color w:val="000000" w:themeColor="text1"/>
          <w:highlight w:val="none"/>
          <w14:textFill>
            <w14:solidFill>
              <w14:schemeClr w14:val="tx1"/>
            </w14:solidFill>
          </w14:textFill>
        </w:rPr>
        <w:t>，不外排。项目废水产生量少，经处理达标后污染物排放量也少，对当地地表水环境的影响在可接受范围内。</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（4）对项目周边耕地</w:t>
      </w:r>
      <w:r>
        <w:rPr>
          <w:rFonts w:hint="default" w:ascii="Times New Roman" w:hAnsi="Times New Roman" w:cs="Times New Roman"/>
          <w:b/>
          <w:color w:val="000000" w:themeColor="text1"/>
          <w:szCs w:val="24"/>
          <w:highlight w:val="none"/>
          <w14:textFill>
            <w14:solidFill>
              <w14:schemeClr w14:val="tx1"/>
            </w14:solidFill>
          </w14:textFill>
        </w:rPr>
        <w:t>影响分析</w:t>
      </w:r>
    </w:p>
    <w:p>
      <w:pPr>
        <w:ind w:firstLine="480"/>
        <w:rPr>
          <w:rFonts w:hint="default" w:ascii="Times New Roman" w:hAnsi="Times New Roman" w:eastAsia="宋体" w:cs="Times New Roman"/>
          <w:bCs/>
          <w:color w:val="000000" w:themeColor="text1"/>
          <w:highlight w:val="none"/>
          <w:lang w:val="en-US" w:eastAsia="zh-CN"/>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本项目井场周围设置雨水沟</w:t>
      </w:r>
      <w:r>
        <w:rPr>
          <w:rFonts w:hint="default" w:ascii="Times New Roman" w:hAnsi="Times New Roman" w:cs="Times New Roman"/>
          <w:bCs/>
          <w:color w:val="000000" w:themeColor="text1"/>
          <w:highlight w:val="none"/>
          <w:lang w:eastAsia="zh-CN"/>
          <w14:textFill>
            <w14:solidFill>
              <w14:schemeClr w14:val="tx1"/>
            </w14:solidFill>
          </w14:textFill>
        </w:rPr>
        <w:t>，</w:t>
      </w:r>
      <w:r>
        <w:rPr>
          <w:rFonts w:hint="default" w:ascii="Times New Roman" w:hAnsi="Times New Roman" w:cs="Times New Roman"/>
          <w:bCs/>
          <w:color w:val="000000" w:themeColor="text1"/>
          <w:highlight w:val="none"/>
          <w:lang w:val="en-US" w:eastAsia="zh-CN"/>
          <w14:textFill>
            <w14:solidFill>
              <w14:schemeClr w14:val="tx1"/>
            </w14:solidFill>
          </w14:textFill>
        </w:rPr>
        <w:t>场地内不会有污水不会溢出进入周边环境，同时储层改造期间产生的</w:t>
      </w:r>
      <w:r>
        <w:rPr>
          <w:rFonts w:hint="default" w:ascii="Times New Roman" w:hAnsi="Times New Roman" w:cs="Times New Roman"/>
          <w:color w:val="000000" w:themeColor="text1"/>
          <w:highlight w:val="none"/>
          <w14:textFill>
            <w14:solidFill>
              <w14:schemeClr w14:val="tx1"/>
            </w14:solidFill>
          </w14:textFill>
        </w:rPr>
        <w:t>压裂返排液及洗井废水</w:t>
      </w:r>
      <w:r>
        <w:rPr>
          <w:rFonts w:hint="eastAsia" w:ascii="Times New Roman" w:hAnsi="Times New Roman" w:cs="Times New Roman"/>
          <w:color w:val="000000" w:themeColor="text1"/>
          <w:highlight w:val="none"/>
          <w:lang w:val="en-US" w:eastAsia="zh-CN"/>
          <w14:textFill>
            <w14:solidFill>
              <w14:schemeClr w14:val="tx1"/>
            </w14:solidFill>
          </w14:textFill>
        </w:rPr>
        <w:t>由放喷池、压裂液储罐收集后，</w:t>
      </w:r>
      <w:r>
        <w:rPr>
          <w:rFonts w:hint="default" w:ascii="Times New Roman" w:hAnsi="Times New Roman" w:cs="Times New Roman"/>
          <w:color w:val="000000" w:themeColor="text1"/>
          <w:highlight w:val="none"/>
          <w:lang w:eastAsia="zh-CN"/>
          <w14:textFill>
            <w14:solidFill>
              <w14:schemeClr w14:val="tx1"/>
            </w14:solidFill>
          </w14:textFill>
        </w:rPr>
        <w:t>优先回用于周边其他井场压裂液配置</w:t>
      </w:r>
      <w:r>
        <w:rPr>
          <w:rFonts w:hint="default" w:ascii="Times New Roman" w:hAnsi="Times New Roman" w:cs="Times New Roman"/>
          <w:color w:val="000000" w:themeColor="text1"/>
          <w:highlight w:val="none"/>
          <w14:textFill>
            <w14:solidFill>
              <w14:schemeClr w14:val="tx1"/>
            </w14:solidFill>
          </w14:textFill>
        </w:rPr>
        <w:t>，不能回用的用罐车拉运至赵家坝污水处理站处理达标后经普光11井回注站回注</w:t>
      </w:r>
      <w:r>
        <w:rPr>
          <w:rFonts w:hint="default" w:ascii="Times New Roman" w:hAnsi="Times New Roman" w:cs="Times New Roman"/>
          <w:bCs/>
          <w:color w:val="000000" w:themeColor="text1"/>
          <w:highlight w:val="none"/>
          <w14:textFill>
            <w14:solidFill>
              <w14:schemeClr w14:val="tx1"/>
            </w14:solidFill>
          </w14:textFill>
        </w:rPr>
        <w:t>，不外排</w:t>
      </w:r>
      <w:r>
        <w:rPr>
          <w:rFonts w:hint="default" w:ascii="Times New Roman" w:hAnsi="Times New Roman" w:cs="Times New Roman"/>
          <w:bCs/>
          <w:color w:val="000000" w:themeColor="text1"/>
          <w:highlight w:val="none"/>
          <w:lang w:eastAsia="zh-CN"/>
          <w14:textFill>
            <w14:solidFill>
              <w14:schemeClr w14:val="tx1"/>
            </w14:solidFill>
          </w14:textFill>
        </w:rPr>
        <w:t>。</w:t>
      </w:r>
      <w:r>
        <w:rPr>
          <w:rFonts w:hint="default" w:ascii="Times New Roman" w:hAnsi="Times New Roman" w:cs="Times New Roman"/>
          <w:bCs/>
          <w:color w:val="000000" w:themeColor="text1"/>
          <w:highlight w:val="none"/>
          <w:lang w:val="en-US" w:eastAsia="zh-CN"/>
          <w14:textFill>
            <w14:solidFill>
              <w14:schemeClr w14:val="tx1"/>
            </w14:solidFill>
          </w14:textFill>
        </w:rPr>
        <w:t>因此，储层改造期间不会有污水进入</w:t>
      </w:r>
      <w:r>
        <w:rPr>
          <w:rFonts w:hint="default" w:ascii="Times New Roman" w:hAnsi="Times New Roman" w:cs="Times New Roman"/>
          <w:bCs/>
          <w:color w:val="000000" w:themeColor="text1"/>
          <w:highlight w:val="none"/>
          <w14:textFill>
            <w14:solidFill>
              <w14:schemeClr w14:val="tx1"/>
            </w14:solidFill>
          </w14:textFill>
        </w:rPr>
        <w:t>周围环境，对周边耕地影响甚微</w:t>
      </w:r>
      <w:r>
        <w:rPr>
          <w:rFonts w:hint="default" w:ascii="Times New Roman" w:hAnsi="Times New Roman" w:cs="Times New Roman"/>
          <w:bCs/>
          <w:color w:val="000000" w:themeColor="text1"/>
          <w:highlight w:val="none"/>
          <w:lang w:eastAsia="zh-CN"/>
          <w14:textFill>
            <w14:solidFill>
              <w14:schemeClr w14:val="tx1"/>
            </w14:solidFill>
          </w14:textFill>
        </w:rPr>
        <w:t>。</w:t>
      </w:r>
    </w:p>
    <w:p>
      <w:pPr>
        <w:ind w:firstLine="480"/>
        <w:rPr>
          <w:rFonts w:hint="default" w:ascii="Times New Roman" w:hAnsi="Times New Roman" w:eastAsia="黑体" w:cs="Times New Roman"/>
          <w:bCs/>
          <w:color w:val="000000" w:themeColor="text1"/>
          <w:szCs w:val="24"/>
          <w:highlight w:val="none"/>
          <w14:textFill>
            <w14:solidFill>
              <w14:schemeClr w14:val="tx1"/>
            </w14:solidFill>
          </w14:textFill>
        </w:rPr>
      </w:pPr>
      <w:r>
        <w:rPr>
          <w:rFonts w:hint="default" w:ascii="Times New Roman" w:hAnsi="Times New Roman" w:eastAsia="黑体" w:cs="Times New Roman"/>
          <w:bCs/>
          <w:color w:val="000000" w:themeColor="text1"/>
          <w:szCs w:val="24"/>
          <w:highlight w:val="none"/>
          <w14:textFill>
            <w14:solidFill>
              <w14:schemeClr w14:val="tx1"/>
            </w14:solidFill>
          </w14:textFill>
        </w:rPr>
        <w:t>3、施工期噪声环境影响分析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该项目</w:t>
      </w:r>
      <w:r>
        <w:rPr>
          <w:rFonts w:hint="default" w:ascii="Times New Roman" w:hAnsi="Times New Roman" w:cs="Times New Roman"/>
          <w:color w:val="000000" w:themeColor="text1"/>
          <w:highlight w:val="none"/>
          <w:lang w:val="en-US" w:eastAsia="zh-CN"/>
          <w14:textFill>
            <w14:solidFill>
              <w14:schemeClr w14:val="tx1"/>
            </w14:solidFill>
          </w14:textFill>
        </w:rPr>
        <w:t>储层改造</w:t>
      </w:r>
      <w:r>
        <w:rPr>
          <w:rFonts w:hint="default" w:ascii="Times New Roman" w:hAnsi="Times New Roman" w:cs="Times New Roman"/>
          <w:color w:val="000000" w:themeColor="text1"/>
          <w:highlight w:val="none"/>
          <w14:textFill>
            <w14:solidFill>
              <w14:schemeClr w14:val="tx1"/>
            </w14:solidFill>
          </w14:textFill>
        </w:rPr>
        <w:t>期间噪声影响主要来源于在完井压裂和油气测试过程将产生压裂设备噪声和测试放喷噪声。</w:t>
      </w:r>
    </w:p>
    <w:p>
      <w:pPr>
        <w:pStyle w:val="27"/>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Cs w:val="24"/>
          <w:highlight w:val="none"/>
          <w14:textFill>
            <w14:solidFill>
              <w14:schemeClr w14:val="tx1"/>
            </w14:solidFill>
          </w14:textFill>
        </w:rPr>
        <w:t>、压裂噪声环境影响预测及分析</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压裂作业时间短，仅在白天施工。压裂过程中噪声源主要来自于压裂泵车，单台噪声源强情况90~100dB（A），由于压裂机组设备分布较为集中，距离敏感点较远，敏感点与项目之间有诸多树林间隔。根据《环境影响评价技术导则 声环境》（HJ2.4-2021）：实际的室外声源组，可以用处于该组中部的等效点声源来描述，本项目最多同时6台压裂设备同时作业。</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根据平面布置，主要噪声设备位于井口及后场，厂界距离井口约10m～40m，忽略地面效应和山体树林隔挡，考虑地面及设备用房的衰减量为2dB（A），预测结果如下。</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本项目压裂作业噪声影响  单位：dB（A）</w:t>
      </w:r>
    </w:p>
    <w:tbl>
      <w:tblPr>
        <w:tblStyle w:val="52"/>
        <w:tblW w:w="8222" w:type="dxa"/>
        <w:jc w:val="center"/>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Layout w:type="fixed"/>
        <w:tblCellMar>
          <w:top w:w="0" w:type="dxa"/>
          <w:left w:w="108" w:type="dxa"/>
          <w:bottom w:w="0" w:type="dxa"/>
          <w:right w:w="108" w:type="dxa"/>
        </w:tblCellMar>
      </w:tblPr>
      <w:tblGrid>
        <w:gridCol w:w="1761"/>
        <w:gridCol w:w="1289"/>
        <w:gridCol w:w="2586"/>
        <w:gridCol w:w="2586"/>
      </w:tblGrid>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3050" w:type="dxa"/>
            <w:gridSpan w:val="2"/>
            <w:tcBorders>
              <w:top w:val="single" w:color="auto" w:sz="4" w:space="0"/>
              <w:left w:val="single" w:color="auto" w:sz="4" w:space="0"/>
              <w:bottom w:val="single" w:color="auto" w:sz="4" w:space="0"/>
              <w:right w:val="single" w:color="auto" w:sz="4" w:space="0"/>
              <w:tl2br w:val="single" w:color="auto" w:sz="4" w:space="0"/>
            </w:tcBorders>
            <w:vAlign w:val="center"/>
          </w:tcPr>
          <w:p>
            <w:pPr>
              <w:pStyle w:val="295"/>
              <w:jc w:val="right"/>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项目</w:t>
            </w:r>
          </w:p>
          <w:p>
            <w:pPr>
              <w:pStyle w:val="295"/>
              <w:jc w:val="left"/>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点位</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贡献值</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达标情况</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restar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西侧厂界</w:t>
            </w:r>
          </w:p>
        </w:tc>
        <w:tc>
          <w:tcPr>
            <w:tcW w:w="1289"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71</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超标</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continue"/>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89"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夜间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restart"/>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北侧厂界</w:t>
            </w:r>
          </w:p>
        </w:tc>
        <w:tc>
          <w:tcPr>
            <w:tcW w:w="1289"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61</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continue"/>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89"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夜间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restart"/>
            <w:tcBorders>
              <w:top w:val="single" w:color="auto" w:sz="4" w:space="0"/>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东侧厂界</w:t>
            </w:r>
          </w:p>
        </w:tc>
        <w:tc>
          <w:tcPr>
            <w:tcW w:w="1289"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63</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continue"/>
            <w:tcBorders>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89"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夜间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restart"/>
            <w:tcBorders>
              <w:top w:val="single" w:color="auto" w:sz="4" w:space="0"/>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南侧厂界</w:t>
            </w:r>
          </w:p>
        </w:tc>
        <w:tc>
          <w:tcPr>
            <w:tcW w:w="1289"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64</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1761" w:type="dxa"/>
            <w:vMerge w:val="continue"/>
            <w:tcBorders>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89"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夜间</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2586"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w:t>
            </w:r>
          </w:p>
        </w:tc>
      </w:tr>
      <w:tr>
        <w:tblPrEx>
          <w:tblBorders>
            <w:top w:val="double" w:color="auto" w:sz="4" w:space="0"/>
            <w:left w:val="double" w:color="auto" w:sz="4" w:space="0"/>
            <w:bottom w:val="double" w:color="auto" w:sz="4" w:space="0"/>
            <w:right w:val="double" w:color="auto" w:sz="4" w:space="0"/>
            <w:insideH w:val="single" w:color="auto" w:sz="12" w:space="0"/>
            <w:insideV w:val="single" w:color="auto" w:sz="12" w:space="0"/>
          </w:tblBorders>
          <w:tblCellMar>
            <w:top w:w="0" w:type="dxa"/>
            <w:left w:w="108" w:type="dxa"/>
            <w:bottom w:w="0" w:type="dxa"/>
            <w:right w:w="108" w:type="dxa"/>
          </w:tblCellMar>
        </w:tblPrEx>
        <w:trPr>
          <w:jc w:val="center"/>
        </w:trPr>
        <w:tc>
          <w:tcPr>
            <w:tcW w:w="8222" w:type="dxa"/>
            <w:gridSpan w:val="4"/>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标准70dB（A）（昼间）、55dB（A）（夜间）</w:t>
            </w:r>
          </w:p>
        </w:tc>
      </w:tr>
    </w:tbl>
    <w:p>
      <w:pPr>
        <w:pStyle w:val="163"/>
        <w:rPr>
          <w:rFonts w:hint="default" w:ascii="Times New Roman" w:hAnsi="Times New Roman" w:cs="Times New Roman"/>
          <w:color w:val="000000" w:themeColor="text1"/>
          <w:highlight w:val="none"/>
          <w14:textFill>
            <w14:solidFill>
              <w14:schemeClr w14:val="tx1"/>
            </w14:solidFill>
          </w14:textFill>
        </w:rPr>
      </w:pPr>
    </w:p>
    <w:p>
      <w:pPr>
        <w:pStyle w:val="27"/>
        <w:spacing w:before="120" w:beforeLines="50"/>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由上表可知，压裂作业期间场界噪声不能满足《建筑施工场界环境噪声排放标准》（GB12523-2011）标准，压裂作业仅在昼间进行，不在夜间施工，进一步预测得知，压裂作业期间昼间噪声达标距离为井口约49m范围内，此范围内无居民分布。压裂施工时间短，夜间不作业，约2</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5天完成压裂作业，压裂施工不是连续施工，噪声产生也不是连续的，随着压裂作业的结束，噪声影响也消失。</w:t>
      </w:r>
    </w:p>
    <w:p>
      <w:pPr>
        <w:pStyle w:val="224"/>
        <w:ind w:firstLine="482"/>
        <w:rPr>
          <w:rFonts w:hint="default" w:ascii="Times New Roman" w:hAnsi="Times New Roman" w:cs="Times New Roman"/>
          <w:b/>
          <w:color w:val="000000" w:themeColor="text1"/>
          <w:highlight w:val="none"/>
          <w:lang w:eastAsia="zh-CN"/>
          <w14:textFill>
            <w14:solidFill>
              <w14:schemeClr w14:val="tx1"/>
            </w14:solidFill>
          </w14:textFill>
        </w:rPr>
      </w:pPr>
      <w:r>
        <w:rPr>
          <w:rFonts w:hint="default" w:ascii="Times New Roman" w:hAnsi="Times New Roman" w:cs="Times New Roman"/>
          <w:b/>
          <w:color w:val="000000" w:themeColor="text1"/>
          <w:highlight w:val="none"/>
          <w:lang w:val="en-US" w:eastAsia="zh-CN"/>
          <w14:textFill>
            <w14:solidFill>
              <w14:schemeClr w14:val="tx1"/>
            </w14:solidFill>
          </w14:textFill>
        </w:rPr>
        <w:t>2</w:t>
      </w:r>
      <w:r>
        <w:rPr>
          <w:rFonts w:hint="default" w:ascii="Times New Roman" w:hAnsi="Times New Roman" w:cs="Times New Roman"/>
          <w:b/>
          <w:color w:val="000000" w:themeColor="text1"/>
          <w:highlight w:val="none"/>
          <w:lang w:eastAsia="zh-CN"/>
          <w14:textFill>
            <w14:solidFill>
              <w14:schemeClr w14:val="tx1"/>
            </w14:solidFill>
          </w14:textFill>
        </w:rPr>
        <w:t>、测试放喷噪声环境影响预测及分析</w:t>
      </w:r>
    </w:p>
    <w:p>
      <w:pPr>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天然气测试放喷过程的噪声为连续噪声，仅在完井时测试中进行放喷，时间约为3小时，噪声源强度约为95~105dB（A）。项目通过在放喷池设置三面建较高的密实的防火墙，可以降低一定的噪声；同时由于测试放喷时间较短，并选择在昼间进行测试，随着测试的结束，噪声影响也消失。同时，根据本项目的测试外围应急疏散方案，放喷测试前组织临时疏散周边居民，因此，测试放喷噪声影响短暂的，对周围居民影响是可接受的。</w:t>
      </w:r>
    </w:p>
    <w:p>
      <w:pPr>
        <w:pStyle w:val="27"/>
        <w:ind w:firstLine="48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4、土壤环境影响分析</w:t>
      </w:r>
    </w:p>
    <w:p>
      <w:pPr>
        <w:pStyle w:val="27"/>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（1）土壤环境影响分析</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1）大气污染途径</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储层改造施工时的</w:t>
      </w:r>
      <w:r>
        <w:rPr>
          <w:rFonts w:hint="default" w:ascii="Times New Roman" w:hAnsi="Times New Roman" w:cs="Times New Roman"/>
          <w:bCs/>
          <w:color w:val="000000" w:themeColor="text1"/>
          <w:szCs w:val="24"/>
          <w:highlight w:val="none"/>
          <w14:textFill>
            <w14:solidFill>
              <w14:schemeClr w14:val="tx1"/>
            </w14:solidFill>
          </w14:textFill>
        </w:rPr>
        <w:t>压裂车</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燃料燃烧废气中</w:t>
      </w:r>
      <w:r>
        <w:rPr>
          <w:rFonts w:hint="default" w:ascii="Times New Roman" w:hAnsi="Times New Roman" w:cs="Times New Roman"/>
          <w:bCs/>
          <w:color w:val="000000" w:themeColor="text1"/>
          <w:szCs w:val="24"/>
          <w:highlight w:val="none"/>
          <w14:textFill>
            <w14:solidFill>
              <w14:schemeClr w14:val="tx1"/>
            </w14:solidFill>
          </w14:textFill>
        </w:rPr>
        <w:t>有SO</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vertAlign w:val="baseline"/>
          <w:lang w:eastAsia="zh-CN"/>
          <w14:textFill>
            <w14:solidFill>
              <w14:schemeClr w14:val="tx1"/>
            </w14:solidFill>
          </w14:textFill>
        </w:rPr>
        <w:t>、</w:t>
      </w:r>
      <w:r>
        <w:rPr>
          <w:rFonts w:hint="default" w:ascii="Times New Roman" w:hAnsi="Times New Roman" w:cs="Times New Roman"/>
          <w:bCs/>
          <w:color w:val="000000" w:themeColor="text1"/>
          <w:szCs w:val="24"/>
          <w:highlight w:val="none"/>
          <w:vertAlign w:val="baseline"/>
          <w:lang w:val="en-US" w:eastAsia="zh-CN"/>
          <w14:textFill>
            <w14:solidFill>
              <w14:schemeClr w14:val="tx1"/>
            </w14:solidFill>
          </w14:textFill>
        </w:rPr>
        <w:t>NOx</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放喷燃烧</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时的燃烧废气中</w:t>
      </w:r>
      <w:r>
        <w:rPr>
          <w:rFonts w:hint="default" w:ascii="Times New Roman" w:hAnsi="Times New Roman" w:cs="Times New Roman"/>
          <w:bCs/>
          <w:color w:val="000000" w:themeColor="text1"/>
          <w:szCs w:val="24"/>
          <w:highlight w:val="none"/>
          <w14:textFill>
            <w14:solidFill>
              <w14:schemeClr w14:val="tx1"/>
            </w14:solidFill>
          </w14:textFill>
        </w:rPr>
        <w:t>有SO</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上述</w:t>
      </w:r>
      <w:r>
        <w:rPr>
          <w:rFonts w:hint="default" w:ascii="Times New Roman" w:hAnsi="Times New Roman" w:cs="Times New Roman"/>
          <w:bCs/>
          <w:color w:val="000000" w:themeColor="text1"/>
          <w:szCs w:val="24"/>
          <w:highlight w:val="none"/>
          <w14:textFill>
            <w14:solidFill>
              <w14:schemeClr w14:val="tx1"/>
            </w14:solidFill>
          </w14:textFill>
        </w:rPr>
        <w:t>大气污染物通过降雨或沉降进入土壤，从而引起土壤污染。</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根据对周边已建天然气项目的调查，通过施工单位严格施工管理，天然气开发过程中周边大气中一般不会出现SO</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等酸性氧化物超标的情况，通过大气污染土壤的可能性较小。</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2）水污染途径</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本项目井场建设期污染物主要通过地面漫流、垂直入渗途径污染土壤。</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①地面漫流</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对于</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储层改造阶段废水储层设施（废水罐、放喷池）等</w:t>
      </w:r>
      <w:r>
        <w:rPr>
          <w:rFonts w:hint="default" w:ascii="Times New Roman" w:hAnsi="Times New Roman" w:cs="Times New Roman"/>
          <w:bCs/>
          <w:color w:val="000000" w:themeColor="text1"/>
          <w:szCs w:val="24"/>
          <w:highlight w:val="none"/>
          <w14:textFill>
            <w14:solidFill>
              <w14:schemeClr w14:val="tx1"/>
            </w14:solidFill>
          </w14:textFill>
        </w:rPr>
        <w:t>区域，在事故情况和降雨情况下产生的废水会发生地面漫流，进一步污染土壤。</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建设单位对放喷池在雨天加盖篷布，避免暴雨引起废水、废油外溢形成地面漫流。并在废水收集罐周围设置0.</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m高围堰，防止废水外溢；放喷池最低面墙设置不低于0.5m，避免雨水进入；井口作业区周边设置导流沟，将可能泄露的废水导流至集污坑；井场四周设置双环沟，外环沟与自然沟渠连接，便于导排场地外雨水等，内环沟用于收集井场内的雨水和可能产生的污水，汇入集污坑。通过以上措施全面防控事故废水和可能受污染的雨水发生地面漫流，进入土壤。</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在全面落实污染防控措施的情况下，污染物的地面漫流对土壤影响较小。</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②垂直入渗</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对于</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储层改造阶段废水储层设施（废水罐、放喷池）等</w:t>
      </w:r>
      <w:r>
        <w:rPr>
          <w:rFonts w:hint="default" w:ascii="Times New Roman" w:hAnsi="Times New Roman" w:cs="Times New Roman"/>
          <w:bCs/>
          <w:color w:val="000000" w:themeColor="text1"/>
          <w:szCs w:val="24"/>
          <w:highlight w:val="none"/>
          <w14:textFill>
            <w14:solidFill>
              <w14:schemeClr w14:val="tx1"/>
            </w14:solidFill>
          </w14:textFill>
        </w:rPr>
        <w:t>区域，在事故情况下会造成污染物的</w:t>
      </w:r>
      <w:r>
        <w:rPr>
          <w:rFonts w:hint="default" w:ascii="Times New Roman" w:hAnsi="Times New Roman" w:cs="Times New Roman"/>
          <w:bCs/>
          <w:color w:val="000000" w:themeColor="text1"/>
          <w:szCs w:val="24"/>
          <w:highlight w:val="none"/>
          <w:lang w:eastAsia="zh-CN"/>
          <w14:textFill>
            <w14:solidFill>
              <w14:schemeClr w14:val="tx1"/>
            </w14:solidFill>
          </w14:textFill>
        </w:rPr>
        <w:t>泄漏</w:t>
      </w:r>
      <w:r>
        <w:rPr>
          <w:rFonts w:hint="default" w:ascii="Times New Roman" w:hAnsi="Times New Roman" w:cs="Times New Roman"/>
          <w:bCs/>
          <w:color w:val="000000" w:themeColor="text1"/>
          <w:szCs w:val="24"/>
          <w:highlight w:val="none"/>
          <w14:textFill>
            <w14:solidFill>
              <w14:schemeClr w14:val="tx1"/>
            </w14:solidFill>
          </w14:textFill>
        </w:rPr>
        <w:t>，通过垂直入渗途径污染土壤。</w:t>
      </w:r>
    </w:p>
    <w:p>
      <w:pPr>
        <w:pStyle w:val="27"/>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本项目采取分区防渗措施，</w:t>
      </w:r>
      <w:r>
        <w:rPr>
          <w:rFonts w:hint="default" w:ascii="Times New Roman" w:hAnsi="Times New Roman" w:cs="Times New Roman"/>
          <w:color w:val="000000" w:themeColor="text1"/>
          <w:szCs w:val="24"/>
          <w:highlight w:val="none"/>
          <w14:textFill>
            <w14:solidFill>
              <w14:schemeClr w14:val="tx1"/>
            </w14:solidFill>
          </w14:textFill>
        </w:rPr>
        <w:t>场地内方井、放喷池、污水罐等采取重点防渗措施</w:t>
      </w:r>
      <w:r>
        <w:rPr>
          <w:rFonts w:hint="default" w:ascii="Times New Roman" w:hAnsi="Times New Roman" w:cs="Times New Roman"/>
          <w:bCs/>
          <w:color w:val="000000" w:themeColor="text1"/>
          <w:szCs w:val="24"/>
          <w:highlight w:val="none"/>
          <w14:textFill>
            <w14:solidFill>
              <w14:schemeClr w14:val="tx1"/>
            </w14:solidFill>
          </w14:textFill>
        </w:rPr>
        <w:t>。在全面落实分区防渗措施的情况下，污染物的垂直入渗对土壤影响较小。</w:t>
      </w:r>
    </w:p>
    <w:p>
      <w:pPr>
        <w:pStyle w:val="27"/>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（2）土壤环境影响预测与评价</w:t>
      </w:r>
    </w:p>
    <w:p>
      <w:pPr>
        <w:pStyle w:val="27"/>
        <w:ind w:firstLine="480"/>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本次评价储层改造阶段同样类比</w:t>
      </w:r>
      <w:r>
        <w:rPr>
          <w:rFonts w:hint="default" w:ascii="Times New Roman" w:hAnsi="Times New Roman" w:cs="Times New Roman"/>
          <w:color w:val="000000" w:themeColor="text1"/>
          <w:szCs w:val="24"/>
          <w:highlight w:val="none"/>
          <w14:textFill>
            <w14:solidFill>
              <w14:schemeClr w14:val="tx1"/>
            </w14:solidFill>
          </w14:textFill>
        </w:rPr>
        <w:t>同区域项目南侧</w:t>
      </w:r>
      <w:r>
        <w:rPr>
          <w:rFonts w:hint="default" w:ascii="Times New Roman" w:hAnsi="Times New Roman" w:cs="Times New Roman"/>
          <w:color w:val="000000" w:themeColor="text1"/>
          <w:szCs w:val="24"/>
          <w:highlight w:val="none"/>
          <w:lang w:val="en-US" w:eastAsia="zh-CN"/>
          <w14:textFill>
            <w14:solidFill>
              <w14:schemeClr w14:val="tx1"/>
            </w14:solidFill>
          </w14:textFill>
        </w:rPr>
        <w:t>12</w:t>
      </w:r>
      <w:r>
        <w:rPr>
          <w:rFonts w:hint="default" w:ascii="Times New Roman" w:hAnsi="Times New Roman" w:cs="Times New Roman"/>
          <w:color w:val="000000" w:themeColor="text1"/>
          <w:szCs w:val="24"/>
          <w:highlight w:val="none"/>
          <w14:textFill>
            <w14:solidFill>
              <w14:schemeClr w14:val="tx1"/>
            </w14:solidFill>
          </w14:textFill>
        </w:rPr>
        <w:t>km处的老君701集气站内监测数据进行分析（老君701集气站旁涉及施工</w:t>
      </w:r>
      <w:r>
        <w:rPr>
          <w:rFonts w:hint="default" w:ascii="Times New Roman" w:hAnsi="Times New Roman" w:cs="Times New Roman"/>
          <w:color w:val="000000" w:themeColor="text1"/>
          <w:szCs w:val="24"/>
          <w:highlight w:val="none"/>
          <w:lang w:val="en-US" w:eastAsia="zh-CN"/>
          <w14:textFill>
            <w14:solidFill>
              <w14:schemeClr w14:val="tx1"/>
            </w14:solidFill>
          </w14:textFill>
        </w:rPr>
        <w:t>储层改造</w:t>
      </w:r>
      <w:r>
        <w:rPr>
          <w:rFonts w:hint="default" w:ascii="Times New Roman" w:hAnsi="Times New Roman" w:cs="Times New Roman"/>
          <w:color w:val="000000" w:themeColor="text1"/>
          <w:szCs w:val="24"/>
          <w:highlight w:val="none"/>
          <w14:textFill>
            <w14:solidFill>
              <w14:schemeClr w14:val="tx1"/>
            </w14:solidFill>
          </w14:textFill>
        </w:rPr>
        <w:t>期，因此具有可比性）</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类比结果见前文表5.1-6中数据。</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根据项目对土壤环境影响途径分析和类比同类项目同类地区的建设经验，项目建设对土壤环境的影响很小，可接受。</w:t>
      </w:r>
    </w:p>
    <w:p>
      <w:pPr>
        <w:pStyle w:val="27"/>
        <w:ind w:firstLine="48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5、固体废物环境影响分析</w:t>
      </w:r>
    </w:p>
    <w:p>
      <w:pPr>
        <w:pStyle w:val="27"/>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w:t>
      </w:r>
      <w:r>
        <w:rPr>
          <w:rFonts w:hint="default" w:ascii="Times New Roman" w:hAnsi="Times New Roman" w:cs="Times New Roman"/>
          <w:b/>
          <w:bCs/>
          <w:color w:val="000000" w:themeColor="text1"/>
          <w:szCs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Cs w:val="24"/>
          <w:highlight w:val="none"/>
          <w14:textFill>
            <w14:solidFill>
              <w14:schemeClr w14:val="tx1"/>
            </w14:solidFill>
          </w14:textFill>
        </w:rPr>
        <w:t>）生活垃圾</w:t>
      </w:r>
      <w:r>
        <w:rPr>
          <w:rFonts w:hint="default" w:ascii="Times New Roman" w:hAnsi="Times New Roman" w:cs="Times New Roman"/>
          <w:b/>
          <w:color w:val="000000" w:themeColor="text1"/>
          <w:szCs w:val="24"/>
          <w:highlight w:val="none"/>
          <w14:textFill>
            <w14:solidFill>
              <w14:schemeClr w14:val="tx1"/>
            </w14:solidFill>
          </w14:textFill>
        </w:rPr>
        <w:t>影响分析</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生活垃圾可分为两类，如可降解的果皮、菜根、废纸、烟盒、剩饭菜等，不可降解的塑料制品、废金属、废电池等，这些垃圾分类堆放，定期交由环卫部门妥善处置。</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一般情况下，生活垃圾对环境影响不大，但在管理不严特别是大风天气时，轻质垃圾如废纸、塑料等随风移动，散乱在地或悬挂灌木，影响环境卫生；再者，遇到大雨时，如果垃圾没有堆放好，可能会被水冲走，影响周围土壤环境；若垃圾不能及时清运，则容易经风吹雨淋而腐烂变质，不但会影响周围环境的卫生和美观，而且产生的恶臭、淋液可能影响局部地下水。生活垃圾重在管理，施工作业场地设垃圾收集桶，生活垃圾依托当地环卫部门对生活垃圾进行定期清运在统一外运至当地垃圾处理场所进行处置后，对环境影响较小。</w:t>
      </w:r>
    </w:p>
    <w:p>
      <w:pPr>
        <w:pStyle w:val="27"/>
        <w:ind w:firstLine="482"/>
        <w:rPr>
          <w:rFonts w:hint="default" w:ascii="Times New Roman" w:hAnsi="Times New Roman" w:eastAsia="宋体" w:cs="Times New Roman"/>
          <w:b/>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w:t>
      </w:r>
      <w:r>
        <w:rPr>
          <w:rFonts w:hint="default" w:ascii="Times New Roman" w:hAnsi="Times New Roman" w:cs="Times New Roman"/>
          <w:b/>
          <w:bCs/>
          <w:color w:val="000000" w:themeColor="text1"/>
          <w:szCs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zCs w:val="24"/>
          <w:highlight w:val="none"/>
          <w14:textFill>
            <w14:solidFill>
              <w14:schemeClr w14:val="tx1"/>
            </w14:solidFill>
          </w14:textFill>
        </w:rPr>
        <w:t>）</w:t>
      </w:r>
      <w:r>
        <w:rPr>
          <w:rFonts w:hint="default" w:ascii="Times New Roman" w:hAnsi="Times New Roman" w:cs="Times New Roman"/>
          <w:b/>
          <w:bCs/>
          <w:color w:val="000000" w:themeColor="text1"/>
          <w:highlight w:val="none"/>
          <w:lang w:val="en-US" w:eastAsia="zh-CN"/>
          <w14:textFill>
            <w14:solidFill>
              <w14:schemeClr w14:val="tx1"/>
            </w14:solidFill>
          </w14:textFill>
        </w:rPr>
        <w:t>建筑垃圾</w:t>
      </w:r>
    </w:p>
    <w:p>
      <w:pPr>
        <w:pStyle w:val="27"/>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2"/>
          <w:highlight w:val="none"/>
          <w:lang w:val="en-US" w:eastAsia="zh-CN" w:bidi="ar-SA"/>
          <w14:textFill>
            <w14:solidFill>
              <w14:schemeClr w14:val="tx1"/>
            </w14:solidFill>
          </w14:textFill>
        </w:rPr>
        <w:t>完井搬迁时可能产生少量建筑垃圾，主要如包装袋，废弃建筑材料等，其量小，由施工队伍统一收集清运至政府指定地方</w:t>
      </w:r>
      <w:r>
        <w:rPr>
          <w:rFonts w:hint="default" w:ascii="Times New Roman" w:hAnsi="Times New Roman" w:cs="Times New Roman"/>
          <w:color w:val="000000" w:themeColor="text1"/>
          <w:szCs w:val="24"/>
          <w:highlight w:val="none"/>
          <w14:textFill>
            <w14:solidFill>
              <w14:schemeClr w14:val="tx1"/>
            </w14:solidFill>
          </w14:textFill>
        </w:rPr>
        <w:t>，对周围环境的影响也较小。</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267" w:name="_Toc120173153"/>
      <w:r>
        <w:rPr>
          <w:rFonts w:hint="default" w:ascii="Times New Roman" w:hAnsi="Times New Roman" w:cs="Times New Roman"/>
          <w:color w:val="000000" w:themeColor="text1"/>
          <w:highlight w:val="none"/>
          <w:lang w:eastAsia="zh-CN"/>
          <w14:textFill>
            <w14:solidFill>
              <w14:schemeClr w14:val="tx1"/>
            </w14:solidFill>
          </w14:textFill>
        </w:rPr>
        <w:t>施工期</w:t>
      </w:r>
      <w:r>
        <w:rPr>
          <w:rFonts w:hint="default" w:ascii="Times New Roman" w:hAnsi="Times New Roman" w:cs="Times New Roman"/>
          <w:color w:val="000000" w:themeColor="text1"/>
          <w:highlight w:val="none"/>
          <w:lang w:val="en-US" w:eastAsia="zh-CN"/>
          <w14:textFill>
            <w14:solidFill>
              <w14:schemeClr w14:val="tx1"/>
            </w14:solidFill>
          </w14:textFill>
        </w:rPr>
        <w:t>油气集输</w:t>
      </w:r>
      <w:r>
        <w:rPr>
          <w:rFonts w:hint="default" w:ascii="Times New Roman" w:hAnsi="Times New Roman" w:cs="Times New Roman"/>
          <w:color w:val="000000" w:themeColor="text1"/>
          <w:highlight w:val="none"/>
          <w:lang w:eastAsia="zh-CN"/>
          <w14:textFill>
            <w14:solidFill>
              <w14:schemeClr w14:val="tx1"/>
            </w14:solidFill>
          </w14:textFill>
        </w:rPr>
        <w:t>工程环境影响分析</w:t>
      </w:r>
      <w:bookmarkEnd w:id="267"/>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1、大气环境影响分析</w:t>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lang w:val="en-US" w:eastAsia="zh-CN"/>
          <w14:textFill>
            <w14:solidFill>
              <w14:schemeClr w14:val="tx1"/>
            </w14:solidFill>
          </w14:textFill>
        </w:rPr>
        <w:t>油气集输工程在进行井口流程和集气站复建时</w:t>
      </w:r>
      <w:r>
        <w:rPr>
          <w:rFonts w:hint="default" w:ascii="Times New Roman" w:hAnsi="Times New Roman" w:cs="Times New Roman"/>
          <w:color w:val="000000" w:themeColor="text1"/>
          <w:kern w:val="0"/>
          <w:szCs w:val="24"/>
          <w:highlight w:val="none"/>
          <w14:textFill>
            <w14:solidFill>
              <w14:schemeClr w14:val="tx1"/>
            </w14:solidFill>
          </w14:textFill>
        </w:rPr>
        <w:t>施工废气污染源主要来自地面开挖、填埋、土石方堆放和运输车辆行驶产生的扬尘</w:t>
      </w:r>
      <w:r>
        <w:rPr>
          <w:rFonts w:hint="default" w:ascii="Times New Roman" w:hAnsi="Times New Roman" w:cs="Times New Roman"/>
          <w:color w:val="000000" w:themeColor="text1"/>
          <w:kern w:val="0"/>
          <w:szCs w:val="24"/>
          <w:highlight w:val="none"/>
          <w:lang w:eastAsia="zh-CN"/>
          <w14:textFill>
            <w14:solidFill>
              <w14:schemeClr w14:val="tx1"/>
            </w14:solidFill>
          </w14:textFill>
        </w:rPr>
        <w:t>，以</w:t>
      </w:r>
      <w:r>
        <w:rPr>
          <w:rFonts w:hint="default" w:ascii="Times New Roman" w:hAnsi="Times New Roman" w:cs="Times New Roman"/>
          <w:color w:val="000000" w:themeColor="text1"/>
          <w:kern w:val="0"/>
          <w:szCs w:val="24"/>
          <w:highlight w:val="none"/>
          <w14:textFill>
            <w14:solidFill>
              <w14:schemeClr w14:val="tx1"/>
            </w14:solidFill>
          </w14:textFill>
        </w:rPr>
        <w:t>及施工机械、运输车辆排放的尾气，尾气中的主要污染物为CO和NOx等。这些污染物将对环境空气造成一定程度的污染，但这种污染是短期的，工程结束后，将不复存在。</w:t>
      </w:r>
    </w:p>
    <w:p>
      <w:pPr>
        <w:widowControl/>
        <w:ind w:firstLine="482"/>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（1）扬尘</w:t>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扬尘主要产生于两个部分：地面的开挖、填埋、土石方堆放，以及车辆运输过程产生的扬尘。施工期间产生的扬尘污染主要取决于施工作业方式、材料的堆放以及风力等因素，其中受风力的影响因素最大，随着风速的增大，施工扬尘的污染程度和超标范围也将随之增强和扩大。</w:t>
      </w:r>
    </w:p>
    <w:p>
      <w:pPr>
        <w:widowControl/>
        <w:ind w:firstLine="480"/>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地面的开挖、填埋、土石方堆放过程为分段进行，施工时间较短，根据类似工程的实际现场调查：在大风情况下施工现场下风向1m处扬尘浓度可达3mg/m</w:t>
      </w:r>
      <w:r>
        <w:rPr>
          <w:rFonts w:hint="default" w:ascii="Times New Roman" w:hAnsi="Times New Roman" w:cs="Times New Roman"/>
          <w:color w:val="000000" w:themeColor="text1"/>
          <w:kern w:val="0"/>
          <w:szCs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Cs w:val="24"/>
          <w:highlight w:val="none"/>
          <w14:textFill>
            <w14:solidFill>
              <w14:schemeClr w14:val="tx1"/>
            </w14:solidFill>
          </w14:textFill>
        </w:rPr>
        <w:t>以上，25m处为1.53mg/m</w:t>
      </w:r>
      <w:r>
        <w:rPr>
          <w:rFonts w:hint="default" w:ascii="Times New Roman" w:hAnsi="Times New Roman" w:cs="Times New Roman"/>
          <w:color w:val="000000" w:themeColor="text1"/>
          <w:kern w:val="0"/>
          <w:szCs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Cs w:val="24"/>
          <w:highlight w:val="none"/>
          <w14:textFill>
            <w14:solidFill>
              <w14:schemeClr w14:val="tx1"/>
            </w14:solidFill>
          </w14:textFill>
        </w:rPr>
        <w:t>，下风向60m范围内TSP浓度超标。因此在采取合理化管理、作业面和土堆适当喷水、土堆和建筑材料遮盖、大风天停止作业等措施后，施工扬尘对周围保护目标的影响会大为降低。</w:t>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汽车施工阶段运输过程中，也会产生扬尘污染。扬尘量、粒径大小等与多种因素有关，如路面状况、车辆行驶速度、载重量、天气情况等。其中风速、风向等天气状况直接影响扬尘的传输方向和距离。由于汽车运输过程中产生的扬尘时间短、扬尘落地快、影响范围主要集中在运输道路两侧，故汽车运输扬尘对周边的环境空气影响程度和范围较小，影响时间也较短。如果采用道路定时</w:t>
      </w:r>
      <w:r>
        <w:rPr>
          <w:rFonts w:hint="default" w:ascii="Times New Roman" w:hAnsi="Times New Roman" w:cs="Times New Roman"/>
          <w:color w:val="000000" w:themeColor="text1"/>
          <w:kern w:val="0"/>
          <w:szCs w:val="24"/>
          <w:highlight w:val="none"/>
          <w:lang w:eastAsia="zh-CN"/>
          <w14:textFill>
            <w14:solidFill>
              <w14:schemeClr w14:val="tx1"/>
            </w14:solidFill>
          </w14:textFill>
        </w:rPr>
        <w:t>洒水</w:t>
      </w:r>
      <w:r>
        <w:rPr>
          <w:rFonts w:hint="default" w:ascii="Times New Roman" w:hAnsi="Times New Roman" w:cs="Times New Roman"/>
          <w:color w:val="000000" w:themeColor="text1"/>
          <w:kern w:val="0"/>
          <w:szCs w:val="24"/>
          <w:highlight w:val="none"/>
          <w14:textFill>
            <w14:solidFill>
              <w14:schemeClr w14:val="tx1"/>
            </w14:solidFill>
          </w14:textFill>
        </w:rPr>
        <w:t>抑尘、车辆不要装载过满并采取密闭或遮盖措施，可大大减少运输扬尘对周围环境空气的影响。</w:t>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总体而言，施工期扬尘对周边大气敏感点影响很小，属可接受范围。</w:t>
      </w:r>
    </w:p>
    <w:p>
      <w:pPr>
        <w:widowControl/>
        <w:ind w:firstLine="482"/>
        <w:jc w:val="left"/>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（2）施工机具尾气</w:t>
      </w:r>
    </w:p>
    <w:p>
      <w:pPr>
        <w:widowControl/>
        <w:ind w:firstLine="480"/>
        <w:jc w:val="left"/>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施工期间，运输汽车、施工机械由于使用汽油或柴油，将产生燃烧尾气，主要污染物为CO、NOx等。但由于废气量较小，且施工现场均在野外，有利于空气的扩散，同时废气污染源具有间歇性和流动性，该类污染源对大气环境的影响较小。</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2、地表水环境影响分析</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w:t>
      </w:r>
      <w:r>
        <w:rPr>
          <w:rFonts w:hint="default" w:ascii="Times New Roman" w:hAnsi="Times New Roman" w:cs="Times New Roman"/>
          <w:color w:val="000000" w:themeColor="text1"/>
          <w:szCs w:val="24"/>
          <w:highlight w:val="none"/>
          <w:lang w:eastAsia="zh-CN"/>
          <w14:textFill>
            <w14:solidFill>
              <w14:schemeClr w14:val="tx1"/>
            </w14:solidFill>
          </w14:textFill>
        </w:rPr>
        <w:t>项目</w:t>
      </w:r>
      <w:r>
        <w:rPr>
          <w:rFonts w:hint="default" w:ascii="Times New Roman" w:hAnsi="Times New Roman" w:cs="Times New Roman"/>
          <w:color w:val="000000" w:themeColor="text1"/>
          <w:szCs w:val="24"/>
          <w:highlight w:val="none"/>
          <w14:textFill>
            <w14:solidFill>
              <w14:schemeClr w14:val="tx1"/>
            </w14:solidFill>
          </w14:textFill>
        </w:rPr>
        <w:t>废水主要为施工废水</w:t>
      </w:r>
      <w:r>
        <w:rPr>
          <w:rFonts w:hint="default" w:ascii="Times New Roman" w:hAnsi="Times New Roman" w:cs="Times New Roman"/>
          <w:bCs/>
          <w:color w:val="000000" w:themeColor="text1"/>
          <w:szCs w:val="24"/>
          <w:highlight w:val="none"/>
          <w14:textFill>
            <w14:solidFill>
              <w14:schemeClr w14:val="tx1"/>
            </w14:solidFill>
          </w14:textFill>
        </w:rPr>
        <w:t>（主要污染物为SS）</w:t>
      </w:r>
      <w:r>
        <w:rPr>
          <w:rFonts w:hint="default" w:ascii="Times New Roman" w:hAnsi="Times New Roman" w:cs="Times New Roman"/>
          <w:color w:val="000000" w:themeColor="text1"/>
          <w:szCs w:val="24"/>
          <w:highlight w:val="none"/>
          <w14:textFill>
            <w14:solidFill>
              <w14:schemeClr w14:val="tx1"/>
            </w14:solidFill>
          </w14:textFill>
        </w:rPr>
        <w:t>和施工人员的生活污水（主要污染物为</w:t>
      </w:r>
      <w:r>
        <w:rPr>
          <w:rFonts w:hint="default" w:ascii="Times New Roman" w:hAnsi="Times New Roman" w:cs="Times New Roman"/>
          <w:bCs/>
          <w:color w:val="000000" w:themeColor="text1"/>
          <w:szCs w:val="24"/>
          <w:highlight w:val="none"/>
          <w14:textFill>
            <w14:solidFill>
              <w14:schemeClr w14:val="tx1"/>
            </w14:solidFill>
          </w14:textFill>
        </w:rPr>
        <w:t>COD、SS和NH</w:t>
      </w:r>
      <w:r>
        <w:rPr>
          <w:rFonts w:hint="default" w:ascii="Times New Roman" w:hAnsi="Times New Roman" w:cs="Times New Roman"/>
          <w:bCs/>
          <w:color w:val="000000" w:themeColor="text1"/>
          <w:szCs w:val="24"/>
          <w:highlight w:val="none"/>
          <w:vertAlign w:val="sub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-N等</w:t>
      </w:r>
      <w:r>
        <w:rPr>
          <w:rFonts w:hint="default" w:ascii="Times New Roman" w:hAnsi="Times New Roman" w:cs="Times New Roman"/>
          <w:color w:val="000000" w:themeColor="text1"/>
          <w:szCs w:val="24"/>
          <w:highlight w:val="none"/>
          <w14:textFill>
            <w14:solidFill>
              <w14:schemeClr w14:val="tx1"/>
            </w14:solidFill>
          </w14:textFill>
        </w:rPr>
        <w:t>）。管线建设工程量小，施工时间短，</w:t>
      </w:r>
      <w:r>
        <w:rPr>
          <w:rFonts w:hint="default" w:ascii="Times New Roman" w:hAnsi="Times New Roman" w:cs="Times New Roman"/>
          <w:bCs/>
          <w:color w:val="000000" w:themeColor="text1"/>
          <w:highlight w:val="none"/>
          <w14:textFill>
            <w14:solidFill>
              <w14:schemeClr w14:val="tx1"/>
            </w14:solidFill>
          </w14:textFill>
        </w:rPr>
        <w:t>生活污水经生态厕所收集后定期由密闭罐车拉运至周边生活污水处理厂处理</w:t>
      </w:r>
      <w:r>
        <w:rPr>
          <w:rFonts w:hint="default" w:ascii="Times New Roman" w:hAnsi="Times New Roman" w:cs="Times New Roman"/>
          <w:color w:val="000000" w:themeColor="text1"/>
          <w:szCs w:val="24"/>
          <w:highlight w:val="none"/>
          <w14:textFill>
            <w14:solidFill>
              <w14:schemeClr w14:val="tx1"/>
            </w14:solidFill>
          </w14:textFill>
        </w:rPr>
        <w:t>；少量生产废水在施工现场设置沉淀池，施工废水经隔油沉淀处理后回用于洒水降尘，不外排。对地表水环境影响小</w:t>
      </w:r>
      <w:r>
        <w:rPr>
          <w:rFonts w:hint="default" w:ascii="Times New Roman" w:hAnsi="Times New Roman" w:cs="Times New Roman"/>
          <w:bCs/>
          <w:color w:val="000000" w:themeColor="text1"/>
          <w:highlight w:val="none"/>
          <w14:textFill>
            <w14:solidFill>
              <w14:schemeClr w14:val="tx1"/>
            </w14:solidFill>
          </w14:textFill>
        </w:rPr>
        <w:t>。</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3、声环境影响分析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lang w:val="en-US" w:eastAsia="zh-CN"/>
          <w14:textFill>
            <w14:solidFill>
              <w14:schemeClr w14:val="tx1"/>
            </w14:solidFill>
          </w14:textFill>
        </w:rPr>
        <w:t>油气集输工程在进行井口流程和集气站复建时</w:t>
      </w:r>
      <w:r>
        <w:rPr>
          <w:rFonts w:hint="default" w:ascii="Times New Roman" w:hAnsi="Times New Roman" w:cs="Times New Roman"/>
          <w:color w:val="000000" w:themeColor="text1"/>
          <w:szCs w:val="24"/>
          <w:highlight w:val="none"/>
          <w14:textFill>
            <w14:solidFill>
              <w14:schemeClr w14:val="tx1"/>
            </w14:solidFill>
          </w14:textFill>
        </w:rPr>
        <w:t>的噪声主要是推土机、挖掘机、载重汽车等运行中产生的，工程量小、时间短，噪声源强小，夜间不施工，且项目300m范围内无居民，对周边声环境敏感目标影响小。</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4、固废影响分析</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lang w:val="en-US" w:eastAsia="zh-CN"/>
          <w14:textFill>
            <w14:solidFill>
              <w14:schemeClr w14:val="tx1"/>
            </w14:solidFill>
          </w14:textFill>
        </w:rPr>
        <w:t>油气集输工程在进行井口流程和集气站复建时</w:t>
      </w:r>
      <w:r>
        <w:rPr>
          <w:rFonts w:hint="default" w:ascii="Times New Roman" w:hAnsi="Times New Roman" w:cs="Times New Roman"/>
          <w:color w:val="000000" w:themeColor="text1"/>
          <w:szCs w:val="24"/>
          <w:highlight w:val="none"/>
          <w14:textFill>
            <w14:solidFill>
              <w14:schemeClr w14:val="tx1"/>
            </w14:solidFill>
          </w14:textFill>
        </w:rPr>
        <w:t>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因此，项目产生的固废能够得到妥善处置</w:t>
      </w:r>
      <w:r>
        <w:rPr>
          <w:rFonts w:hint="default" w:ascii="Times New Roman" w:hAnsi="Times New Roman" w:cs="Times New Roman"/>
          <w:color w:val="000000" w:themeColor="text1"/>
          <w:kern w:val="0"/>
          <w:szCs w:val="24"/>
          <w:highlight w:val="none"/>
          <w14:textFill>
            <w14:solidFill>
              <w14:schemeClr w14:val="tx1"/>
            </w14:solidFill>
          </w14:textFill>
        </w:rPr>
        <w:t>，对周围环境影响较小</w:t>
      </w:r>
      <w:r>
        <w:rPr>
          <w:rFonts w:hint="default" w:ascii="Times New Roman" w:hAnsi="Times New Roman" w:cs="Times New Roman"/>
          <w:color w:val="000000" w:themeColor="text1"/>
          <w:szCs w:val="24"/>
          <w:highlight w:val="none"/>
          <w14:textFill>
            <w14:solidFill>
              <w14:schemeClr w14:val="tx1"/>
            </w14:solidFill>
          </w14:textFill>
        </w:rPr>
        <w:t>。</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268" w:name="5.2运营期环境影响分析"/>
      <w:bookmarkEnd w:id="268"/>
      <w:bookmarkStart w:id="269" w:name="5.1.5生态影响分析"/>
      <w:bookmarkEnd w:id="269"/>
      <w:bookmarkStart w:id="270" w:name="_bookmark29"/>
      <w:bookmarkEnd w:id="270"/>
      <w:bookmarkStart w:id="271" w:name="_Toc6017"/>
      <w:r>
        <w:rPr>
          <w:rFonts w:hint="default" w:ascii="Times New Roman" w:hAnsi="Times New Roman" w:cs="Times New Roman"/>
          <w:color w:val="000000" w:themeColor="text1"/>
          <w:highlight w:val="none"/>
          <w:lang w:eastAsia="zh-CN"/>
          <w14:textFill>
            <w14:solidFill>
              <w14:schemeClr w14:val="tx1"/>
            </w14:solidFill>
          </w14:textFill>
        </w:rPr>
        <w:t>试采期环境影响分析</w:t>
      </w:r>
      <w:bookmarkEnd w:id="271"/>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272" w:name="5.2.1地表水环境影响分析"/>
      <w:bookmarkEnd w:id="272"/>
      <w:bookmarkStart w:id="273" w:name="_Toc120173155"/>
      <w:r>
        <w:rPr>
          <w:rFonts w:hint="default" w:ascii="Times New Roman" w:hAnsi="Times New Roman" w:cs="Times New Roman"/>
          <w:color w:val="000000" w:themeColor="text1"/>
          <w:highlight w:val="none"/>
          <w:lang w:eastAsia="zh-CN"/>
          <w14:textFill>
            <w14:solidFill>
              <w14:schemeClr w14:val="tx1"/>
            </w14:solidFill>
          </w14:textFill>
        </w:rPr>
        <w:t>试采期生态环境影响分析</w:t>
      </w:r>
      <w:bookmarkEnd w:id="273"/>
    </w:p>
    <w:p>
      <w:pPr>
        <w:pStyle w:val="5"/>
        <w:pageBreakBefore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对土地利用类型的影响</w:t>
      </w:r>
    </w:p>
    <w:p>
      <w:pPr>
        <w:pStyle w:val="130"/>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本项目试采期不涉及新增占地（仅在钻井井场占地范围内进行建设），不会直接改变土地利用方式，项目运营不会改变评价区内现有的土地利用的基本格局</w:t>
      </w:r>
      <w:r>
        <w:rPr>
          <w:rFonts w:hint="default" w:ascii="Times New Roman" w:hAnsi="Times New Roman" w:cs="Times New Roman"/>
          <w:color w:val="000000" w:themeColor="text1"/>
          <w:highlight w:val="none"/>
          <w14:textFill>
            <w14:solidFill>
              <w14:schemeClr w14:val="tx1"/>
            </w14:solidFill>
          </w14:textFill>
        </w:rPr>
        <w:t>。</w:t>
      </w:r>
    </w:p>
    <w:p>
      <w:pPr>
        <w:pStyle w:val="5"/>
        <w:pageBreakBefore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对植被及生物量的影响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（1）工程占地</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本项目运营期不涉及新增占地，对植被及生物量无直接影响。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（2）人员活动</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项目区现有土地开发利用程度较高，野生动物组成比较简单，种类较少，多为已经适应人类生产生活等环境的鸟类和小型啮齿类动物，项目试采对其影响较小。</w:t>
      </w:r>
    </w:p>
    <w:p>
      <w:pPr>
        <w:pStyle w:val="5"/>
        <w:pageBreakBefore w:val="0"/>
        <w:widowControl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对陆生野生动物的影响分析</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本项目试采期不涉及新增占地</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但试生产期间的噪声、放空、生产废弃物可能间接对陆生野生动物产生一定影响，其生境在某种程度上会受到一定的影响，但在周边也可以找到相同或相似生境，可迁移到合适生境中生活，对其生存不会造成威胁。同时项目区现有土地开发利用程度较高，野生动物组成比较简单，种类较少，多为已经适应人类生产生活等环境的鸟类和小型啮齿类动物，项目试采期间，要加强对巡检人员教育宣传，严</w:t>
      </w:r>
      <w:r>
        <w:rPr>
          <w:rFonts w:hint="default" w:ascii="Times New Roman" w:hAnsi="Times New Roman" w:cs="Times New Roman"/>
          <w:color w:val="000000" w:themeColor="text1"/>
          <w:highlight w:val="none"/>
          <w:lang w:eastAsia="zh-CN"/>
          <w14:textFill>
            <w14:solidFill>
              <w14:schemeClr w14:val="tx1"/>
            </w14:solidFill>
          </w14:textFill>
        </w:rPr>
        <w:t>禁</w:t>
      </w:r>
      <w:r>
        <w:rPr>
          <w:rFonts w:hint="default" w:ascii="Times New Roman" w:hAnsi="Times New Roman" w:cs="Times New Roman"/>
          <w:color w:val="000000" w:themeColor="text1"/>
          <w:highlight w:val="none"/>
          <w14:textFill>
            <w14:solidFill>
              <w14:schemeClr w14:val="tx1"/>
            </w14:solidFill>
          </w14:textFill>
        </w:rPr>
        <w:t>非法捕杀野生动物，将对其影响降到最低。</w:t>
      </w:r>
    </w:p>
    <w:p>
      <w:pPr>
        <w:pStyle w:val="5"/>
        <w:pageBreakBefore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对重点保护野生动植物的影响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根据实地调查，在项目评价区内未发现国家和省级重点保护野生植物。</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试采期不涉及新增占地。项目区可能出现的重点保护鸟类雀鹰、画眉主要为过境取食及活动，并无栖息地。同时，雀鹰、画眉飞翔能力和自主迁徙能力较强，捕食范围很广，项目运营对其影响很小。在试采期间，要加强在巡检人员中的宣传教育，严禁捕捉野生动物</w:t>
      </w:r>
      <w:r>
        <w:rPr>
          <w:rFonts w:hint="default" w:ascii="Times New Roman" w:hAnsi="Times New Roman" w:cs="Times New Roman"/>
          <w:color w:val="000000" w:themeColor="text1"/>
          <w:highlight w:val="none"/>
          <w14:textFill>
            <w14:solidFill>
              <w14:schemeClr w14:val="tx1"/>
            </w14:solidFill>
          </w14:textFill>
        </w:rPr>
        <w:t>。</w:t>
      </w:r>
    </w:p>
    <w:p>
      <w:pPr>
        <w:pStyle w:val="5"/>
        <w:pageBreakBefore w:val="0"/>
        <w:kinsoku/>
        <w:wordWrap/>
        <w:overflowPunct/>
        <w:topLinePunct w:val="0"/>
        <w:autoSpaceDE/>
        <w:autoSpaceDN/>
        <w:bidi w:val="0"/>
        <w:adjustRightInd w:val="0"/>
        <w:snapToGrid w:val="0"/>
        <w:spacing w:before="0" w:beforeLines="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对景观生态和生态系统影响分析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项目试采期不新增占地，森林模地根基不会动摇，景观的恢复稳定性和阻抗稳定性不会改变，生态环境不会发生质的变化，项目区及周边区域生态效能、景观风貌、环境质量、物种多样性等生态因子影响很小，不会对区域生态完整性产生影响</w:t>
      </w:r>
      <w:r>
        <w:rPr>
          <w:rFonts w:hint="default" w:ascii="Times New Roman" w:hAnsi="Times New Roman" w:cs="Times New Roman"/>
          <w:bCs/>
          <w:color w:val="000000" w:themeColor="text1"/>
          <w:szCs w:val="24"/>
          <w:highlight w:val="none"/>
          <w14:textFill>
            <w14:solidFill>
              <w14:schemeClr w14:val="tx1"/>
            </w14:solidFill>
          </w14:textFill>
        </w:rPr>
        <w:t>。</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highlight w:val="none"/>
          <w14:textFill>
            <w14:solidFill>
              <w14:schemeClr w14:val="tx1"/>
            </w14:solidFill>
          </w14:textFill>
        </w:rPr>
      </w:pPr>
      <w:bookmarkStart w:id="274" w:name="_Toc120173156"/>
      <w:r>
        <w:rPr>
          <w:rFonts w:hint="default" w:ascii="Times New Roman" w:hAnsi="Times New Roman" w:cs="Times New Roman"/>
          <w:color w:val="000000" w:themeColor="text1"/>
          <w:highlight w:val="none"/>
          <w14:textFill>
            <w14:solidFill>
              <w14:schemeClr w14:val="tx1"/>
            </w14:solidFill>
          </w14:textFill>
        </w:rPr>
        <w:t>大气环境影响分析</w:t>
      </w:r>
      <w:bookmarkEnd w:id="274"/>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废气主要来自水套加热炉与放空火炬长明灯天然气燃烧所产生的废气、无组织</w:t>
      </w:r>
      <w:r>
        <w:rPr>
          <w:rFonts w:hint="default" w:ascii="Times New Roman" w:hAnsi="Times New Roman" w:cs="Times New Roman"/>
          <w:color w:val="000000" w:themeColor="text1"/>
          <w:szCs w:val="24"/>
          <w:highlight w:val="none"/>
          <w:lang w:eastAsia="zh-CN"/>
          <w14:textFill>
            <w14:solidFill>
              <w14:schemeClr w14:val="tx1"/>
            </w14:solidFill>
          </w14:textFill>
        </w:rPr>
        <w:t>泄漏</w:t>
      </w:r>
      <w:r>
        <w:rPr>
          <w:rFonts w:hint="default" w:ascii="Times New Roman" w:hAnsi="Times New Roman" w:cs="Times New Roman"/>
          <w:color w:val="000000" w:themeColor="text1"/>
          <w:szCs w:val="24"/>
          <w:highlight w:val="none"/>
          <w14:textFill>
            <w14:solidFill>
              <w14:schemeClr w14:val="tx1"/>
            </w14:solidFill>
          </w14:textFill>
        </w:rPr>
        <w:t>烃类气体与设备检修或系统超压时排放少量天然气。本项目主要依托原P106集气站内已批复建设放空火炬、生产工艺等生产流程，</w:t>
      </w:r>
      <w:r>
        <w:rPr>
          <w:rFonts w:hint="default" w:ascii="Times New Roman" w:hAnsi="Times New Roman" w:cs="Times New Roman"/>
          <w:b/>
          <w:bCs/>
          <w:color w:val="000000" w:themeColor="text1"/>
          <w:szCs w:val="24"/>
          <w:highlight w:val="none"/>
          <w14:textFill>
            <w14:solidFill>
              <w14:schemeClr w14:val="tx1"/>
            </w14:solidFill>
          </w14:textFill>
        </w:rPr>
        <w:t>本项目的建设不会改变原P106集气站既有生产设施的废气量及污染物排放量。</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但由于本项目需要</w:t>
      </w:r>
      <w:r>
        <w:rPr>
          <w:rFonts w:hint="eastAsia" w:cs="Times New Roman"/>
          <w:bCs/>
          <w:color w:val="000000" w:themeColor="text1"/>
          <w:highlight w:val="none"/>
          <w:lang w:val="en-US" w:eastAsia="zh-CN"/>
          <w14:textFill>
            <w14:solidFill>
              <w14:schemeClr w14:val="tx1"/>
            </w14:solidFill>
          </w14:textFill>
        </w:rPr>
        <w:t>重新</w:t>
      </w:r>
      <w:r>
        <w:rPr>
          <w:rFonts w:hint="eastAsia" w:cs="Times New Roman"/>
          <w:bCs/>
          <w:color w:val="000000" w:themeColor="text1"/>
          <w:highlight w:val="none"/>
          <w14:textFill>
            <w14:solidFill>
              <w14:schemeClr w14:val="tx1"/>
            </w14:solidFill>
          </w14:textFill>
        </w:rPr>
        <w:t>使用P</w:t>
      </w:r>
      <w:r>
        <w:rPr>
          <w:rFonts w:hint="eastAsia" w:cs="Times New Roman"/>
          <w:bCs/>
          <w:color w:val="000000" w:themeColor="text1"/>
          <w:highlight w:val="none"/>
          <w:lang w:val="en-US" w:eastAsia="zh-CN"/>
          <w14:textFill>
            <w14:solidFill>
              <w14:schemeClr w14:val="tx1"/>
            </w14:solidFill>
          </w14:textFill>
        </w:rPr>
        <w:t>106</w:t>
      </w:r>
      <w:r>
        <w:rPr>
          <w:rFonts w:hint="eastAsia" w:cs="Times New Roman"/>
          <w:bCs/>
          <w:color w:val="000000" w:themeColor="text1"/>
          <w:highlight w:val="none"/>
          <w14:textFill>
            <w14:solidFill>
              <w14:schemeClr w14:val="tx1"/>
            </w14:solidFill>
          </w14:textFill>
        </w:rPr>
        <w:t>集气站</w:t>
      </w:r>
      <w:r>
        <w:rPr>
          <w:rFonts w:cs="Times New Roman"/>
          <w:bCs/>
          <w:color w:val="000000" w:themeColor="text1"/>
          <w:highlight w:val="none"/>
          <w14:textFill>
            <w14:solidFill>
              <w14:schemeClr w14:val="tx1"/>
            </w14:solidFill>
          </w14:textFill>
        </w:rPr>
        <w:t>水套加热炉</w:t>
      </w:r>
      <w:r>
        <w:rPr>
          <w:rFonts w:cs="Times New Roman"/>
          <w:color w:val="000000" w:themeColor="text1"/>
          <w:szCs w:val="24"/>
          <w:highlight w:val="none"/>
          <w14:textFill>
            <w14:solidFill>
              <w14:schemeClr w14:val="tx1"/>
            </w14:solidFill>
          </w14:textFill>
        </w:rPr>
        <w:t>，因此，试采工程的主要大气影响预测主要为预测</w:t>
      </w:r>
      <w:r>
        <w:rPr>
          <w:rFonts w:hint="eastAsia" w:cs="Times New Roman"/>
          <w:bCs/>
          <w:color w:val="000000" w:themeColor="text1"/>
          <w:highlight w:val="none"/>
          <w14:textFill>
            <w14:solidFill>
              <w14:schemeClr w14:val="tx1"/>
            </w14:solidFill>
          </w14:textFill>
        </w:rPr>
        <w:t>依托使用P</w:t>
      </w:r>
      <w:r>
        <w:rPr>
          <w:rFonts w:hint="eastAsia" w:cs="Times New Roman"/>
          <w:bCs/>
          <w:color w:val="000000" w:themeColor="text1"/>
          <w:highlight w:val="none"/>
          <w:lang w:val="en-US" w:eastAsia="zh-CN"/>
          <w14:textFill>
            <w14:solidFill>
              <w14:schemeClr w14:val="tx1"/>
            </w14:solidFill>
          </w14:textFill>
        </w:rPr>
        <w:t>106</w:t>
      </w:r>
      <w:r>
        <w:rPr>
          <w:rFonts w:hint="eastAsia" w:cs="Times New Roman"/>
          <w:bCs/>
          <w:color w:val="000000" w:themeColor="text1"/>
          <w:highlight w:val="none"/>
          <w14:textFill>
            <w14:solidFill>
              <w14:schemeClr w14:val="tx1"/>
            </w14:solidFill>
          </w14:textFill>
        </w:rPr>
        <w:t>集气站</w:t>
      </w:r>
      <w:r>
        <w:rPr>
          <w:rFonts w:cs="Times New Roman"/>
          <w:color w:val="000000" w:themeColor="text1"/>
          <w:szCs w:val="24"/>
          <w:highlight w:val="none"/>
          <w14:textFill>
            <w14:solidFill>
              <w14:schemeClr w14:val="tx1"/>
            </w14:solidFill>
          </w14:textFill>
        </w:rPr>
        <w:t>1套水套加热炉</w:t>
      </w:r>
      <w:r>
        <w:rPr>
          <w:rFonts w:hint="eastAsia" w:cs="Times New Roman"/>
          <w:color w:val="000000" w:themeColor="text1"/>
          <w:szCs w:val="24"/>
          <w:highlight w:val="none"/>
          <w:lang w:val="en-US" w:eastAsia="zh-CN"/>
          <w14:textFill>
            <w14:solidFill>
              <w14:schemeClr w14:val="tx1"/>
            </w14:solidFill>
          </w14:textFill>
        </w:rPr>
        <w:t>燃烧</w:t>
      </w:r>
      <w:r>
        <w:rPr>
          <w:rFonts w:hint="eastAsia" w:cs="Times New Roman"/>
          <w:color w:val="000000" w:themeColor="text1"/>
          <w:szCs w:val="24"/>
          <w:highlight w:val="none"/>
          <w14:textFill>
            <w14:solidFill>
              <w14:schemeClr w14:val="tx1"/>
            </w14:solidFill>
          </w14:textFill>
        </w:rPr>
        <w:t>废气</w:t>
      </w:r>
      <w:r>
        <w:rPr>
          <w:rFonts w:cs="Times New Roman"/>
          <w:color w:val="000000" w:themeColor="text1"/>
          <w:szCs w:val="24"/>
          <w:highlight w:val="none"/>
          <w14:textFill>
            <w14:solidFill>
              <w14:schemeClr w14:val="tx1"/>
            </w14:solidFill>
          </w14:textFill>
        </w:rPr>
        <w:t>对周边大气环境质量的影响。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（1）源强参数分析</w:t>
      </w:r>
    </w:p>
    <w:p>
      <w:pPr>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根据前文工程分析，本项目</w:t>
      </w:r>
      <w:r>
        <w:rPr>
          <w:rFonts w:hint="eastAsia" w:cs="Times New Roman"/>
          <w:color w:val="000000" w:themeColor="text1"/>
          <w:szCs w:val="24"/>
          <w:highlight w:val="none"/>
          <w:lang w:val="en-US" w:eastAsia="zh-CN"/>
          <w14:textFill>
            <w14:solidFill>
              <w14:schemeClr w14:val="tx1"/>
            </w14:solidFill>
          </w14:textFill>
        </w:rPr>
        <w:t>使用</w:t>
      </w:r>
      <w:r>
        <w:rPr>
          <w:rFonts w:cs="Times New Roman"/>
          <w:color w:val="000000" w:themeColor="text1"/>
          <w:szCs w:val="24"/>
          <w:highlight w:val="none"/>
          <w14:textFill>
            <w14:solidFill>
              <w14:schemeClr w14:val="tx1"/>
            </w14:solidFill>
          </w14:textFill>
        </w:rPr>
        <w:t>的1套水套加热炉的产排污情况见下表。</w:t>
      </w:r>
    </w:p>
    <w:p>
      <w:pPr>
        <w:pStyle w:val="21"/>
        <w:tabs>
          <w:tab w:val="left" w:pos="863"/>
        </w:tabs>
        <w:spacing w:before="0"/>
        <w:ind w:left="0" w:firstLine="42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表 5.2-1</w:t>
      </w:r>
      <w:r>
        <w:rPr>
          <w:rFonts w:hint="eastAsia" w:ascii="Times New Roman" w:hAnsi="Times New Roman" w:eastAsia="黑体"/>
          <w:color w:val="000000" w:themeColor="text1"/>
          <w:sz w:val="21"/>
          <w:szCs w:val="21"/>
          <w:highlight w:val="none"/>
          <w:lang w:eastAsia="zh-CN"/>
          <w14:textFill>
            <w14:solidFill>
              <w14:schemeClr w14:val="tx1"/>
            </w14:solidFill>
          </w14:textFill>
        </w:rPr>
        <w:t xml:space="preserve"> </w:t>
      </w:r>
      <w:r>
        <w:rPr>
          <w:rFonts w:ascii="Times New Roman" w:hAnsi="Times New Roman" w:eastAsia="黑体"/>
          <w:color w:val="000000" w:themeColor="text1"/>
          <w:sz w:val="21"/>
          <w:szCs w:val="21"/>
          <w:highlight w:val="none"/>
          <w:lang w:eastAsia="zh-CN"/>
          <w14:textFill>
            <w14:solidFill>
              <w14:schemeClr w14:val="tx1"/>
            </w14:solidFill>
          </w14:textFill>
        </w:rPr>
        <w:t xml:space="preserve"> 废气有组织污染源点源清单</w:t>
      </w:r>
    </w:p>
    <w:tbl>
      <w:tblPr>
        <w:tblStyle w:val="52"/>
        <w:tblW w:w="8220"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0" w:type="dxa"/>
          <w:bottom w:w="0" w:type="dxa"/>
          <w:right w:w="0" w:type="dxa"/>
        </w:tblCellMar>
      </w:tblPr>
      <w:tblGrid>
        <w:gridCol w:w="840"/>
        <w:gridCol w:w="594"/>
        <w:gridCol w:w="738"/>
        <w:gridCol w:w="690"/>
        <w:gridCol w:w="719"/>
        <w:gridCol w:w="719"/>
        <w:gridCol w:w="719"/>
        <w:gridCol w:w="759"/>
        <w:gridCol w:w="839"/>
        <w:gridCol w:w="801"/>
        <w:gridCol w:w="802"/>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jc w:val="center"/>
        </w:trPr>
        <w:tc>
          <w:tcPr>
            <w:tcW w:w="840" w:type="dxa"/>
            <w:vMerge w:val="restart"/>
            <w:tcBorders>
              <w:right w:val="single" w:color="auto"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污染源名称</w:t>
            </w:r>
          </w:p>
        </w:tc>
        <w:tc>
          <w:tcPr>
            <w:tcW w:w="594" w:type="dxa"/>
            <w:vMerge w:val="restart"/>
            <w:tcBorders>
              <w:left w:val="single" w:color="auto" w:sz="4" w:space="0"/>
              <w:right w:val="single" w:color="auto"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排气筒编号</w:t>
            </w:r>
          </w:p>
        </w:tc>
        <w:tc>
          <w:tcPr>
            <w:tcW w:w="1428" w:type="dxa"/>
            <w:gridSpan w:val="2"/>
            <w:tcBorders>
              <w:left w:val="single" w:color="auto"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排气筒底部中心坐标</w:t>
            </w:r>
          </w:p>
        </w:tc>
        <w:tc>
          <w:tcPr>
            <w:tcW w:w="719" w:type="dxa"/>
            <w:vMerge w:val="restart"/>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排气筒底部海拔高度（m）</w:t>
            </w:r>
          </w:p>
        </w:tc>
        <w:tc>
          <w:tcPr>
            <w:tcW w:w="3036" w:type="dxa"/>
            <w:gridSpan w:val="4"/>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排气筒参数</w:t>
            </w:r>
          </w:p>
        </w:tc>
        <w:tc>
          <w:tcPr>
            <w:tcW w:w="1603" w:type="dxa"/>
            <w:gridSpan w:val="2"/>
            <w:tcBorders>
              <w:right w:val="single" w:color="auto"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污染物排放速率（kg/h）</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jc w:val="center"/>
        </w:trPr>
        <w:tc>
          <w:tcPr>
            <w:tcW w:w="840" w:type="dxa"/>
            <w:vMerge w:val="continue"/>
            <w:tcBorders>
              <w:right w:val="single" w:color="auto"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594" w:type="dxa"/>
            <w:vMerge w:val="continue"/>
            <w:tcBorders>
              <w:left w:val="single" w:color="auto" w:sz="4" w:space="0"/>
              <w:right w:val="single" w:color="auto"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38" w:type="dxa"/>
            <w:tcBorders>
              <w:top w:val="single" w:color="auto" w:sz="4" w:space="0"/>
              <w:left w:val="single" w:color="auto" w:sz="4" w:space="0"/>
            </w:tcBorders>
            <w:vAlign w:val="center"/>
          </w:tcPr>
          <w:p>
            <w:pPr>
              <w:spacing w:line="240" w:lineRule="auto"/>
              <w:ind w:firstLine="0" w:firstLine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cs="Times New Roman"/>
                <w:color w:val="000000" w:themeColor="text1"/>
                <w:sz w:val="21"/>
                <w:szCs w:val="21"/>
                <w:highlight w:val="none"/>
                <w14:textFill>
                  <w14:solidFill>
                    <w14:schemeClr w14:val="tx1"/>
                  </w14:solidFill>
                </w14:textFill>
              </w:rPr>
              <w:t>经度</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w:t>
            </w:r>
          </w:p>
        </w:tc>
        <w:tc>
          <w:tcPr>
            <w:tcW w:w="690" w:type="dxa"/>
            <w:tcBorders>
              <w:top w:val="single" w:color="auto"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纬度</w:t>
            </w:r>
          </w:p>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w:t>
            </w:r>
          </w:p>
        </w:tc>
        <w:tc>
          <w:tcPr>
            <w:tcW w:w="719"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1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高度（m）</w:t>
            </w:r>
          </w:p>
        </w:tc>
        <w:tc>
          <w:tcPr>
            <w:tcW w:w="71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内径（m）</w:t>
            </w:r>
          </w:p>
        </w:tc>
        <w:tc>
          <w:tcPr>
            <w:tcW w:w="75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温度（℃）</w:t>
            </w:r>
          </w:p>
        </w:tc>
        <w:tc>
          <w:tcPr>
            <w:tcW w:w="83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流</w:t>
            </w:r>
            <w:r>
              <w:rPr>
                <w:rFonts w:hint="eastAsia" w:cs="Times New Roman"/>
                <w:color w:val="000000" w:themeColor="text1"/>
                <w:sz w:val="21"/>
                <w:szCs w:val="21"/>
                <w:highlight w:val="none"/>
                <w14:textFill>
                  <w14:solidFill>
                    <w14:schemeClr w14:val="tx1"/>
                  </w14:solidFill>
                </w14:textFill>
              </w:rPr>
              <w:t>量</w:t>
            </w:r>
            <w:r>
              <w:rPr>
                <w:rFonts w:cs="Times New Roman"/>
                <w:color w:val="000000" w:themeColor="text1"/>
                <w:sz w:val="21"/>
                <w:szCs w:val="21"/>
                <w:highlight w:val="none"/>
                <w14:textFill>
                  <w14:solidFill>
                    <w14:schemeClr w14:val="tx1"/>
                  </w14:solidFill>
                </w14:textFill>
              </w:rPr>
              <w:t>（m</w:t>
            </w:r>
            <w:r>
              <w:rPr>
                <w:rFonts w:cs="Times New Roman"/>
                <w:color w:val="000000" w:themeColor="text1"/>
                <w:sz w:val="21"/>
                <w:szCs w:val="21"/>
                <w:highlight w:val="none"/>
                <w:vertAlign w:val="superscript"/>
                <w14:textFill>
                  <w14:solidFill>
                    <w14:schemeClr w14:val="tx1"/>
                  </w14:solidFill>
                </w14:textFill>
              </w:rPr>
              <w:t>3</w:t>
            </w:r>
            <w:r>
              <w:rPr>
                <w:rFonts w:cs="Times New Roman"/>
                <w:color w:val="000000" w:themeColor="text1"/>
                <w:sz w:val="21"/>
                <w:szCs w:val="21"/>
                <w:highlight w:val="none"/>
                <w14:textFill>
                  <w14:solidFill>
                    <w14:schemeClr w14:val="tx1"/>
                  </w14:solidFill>
                </w14:textFill>
              </w:rPr>
              <w:t>/h）</w:t>
            </w:r>
          </w:p>
        </w:tc>
        <w:tc>
          <w:tcPr>
            <w:tcW w:w="801"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NOx</w:t>
            </w:r>
          </w:p>
        </w:tc>
        <w:tc>
          <w:tcPr>
            <w:tcW w:w="802" w:type="dxa"/>
            <w:tcBorders>
              <w:right w:val="single" w:color="auto"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SO</w:t>
            </w:r>
            <w:r>
              <w:rPr>
                <w:rFonts w:cs="Times New Roman"/>
                <w:color w:val="000000" w:themeColor="text1"/>
                <w:sz w:val="21"/>
                <w:szCs w:val="21"/>
                <w:highlight w:val="none"/>
                <w:vertAlign w:val="subscript"/>
                <w14:textFill>
                  <w14:solidFill>
                    <w14:schemeClr w14:val="tx1"/>
                  </w14:solidFill>
                </w14:textFill>
              </w:rPr>
              <w:t>2</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jc w:val="center"/>
        </w:trPr>
        <w:tc>
          <w:tcPr>
            <w:tcW w:w="840" w:type="dxa"/>
            <w:tcBorders>
              <w:right w:val="single" w:color="auto" w:sz="4" w:space="0"/>
            </w:tcBorders>
            <w:vAlign w:val="center"/>
          </w:tcPr>
          <w:p>
            <w:pPr>
              <w:spacing w:line="32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水套加热炉排气筒</w:t>
            </w:r>
          </w:p>
        </w:tc>
        <w:tc>
          <w:tcPr>
            <w:tcW w:w="594" w:type="dxa"/>
            <w:tcBorders>
              <w:left w:val="single" w:color="auto" w:sz="4" w:space="0"/>
            </w:tcBorders>
            <w:vAlign w:val="center"/>
          </w:tcPr>
          <w:p>
            <w:pPr>
              <w:spacing w:line="32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P1</w:t>
            </w:r>
          </w:p>
        </w:tc>
        <w:tc>
          <w:tcPr>
            <w:tcW w:w="738"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107.808132</w:t>
            </w:r>
          </w:p>
        </w:tc>
        <w:tc>
          <w:tcPr>
            <w:tcW w:w="69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31.558833</w:t>
            </w:r>
          </w:p>
        </w:tc>
        <w:tc>
          <w:tcPr>
            <w:tcW w:w="719" w:type="dxa"/>
            <w:vAlign w:val="center"/>
          </w:tcPr>
          <w:p>
            <w:pPr>
              <w:spacing w:line="240" w:lineRule="auto"/>
              <w:ind w:firstLine="0" w:firstLine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812</w:t>
            </w:r>
          </w:p>
        </w:tc>
        <w:tc>
          <w:tcPr>
            <w:tcW w:w="71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8</w:t>
            </w:r>
          </w:p>
        </w:tc>
        <w:tc>
          <w:tcPr>
            <w:tcW w:w="719" w:type="dxa"/>
            <w:vAlign w:val="center"/>
          </w:tcPr>
          <w:p>
            <w:pPr>
              <w:spacing w:line="240" w:lineRule="auto"/>
              <w:ind w:firstLine="0" w:firstLineChars="0"/>
              <w:jc w:val="center"/>
              <w:textAlignment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lang w:bidi="ar"/>
                <w14:textFill>
                  <w14:solidFill>
                    <w14:schemeClr w14:val="tx1"/>
                  </w14:solidFill>
                </w14:textFill>
              </w:rPr>
              <w:t>0.</w:t>
            </w:r>
            <w:r>
              <w:rPr>
                <w:rFonts w:hint="eastAsia" w:cs="Times New Roman"/>
                <w:color w:val="000000" w:themeColor="text1"/>
                <w:sz w:val="21"/>
                <w:szCs w:val="21"/>
                <w:highlight w:val="none"/>
                <w:lang w:bidi="ar"/>
                <w14:textFill>
                  <w14:solidFill>
                    <w14:schemeClr w14:val="tx1"/>
                  </w14:solidFill>
                </w14:textFill>
              </w:rPr>
              <w:t>2</w:t>
            </w:r>
          </w:p>
        </w:tc>
        <w:tc>
          <w:tcPr>
            <w:tcW w:w="75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200</w:t>
            </w:r>
          </w:p>
        </w:tc>
        <w:tc>
          <w:tcPr>
            <w:tcW w:w="839" w:type="dxa"/>
            <w:vAlign w:val="center"/>
          </w:tcPr>
          <w:p>
            <w:pPr>
              <w:spacing w:line="240" w:lineRule="auto"/>
              <w:ind w:firstLine="0" w:firstLineChars="0"/>
              <w:jc w:val="center"/>
              <w:textAlignment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1247.13</w:t>
            </w:r>
          </w:p>
        </w:tc>
        <w:tc>
          <w:tcPr>
            <w:tcW w:w="801"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0.0</w:t>
            </w:r>
            <w:r>
              <w:rPr>
                <w:rFonts w:hint="eastAsia" w:cs="Times New Roman"/>
                <w:color w:val="000000" w:themeColor="text1"/>
                <w:sz w:val="21"/>
                <w:szCs w:val="21"/>
                <w:highlight w:val="none"/>
                <w14:textFill>
                  <w14:solidFill>
                    <w14:schemeClr w14:val="tx1"/>
                  </w14:solidFill>
                </w14:textFill>
              </w:rPr>
              <w:t>81</w:t>
            </w:r>
          </w:p>
        </w:tc>
        <w:tc>
          <w:tcPr>
            <w:tcW w:w="802"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0.00</w:t>
            </w:r>
            <w:r>
              <w:rPr>
                <w:rFonts w:hint="eastAsia" w:cs="Times New Roman"/>
                <w:color w:val="000000" w:themeColor="text1"/>
                <w:sz w:val="21"/>
                <w:szCs w:val="21"/>
                <w:highlight w:val="none"/>
                <w14:textFill>
                  <w14:solidFill>
                    <w14:schemeClr w14:val="tx1"/>
                  </w14:solidFill>
                </w14:textFill>
              </w:rPr>
              <w:t>14</w:t>
            </w:r>
          </w:p>
        </w:tc>
      </w:tr>
    </w:tbl>
    <w:p>
      <w:pPr>
        <w:keepNext w:val="0"/>
        <w:keepLines w:val="0"/>
        <w:pageBreakBefore w:val="0"/>
        <w:widowControl w:val="0"/>
        <w:kinsoku/>
        <w:wordWrap/>
        <w:overflowPunct/>
        <w:topLinePunct w:val="0"/>
        <w:autoSpaceDE/>
        <w:autoSpaceDN/>
        <w:bidi w:val="0"/>
        <w:adjustRightInd w:val="0"/>
        <w:snapToGrid w:val="0"/>
        <w:ind w:firstLine="480"/>
        <w:textAlignment w:val="auto"/>
        <w:rPr>
          <w:rFonts w:cs="Times New Roman"/>
          <w:color w:val="000000" w:themeColor="text1"/>
          <w:szCs w:val="20"/>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0"/>
        <w:textAlignment w:val="auto"/>
        <w:rPr>
          <w:rFonts w:cs="Times New Roman"/>
          <w:color w:val="000000" w:themeColor="text1"/>
          <w:szCs w:val="20"/>
          <w:highlight w:val="none"/>
          <w14:textFill>
            <w14:solidFill>
              <w14:schemeClr w14:val="tx1"/>
            </w14:solidFill>
          </w14:textFill>
        </w:rPr>
      </w:pPr>
      <w:r>
        <w:rPr>
          <w:rFonts w:cs="Times New Roman"/>
          <w:color w:val="000000" w:themeColor="text1"/>
          <w:szCs w:val="20"/>
          <w:highlight w:val="none"/>
          <w14:textFill>
            <w14:solidFill>
              <w14:schemeClr w14:val="tx1"/>
            </w14:solidFill>
          </w14:textFill>
        </w:rPr>
        <w:t>（2）预测估算模式参数</w:t>
      </w:r>
    </w:p>
    <w:p>
      <w:pPr>
        <w:ind w:firstLine="480"/>
        <w:rPr>
          <w:rFonts w:cs="Times New Roman"/>
          <w:color w:val="000000" w:themeColor="text1"/>
          <w:szCs w:val="20"/>
          <w:highlight w:val="none"/>
          <w14:textFill>
            <w14:solidFill>
              <w14:schemeClr w14:val="tx1"/>
            </w14:solidFill>
          </w14:textFill>
        </w:rPr>
      </w:pPr>
      <w:r>
        <w:rPr>
          <w:rFonts w:cs="Times New Roman"/>
          <w:color w:val="000000" w:themeColor="text1"/>
          <w:szCs w:val="20"/>
          <w:highlight w:val="none"/>
          <w14:textFill>
            <w14:solidFill>
              <w14:schemeClr w14:val="tx1"/>
            </w14:solidFill>
          </w14:textFill>
        </w:rPr>
        <w:t>本次评价估算模式所用参数见下表：</w:t>
      </w:r>
    </w:p>
    <w:p>
      <w:pPr>
        <w:pStyle w:val="21"/>
        <w:tabs>
          <w:tab w:val="left" w:pos="863"/>
        </w:tabs>
        <w:spacing w:before="0"/>
        <w:ind w:left="0" w:firstLine="42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表5.2-2  项目大气影响预测参数情况表</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2"/>
        <w:gridCol w:w="3426"/>
        <w:gridCol w:w="1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参数</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城市/农村选项</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城市/农村</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人口数（城市选项时）</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最高环境温度/℃</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4</w:t>
            </w:r>
            <w:r>
              <w:rPr>
                <w:rFonts w:hint="eastAsia" w:cs="Times New Roman"/>
                <w:color w:val="000000" w:themeColor="text1"/>
                <w:sz w:val="21"/>
                <w:szCs w:val="21"/>
                <w:highlight w:val="none"/>
                <w14:textFill>
                  <w14:solidFill>
                    <w14:schemeClr w14:val="tx1"/>
                  </w14:solidFill>
                </w14:textFill>
              </w:rPr>
              <w:t>1</w:t>
            </w:r>
            <w:r>
              <w:rPr>
                <w:rFonts w:cs="Times New Roman"/>
                <w:color w:val="000000" w:themeColor="text1"/>
                <w:sz w:val="21"/>
                <w:szCs w:val="21"/>
                <w:highlight w:val="none"/>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最低环境温度/℃</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14:textFill>
                  <w14:solidFill>
                    <w14:schemeClr w14:val="tx1"/>
                  </w14:solidFill>
                </w14:textFill>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土地利用类型</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阔叶林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区域湿度条件</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潮湿气候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是否考虑地形</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考虑地形</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地形数据分辨率/m</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是否考虑岸线熏烟</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考虑岸线熏烟</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岸线距离/km</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岸线方向/°</w:t>
            </w:r>
          </w:p>
        </w:tc>
        <w:tc>
          <w:tcPr>
            <w:tcW w:w="0" w:type="auto"/>
            <w:vAlign w:val="center"/>
          </w:tcPr>
          <w:p>
            <w:pPr>
              <w:spacing w:line="240" w:lineRule="auto"/>
              <w:ind w:firstLine="48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r>
    </w:tbl>
    <w:p>
      <w:pPr>
        <w:keepNext w:val="0"/>
        <w:keepLines w:val="0"/>
        <w:pageBreakBefore w:val="0"/>
        <w:widowControl w:val="0"/>
        <w:tabs>
          <w:tab w:val="left" w:pos="600"/>
        </w:tabs>
        <w:kinsoku/>
        <w:wordWrap/>
        <w:overflowPunct/>
        <w:topLinePunct w:val="0"/>
        <w:autoSpaceDE/>
        <w:autoSpaceDN/>
        <w:bidi w:val="0"/>
        <w:adjustRightInd w:val="0"/>
        <w:snapToGrid w:val="0"/>
        <w:spacing w:line="360" w:lineRule="auto"/>
        <w:ind w:firstLine="480"/>
        <w:textAlignment w:val="auto"/>
        <w:rPr>
          <w:rFonts w:cs="Times New Roman"/>
          <w:color w:val="000000" w:themeColor="text1"/>
          <w:szCs w:val="24"/>
          <w:highlight w:val="none"/>
          <w:lang w:val="zh-CN"/>
          <w14:textFill>
            <w14:solidFill>
              <w14:schemeClr w14:val="tx1"/>
            </w14:solidFill>
          </w14:textFill>
        </w:rPr>
      </w:pPr>
    </w:p>
    <w:p>
      <w:pPr>
        <w:keepNext w:val="0"/>
        <w:keepLines w:val="0"/>
        <w:pageBreakBefore w:val="0"/>
        <w:widowControl w:val="0"/>
        <w:tabs>
          <w:tab w:val="left" w:pos="600"/>
        </w:tabs>
        <w:kinsoku/>
        <w:wordWrap/>
        <w:overflowPunct/>
        <w:topLinePunct w:val="0"/>
        <w:autoSpaceDE/>
        <w:autoSpaceDN/>
        <w:bidi w:val="0"/>
        <w:adjustRightInd w:val="0"/>
        <w:snapToGrid w:val="0"/>
        <w:spacing w:line="360" w:lineRule="auto"/>
        <w:ind w:firstLine="480"/>
        <w:textAlignment w:val="auto"/>
        <w:rPr>
          <w:rFonts w:cs="Times New Roman"/>
          <w:color w:val="000000" w:themeColor="text1"/>
          <w:szCs w:val="24"/>
          <w:highlight w:val="none"/>
          <w:lang w:val="zh-CN"/>
          <w14:textFill>
            <w14:solidFill>
              <w14:schemeClr w14:val="tx1"/>
            </w14:solidFill>
          </w14:textFill>
        </w:rPr>
      </w:pPr>
      <w:r>
        <w:rPr>
          <w:rFonts w:cs="Times New Roman"/>
          <w:color w:val="000000" w:themeColor="text1"/>
          <w:szCs w:val="24"/>
          <w:highlight w:val="none"/>
          <w:lang w:val="zh-CN"/>
          <w14:textFill>
            <w14:solidFill>
              <w14:schemeClr w14:val="tx1"/>
            </w14:solidFill>
          </w14:textFill>
        </w:rPr>
        <w:t>（</w:t>
      </w:r>
      <w:r>
        <w:rPr>
          <w:rFonts w:cs="Times New Roman"/>
          <w:color w:val="000000" w:themeColor="text1"/>
          <w:szCs w:val="24"/>
          <w:highlight w:val="none"/>
          <w14:textFill>
            <w14:solidFill>
              <w14:schemeClr w14:val="tx1"/>
            </w14:solidFill>
          </w14:textFill>
        </w:rPr>
        <w:t>3</w:t>
      </w:r>
      <w:r>
        <w:rPr>
          <w:rFonts w:cs="Times New Roman"/>
          <w:color w:val="000000" w:themeColor="text1"/>
          <w:szCs w:val="24"/>
          <w:highlight w:val="none"/>
          <w:lang w:val="zh-CN"/>
          <w14:textFill>
            <w14:solidFill>
              <w14:schemeClr w14:val="tx1"/>
            </w14:solidFill>
          </w14:textFill>
        </w:rPr>
        <w:t>）预测结果</w:t>
      </w:r>
    </w:p>
    <w:p>
      <w:pPr>
        <w:tabs>
          <w:tab w:val="left" w:pos="600"/>
        </w:tabs>
        <w:spacing w:line="480" w:lineRule="exact"/>
        <w:ind w:firstLine="480"/>
        <w:rPr>
          <w:rFonts w:cs="Times New Roman"/>
          <w:color w:val="000000" w:themeColor="text1"/>
          <w:szCs w:val="24"/>
          <w:highlight w:val="none"/>
          <w:lang w:val="zh-CN"/>
          <w14:textFill>
            <w14:solidFill>
              <w14:schemeClr w14:val="tx1"/>
            </w14:solidFill>
          </w14:textFill>
        </w:rPr>
      </w:pPr>
      <w:r>
        <w:rPr>
          <w:rFonts w:cs="Times New Roman"/>
          <w:color w:val="000000" w:themeColor="text1"/>
          <w:szCs w:val="24"/>
          <w:highlight w:val="none"/>
          <w14:textFill>
            <w14:solidFill>
              <w14:schemeClr w14:val="tx1"/>
            </w14:solidFill>
          </w14:textFill>
        </w:rPr>
        <w:t>结合项目工程分析结果，选择正常排放的主要污染物及排放参数，采用《环境影响评价技术导则 大气环境》（HJ2.2-2018）附录A推荐模型中的 AERSCREEN模式计算项目污染源的最大环境影响，</w:t>
      </w:r>
      <w:r>
        <w:rPr>
          <w:rFonts w:cs="Times New Roman"/>
          <w:color w:val="000000" w:themeColor="text1"/>
          <w:szCs w:val="24"/>
          <w:highlight w:val="none"/>
          <w:lang w:val="zh-CN"/>
          <w14:textFill>
            <w14:solidFill>
              <w14:schemeClr w14:val="tx1"/>
            </w14:solidFill>
          </w14:textFill>
        </w:rPr>
        <w:t>预测结果见表</w:t>
      </w:r>
      <w:r>
        <w:rPr>
          <w:rFonts w:cs="Times New Roman"/>
          <w:color w:val="000000" w:themeColor="text1"/>
          <w:szCs w:val="24"/>
          <w:highlight w:val="none"/>
          <w14:textFill>
            <w14:solidFill>
              <w14:schemeClr w14:val="tx1"/>
            </w14:solidFill>
          </w14:textFill>
        </w:rPr>
        <w:t>5</w:t>
      </w:r>
      <w:r>
        <w:rPr>
          <w:rFonts w:cs="Times New Roman"/>
          <w:color w:val="000000" w:themeColor="text1"/>
          <w:szCs w:val="24"/>
          <w:highlight w:val="none"/>
          <w:lang w:val="zh-CN"/>
          <w14:textFill>
            <w14:solidFill>
              <w14:schemeClr w14:val="tx1"/>
            </w14:solidFill>
          </w14:textFill>
        </w:rPr>
        <w:t>.2-</w:t>
      </w:r>
      <w:r>
        <w:rPr>
          <w:rFonts w:cs="Times New Roman"/>
          <w:color w:val="000000" w:themeColor="text1"/>
          <w:szCs w:val="24"/>
          <w:highlight w:val="none"/>
          <w14:textFill>
            <w14:solidFill>
              <w14:schemeClr w14:val="tx1"/>
            </w14:solidFill>
          </w14:textFill>
        </w:rPr>
        <w:t>3</w:t>
      </w:r>
      <w:r>
        <w:rPr>
          <w:rFonts w:cs="Times New Roman"/>
          <w:color w:val="000000" w:themeColor="text1"/>
          <w:szCs w:val="24"/>
          <w:highlight w:val="none"/>
          <w:lang w:val="zh-CN"/>
          <w14:textFill>
            <w14:solidFill>
              <w14:schemeClr w14:val="tx1"/>
            </w14:solidFill>
          </w14:textFill>
        </w:rPr>
        <w:t>。</w:t>
      </w:r>
    </w:p>
    <w:p>
      <w:pPr>
        <w:pStyle w:val="21"/>
        <w:tabs>
          <w:tab w:val="left" w:pos="863"/>
        </w:tabs>
        <w:spacing w:before="120" w:beforeLines="50"/>
        <w:ind w:left="0" w:firstLine="42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表5.2-3  有组织废气排放影响估算结果表</w:t>
      </w:r>
    </w:p>
    <w:tbl>
      <w:tblPr>
        <w:tblStyle w:val="5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996"/>
        <w:gridCol w:w="1555"/>
        <w:gridCol w:w="1556"/>
        <w:gridCol w:w="1555"/>
        <w:gridCol w:w="1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7" w:type="dxa"/>
            <w:vMerge w:val="restart"/>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距源中心下风向</w:t>
            </w:r>
          </w:p>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距离D/m</w:t>
            </w:r>
          </w:p>
        </w:tc>
        <w:tc>
          <w:tcPr>
            <w:tcW w:w="6223" w:type="dxa"/>
            <w:gridSpan w:val="4"/>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水套加热炉排气筒</w:t>
            </w:r>
            <w:r>
              <w:rPr>
                <w:rFonts w:hint="eastAsia" w:cs="Times New Roman"/>
                <w:color w:val="000000" w:themeColor="text1"/>
                <w:sz w:val="21"/>
                <w:szCs w:val="21"/>
                <w:highlight w:val="none"/>
                <w:lang w:eastAsia="zh-CN"/>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71" w:hRule="atLeast"/>
          <w:tblHeader/>
          <w:jc w:val="center"/>
        </w:trPr>
        <w:tc>
          <w:tcPr>
            <w:tcW w:w="1997"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3111" w:type="dxa"/>
            <w:gridSpan w:val="2"/>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SO</w:t>
            </w:r>
            <w:r>
              <w:rPr>
                <w:rFonts w:cs="Times New Roman"/>
                <w:color w:val="000000" w:themeColor="text1"/>
                <w:sz w:val="21"/>
                <w:szCs w:val="21"/>
                <w:highlight w:val="none"/>
                <w:vertAlign w:val="subscript"/>
                <w14:textFill>
                  <w14:solidFill>
                    <w14:schemeClr w14:val="tx1"/>
                  </w14:solidFill>
                </w14:textFill>
              </w:rPr>
              <w:t>2</w:t>
            </w:r>
          </w:p>
        </w:tc>
        <w:tc>
          <w:tcPr>
            <w:tcW w:w="3112" w:type="dxa"/>
            <w:gridSpan w:val="2"/>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7"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555"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C/（μg/m³）</w:t>
            </w:r>
          </w:p>
        </w:tc>
        <w:tc>
          <w:tcPr>
            <w:tcW w:w="1555"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P/%</w:t>
            </w:r>
          </w:p>
        </w:tc>
        <w:tc>
          <w:tcPr>
            <w:tcW w:w="1555"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C/（μg/m³）</w:t>
            </w:r>
          </w:p>
        </w:tc>
        <w:tc>
          <w:tcPr>
            <w:tcW w:w="1558" w:type="dxa"/>
            <w:vAlign w:val="center"/>
          </w:tcPr>
          <w:p>
            <w:pPr>
              <w:spacing w:line="240" w:lineRule="auto"/>
              <w:ind w:firstLine="0" w:firstLineChars="0"/>
              <w:jc w:val="center"/>
              <w:rPr>
                <w:rFonts w:cs="Times New Roman"/>
                <w:color w:val="000000" w:themeColor="text1"/>
                <w:sz w:val="21"/>
                <w:szCs w:val="21"/>
                <w:highlight w:val="none"/>
                <w:shd w:val="pct10" w:color="auto" w:fill="FFFFFF"/>
                <w14:textFill>
                  <w14:solidFill>
                    <w14:schemeClr w14:val="tx1"/>
                  </w14:solidFill>
                </w14:textFill>
              </w:rPr>
            </w:pPr>
            <w:r>
              <w:rPr>
                <w:rFonts w:cs="Times New Roman"/>
                <w:color w:val="000000" w:themeColor="text1"/>
                <w:sz w:val="21"/>
                <w:szCs w:val="21"/>
                <w:highlight w:val="none"/>
                <w:shd w:val="pct10" w:color="auto" w:fill="FFFFFF"/>
                <w14:textFill>
                  <w14:solidFill>
                    <w14:schemeClr w14:val="tx1"/>
                  </w14:solidFill>
                </w14:textFill>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7"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下风向最大浓度</w:t>
            </w:r>
          </w:p>
        </w:tc>
        <w:tc>
          <w:tcPr>
            <w:tcW w:w="1555" w:type="dxa"/>
            <w:vAlign w:val="center"/>
          </w:tcPr>
          <w:p>
            <w:pPr>
              <w:spacing w:line="240" w:lineRule="auto"/>
              <w:ind w:firstLine="0" w:firstLine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w:t>
            </w:r>
            <w:r>
              <w:rPr>
                <w:rFonts w:hint="eastAsia" w:cs="Times New Roman"/>
                <w:color w:val="000000" w:themeColor="text1"/>
                <w:sz w:val="21"/>
                <w:szCs w:val="21"/>
                <w:highlight w:val="none"/>
                <w:lang w:val="en-US" w:eastAsia="zh-CN"/>
                <w14:textFill>
                  <w14:solidFill>
                    <w14:schemeClr w14:val="tx1"/>
                  </w14:solidFill>
                </w14:textFill>
              </w:rPr>
              <w:t>3223</w:t>
            </w:r>
          </w:p>
        </w:tc>
        <w:tc>
          <w:tcPr>
            <w:tcW w:w="1555" w:type="dxa"/>
            <w:vAlign w:val="center"/>
          </w:tcPr>
          <w:p>
            <w:pPr>
              <w:spacing w:line="240" w:lineRule="auto"/>
              <w:ind w:firstLine="0" w:firstLine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w:t>
            </w:r>
            <w:r>
              <w:rPr>
                <w:rFonts w:hint="eastAsia" w:cs="Times New Roman"/>
                <w:color w:val="000000" w:themeColor="text1"/>
                <w:sz w:val="21"/>
                <w:szCs w:val="21"/>
                <w:highlight w:val="none"/>
                <w:lang w:val="en-US" w:eastAsia="zh-CN"/>
                <w14:textFill>
                  <w14:solidFill>
                    <w14:schemeClr w14:val="tx1"/>
                  </w14:solidFill>
                </w14:textFill>
              </w:rPr>
              <w:t>645</w:t>
            </w:r>
          </w:p>
        </w:tc>
        <w:tc>
          <w:tcPr>
            <w:tcW w:w="1555" w:type="dxa"/>
            <w:vAlign w:val="center"/>
          </w:tcPr>
          <w:p>
            <w:pPr>
              <w:spacing w:line="240" w:lineRule="auto"/>
              <w:ind w:firstLine="0" w:firstLine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18.645</w:t>
            </w:r>
          </w:p>
        </w:tc>
        <w:tc>
          <w:tcPr>
            <w:tcW w:w="1558" w:type="dxa"/>
            <w:vAlign w:val="center"/>
          </w:tcPr>
          <w:p>
            <w:pPr>
              <w:spacing w:line="240" w:lineRule="auto"/>
              <w:ind w:firstLine="0" w:firstLineChars="0"/>
              <w:jc w:val="center"/>
              <w:rPr>
                <w:rFonts w:hint="default"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shd w:val="pct10" w:color="auto" w:fill="FFFFFF"/>
                <w:lang w:val="en-US" w:eastAsia="zh-CN"/>
                <w14:textFill>
                  <w14:solidFill>
                    <w14:schemeClr w14:val="tx1"/>
                  </w14:solidFill>
                </w14:textFill>
              </w:rPr>
              <w:t>7.4580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7"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最大浓度出现距离</w:t>
            </w:r>
          </w:p>
        </w:tc>
        <w:tc>
          <w:tcPr>
            <w:tcW w:w="3110" w:type="dxa"/>
            <w:gridSpan w:val="2"/>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243</w:t>
            </w:r>
            <w:r>
              <w:rPr>
                <w:rFonts w:cs="Times New Roman"/>
                <w:color w:val="000000" w:themeColor="text1"/>
                <w:sz w:val="21"/>
                <w:szCs w:val="21"/>
                <w:highlight w:val="none"/>
                <w14:textFill>
                  <w14:solidFill>
                    <w14:schemeClr w14:val="tx1"/>
                  </w14:solidFill>
                </w14:textFill>
              </w:rPr>
              <w:t>m</w:t>
            </w:r>
          </w:p>
        </w:tc>
        <w:tc>
          <w:tcPr>
            <w:tcW w:w="3113" w:type="dxa"/>
            <w:gridSpan w:val="2"/>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243</w:t>
            </w:r>
            <w:r>
              <w:rPr>
                <w:rFonts w:hint="eastAsia" w:cs="Times New Roman"/>
                <w:color w:val="000000" w:themeColor="text1"/>
                <w:sz w:val="21"/>
                <w:szCs w:val="21"/>
                <w:highlight w:val="none"/>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997"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距源最远距离D10%</w:t>
            </w:r>
          </w:p>
        </w:tc>
        <w:tc>
          <w:tcPr>
            <w:tcW w:w="6223" w:type="dxa"/>
            <w:gridSpan w:val="4"/>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Pmax＜10%</w:t>
            </w:r>
          </w:p>
        </w:tc>
      </w:tr>
    </w:tbl>
    <w:p>
      <w:pPr>
        <w:spacing w:line="360" w:lineRule="exact"/>
        <w:ind w:firstLine="480"/>
        <w:rPr>
          <w:rFonts w:cs="Times New Roman"/>
          <w:color w:val="000000" w:themeColor="text1"/>
          <w:szCs w:val="21"/>
          <w:highlight w:val="none"/>
          <w14:textFill>
            <w14:solidFill>
              <w14:schemeClr w14:val="tx1"/>
            </w14:solidFill>
          </w14:textFill>
        </w:rPr>
      </w:pPr>
      <w:r>
        <w:rPr>
          <w:rFonts w:cs="Times New Roman"/>
          <w:color w:val="000000" w:themeColor="text1"/>
          <w:szCs w:val="21"/>
          <w:highlight w:val="none"/>
          <w14:textFill>
            <w14:solidFill>
              <w14:schemeClr w14:val="tx1"/>
            </w14:solidFill>
          </w14:textFill>
        </w:rPr>
        <w:t>注：上表中C表示落地浓度，P表示占标率。</w:t>
      </w:r>
    </w:p>
    <w:p>
      <w:pPr>
        <w:spacing w:line="360" w:lineRule="exact"/>
        <w:ind w:firstLine="480"/>
        <w:rPr>
          <w:rFonts w:cs="Times New Roman"/>
          <w:color w:val="000000" w:themeColor="text1"/>
          <w:szCs w:val="21"/>
          <w:highlight w:val="none"/>
          <w14:textFill>
            <w14:solidFill>
              <w14:schemeClr w14:val="tx1"/>
            </w14:solidFill>
          </w14:textFill>
        </w:rPr>
      </w:pPr>
    </w:p>
    <w:p>
      <w:pPr>
        <w:tabs>
          <w:tab w:val="left" w:pos="600"/>
        </w:tabs>
        <w:ind w:firstLine="0" w:firstLineChars="0"/>
        <w:rPr>
          <w:rFonts w:hint="eastAsia" w:eastAsia="宋体" w:cs="Times New Roman"/>
          <w:color w:val="000000" w:themeColor="text1"/>
          <w:szCs w:val="24"/>
          <w:highlight w:val="none"/>
          <w:lang w:eastAsia="zh-CN" w:bidi="en-US"/>
          <w14:textFill>
            <w14:solidFill>
              <w14:schemeClr w14:val="tx1"/>
            </w14:solidFill>
          </w14:textFill>
        </w:rPr>
      </w:pPr>
      <w:r>
        <w:rPr>
          <w:rFonts w:hint="eastAsia" w:eastAsia="宋体" w:cs="Times New Roman"/>
          <w:color w:val="000000" w:themeColor="text1"/>
          <w:szCs w:val="24"/>
          <w:highlight w:val="none"/>
          <w:lang w:eastAsia="zh-CN" w:bidi="en-US"/>
          <w14:textFill>
            <w14:solidFill>
              <w14:schemeClr w14:val="tx1"/>
            </w14:solidFill>
          </w14:textFill>
        </w:rPr>
        <w:drawing>
          <wp:inline distT="0" distB="0" distL="114300" distR="114300">
            <wp:extent cx="5271770" cy="2858135"/>
            <wp:effectExtent l="0" t="0" r="11430" b="12065"/>
            <wp:docPr id="92" name="图片 92" descr="171376324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713763240250"/>
                    <pic:cNvPicPr>
                      <a:picLocks noChangeAspect="1"/>
                    </pic:cNvPicPr>
                  </pic:nvPicPr>
                  <pic:blipFill>
                    <a:blip r:embed="rId72"/>
                    <a:stretch>
                      <a:fillRect/>
                    </a:stretch>
                  </pic:blipFill>
                  <pic:spPr>
                    <a:xfrm>
                      <a:off x="0" y="0"/>
                      <a:ext cx="5271770" cy="2858135"/>
                    </a:xfrm>
                    <a:prstGeom prst="rect">
                      <a:avLst/>
                    </a:prstGeom>
                  </pic:spPr>
                </pic:pic>
              </a:graphicData>
            </a:graphic>
          </wp:inline>
        </w:drawing>
      </w:r>
    </w:p>
    <w:p>
      <w:pPr>
        <w:pStyle w:val="21"/>
        <w:tabs>
          <w:tab w:val="left" w:pos="863"/>
        </w:tabs>
        <w:spacing w:before="0"/>
        <w:ind w:left="0" w:firstLine="42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hint="eastAsia" w:ascii="Times New Roman" w:hAnsi="Times New Roman" w:eastAsia="黑体"/>
          <w:color w:val="000000" w:themeColor="text1"/>
          <w:sz w:val="21"/>
          <w:szCs w:val="21"/>
          <w:highlight w:val="none"/>
          <w:lang w:eastAsia="zh-CN"/>
          <w14:textFill>
            <w14:solidFill>
              <w14:schemeClr w14:val="tx1"/>
            </w14:solidFill>
          </w14:textFill>
        </w:rPr>
        <w:t>图</w:t>
      </w:r>
      <w:r>
        <w:rPr>
          <w:rFonts w:ascii="Times New Roman" w:hAnsi="Times New Roman" w:eastAsia="黑体"/>
          <w:color w:val="000000" w:themeColor="text1"/>
          <w:sz w:val="21"/>
          <w:szCs w:val="21"/>
          <w:highlight w:val="none"/>
          <w:lang w:eastAsia="zh-CN"/>
          <w14:textFill>
            <w14:solidFill>
              <w14:schemeClr w14:val="tx1"/>
            </w14:solidFill>
          </w14:textFill>
        </w:rPr>
        <w:t xml:space="preserve"> 5.2-</w:t>
      </w:r>
      <w:r>
        <w:rPr>
          <w:rFonts w:hint="eastAsia" w:ascii="Times New Roman" w:hAnsi="Times New Roman" w:eastAsia="黑体"/>
          <w:color w:val="000000" w:themeColor="text1"/>
          <w:sz w:val="21"/>
          <w:szCs w:val="21"/>
          <w:highlight w:val="none"/>
          <w:lang w:eastAsia="zh-CN"/>
          <w14:textFill>
            <w14:solidFill>
              <w14:schemeClr w14:val="tx1"/>
            </w14:solidFill>
          </w14:textFill>
        </w:rPr>
        <w:t xml:space="preserve">2 </w:t>
      </w:r>
      <w:r>
        <w:rPr>
          <w:rFonts w:ascii="Times New Roman" w:hAnsi="Times New Roman" w:eastAsia="黑体"/>
          <w:color w:val="000000" w:themeColor="text1"/>
          <w:sz w:val="21"/>
          <w:szCs w:val="21"/>
          <w:highlight w:val="none"/>
          <w:lang w:eastAsia="zh-CN"/>
          <w14:textFill>
            <w14:solidFill>
              <w14:schemeClr w14:val="tx1"/>
            </w14:solidFill>
          </w14:textFill>
        </w:rPr>
        <w:t xml:space="preserve"> 废气有组织污染源点</w:t>
      </w:r>
      <w:r>
        <w:rPr>
          <w:rFonts w:hint="eastAsia" w:ascii="Times New Roman" w:hAnsi="Times New Roman" w:eastAsia="黑体"/>
          <w:color w:val="000000" w:themeColor="text1"/>
          <w:sz w:val="21"/>
          <w:szCs w:val="21"/>
          <w:highlight w:val="none"/>
          <w:lang w:eastAsia="zh-CN"/>
          <w14:textFill>
            <w14:solidFill>
              <w14:schemeClr w14:val="tx1"/>
            </w14:solidFill>
          </w14:textFill>
        </w:rPr>
        <w:t>大气预测结果浓度分布折线图</w:t>
      </w:r>
    </w:p>
    <w:p>
      <w:pPr>
        <w:tabs>
          <w:tab w:val="left" w:pos="600"/>
        </w:tabs>
        <w:spacing w:before="120" w:beforeLines="50"/>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由表5.2-3预测结果可知，</w:t>
      </w:r>
      <w:r>
        <w:rPr>
          <w:rFonts w:cs="Times New Roman"/>
          <w:color w:val="000000" w:themeColor="text1"/>
          <w:szCs w:val="24"/>
          <w:highlight w:val="none"/>
          <w14:textFill>
            <w14:solidFill>
              <w14:schemeClr w14:val="tx1"/>
            </w14:solidFill>
          </w14:textFill>
        </w:rPr>
        <w:t>本项目水套加热炉</w:t>
      </w:r>
      <w:r>
        <w:rPr>
          <w:rFonts w:cs="Times New Roman"/>
          <w:color w:val="000000" w:themeColor="text1"/>
          <w:szCs w:val="24"/>
          <w:highlight w:val="none"/>
          <w:lang w:bidi="en-US"/>
          <w14:textFill>
            <w14:solidFill>
              <w14:schemeClr w14:val="tx1"/>
            </w14:solidFill>
          </w14:textFill>
        </w:rPr>
        <w:t>排放的</w:t>
      </w:r>
      <w:bookmarkStart w:id="275" w:name="OLE_LINK72"/>
      <w:r>
        <w:rPr>
          <w:rFonts w:cs="Times New Roman"/>
          <w:color w:val="000000" w:themeColor="text1"/>
          <w:szCs w:val="24"/>
          <w:highlight w:val="none"/>
          <w14:textFill>
            <w14:solidFill>
              <w14:schemeClr w14:val="tx1"/>
            </w14:solidFill>
          </w14:textFill>
        </w:rPr>
        <w:t>SO</w:t>
      </w:r>
      <w:r>
        <w:rPr>
          <w:rFonts w:cs="Times New Roman"/>
          <w:color w:val="000000" w:themeColor="text1"/>
          <w:szCs w:val="24"/>
          <w:highlight w:val="none"/>
          <w:vertAlign w:val="subscript"/>
          <w14:textFill>
            <w14:solidFill>
              <w14:schemeClr w14:val="tx1"/>
            </w14:solidFill>
          </w14:textFill>
        </w:rPr>
        <w:t>2</w:t>
      </w:r>
      <w:bookmarkStart w:id="276" w:name="OLE_LINK69"/>
      <w:r>
        <w:rPr>
          <w:rFonts w:cs="Times New Roman"/>
          <w:color w:val="000000" w:themeColor="text1"/>
          <w:szCs w:val="24"/>
          <w:highlight w:val="none"/>
          <w:lang w:bidi="en-US"/>
          <w14:textFill>
            <w14:solidFill>
              <w14:schemeClr w14:val="tx1"/>
            </w14:solidFill>
          </w14:textFill>
        </w:rPr>
        <w:t>、</w:t>
      </w:r>
      <w:r>
        <w:rPr>
          <w:rFonts w:cs="Times New Roman"/>
          <w:color w:val="000000" w:themeColor="text1"/>
          <w:szCs w:val="24"/>
          <w:highlight w:val="none"/>
          <w14:textFill>
            <w14:solidFill>
              <w14:schemeClr w14:val="tx1"/>
            </w14:solidFill>
          </w14:textFill>
        </w:rPr>
        <w:t>NO</w:t>
      </w:r>
      <w:bookmarkEnd w:id="276"/>
      <w:r>
        <w:rPr>
          <w:rFonts w:cs="Times New Roman"/>
          <w:color w:val="000000" w:themeColor="text1"/>
          <w:szCs w:val="24"/>
          <w:highlight w:val="none"/>
          <w:vertAlign w:val="subscript"/>
          <w14:textFill>
            <w14:solidFill>
              <w14:schemeClr w14:val="tx1"/>
            </w14:solidFill>
          </w14:textFill>
        </w:rPr>
        <w:t>X</w:t>
      </w:r>
      <w:bookmarkEnd w:id="275"/>
      <w:bookmarkStart w:id="277" w:name="OLE_LINK74"/>
      <w:r>
        <w:rPr>
          <w:rFonts w:cs="Times New Roman"/>
          <w:color w:val="000000" w:themeColor="text1"/>
          <w:szCs w:val="24"/>
          <w:highlight w:val="none"/>
          <w:lang w:bidi="en-US"/>
          <w14:textFill>
            <w14:solidFill>
              <w14:schemeClr w14:val="tx1"/>
            </w14:solidFill>
          </w14:textFill>
        </w:rPr>
        <w:t>最大落地浓度出现在</w:t>
      </w:r>
      <w:bookmarkEnd w:id="277"/>
      <w:r>
        <w:rPr>
          <w:rFonts w:hint="eastAsia" w:cs="Times New Roman"/>
          <w:color w:val="000000" w:themeColor="text1"/>
          <w:szCs w:val="24"/>
          <w:highlight w:val="none"/>
          <w:lang w:val="en-US" w:eastAsia="zh-CN" w:bidi="en-US"/>
          <w14:textFill>
            <w14:solidFill>
              <w14:schemeClr w14:val="tx1"/>
            </w14:solidFill>
          </w14:textFill>
        </w:rPr>
        <w:t>243</w:t>
      </w:r>
      <w:r>
        <w:rPr>
          <w:rFonts w:hint="eastAsia" w:cs="Times New Roman"/>
          <w:color w:val="000000" w:themeColor="text1"/>
          <w:szCs w:val="24"/>
          <w:highlight w:val="none"/>
          <w:lang w:bidi="en-US"/>
          <w14:textFill>
            <w14:solidFill>
              <w14:schemeClr w14:val="tx1"/>
            </w14:solidFill>
          </w14:textFill>
        </w:rPr>
        <w:t>m</w:t>
      </w:r>
      <w:r>
        <w:rPr>
          <w:rFonts w:cs="Times New Roman"/>
          <w:color w:val="000000" w:themeColor="text1"/>
          <w:szCs w:val="24"/>
          <w:highlight w:val="none"/>
          <w:lang w:bidi="en-US"/>
          <w14:textFill>
            <w14:solidFill>
              <w14:schemeClr w14:val="tx1"/>
            </w14:solidFill>
          </w14:textFill>
        </w:rPr>
        <w:t>处，</w:t>
      </w:r>
      <w:bookmarkStart w:id="278" w:name="OLE_LINK73"/>
      <w:r>
        <w:rPr>
          <w:rFonts w:cs="Times New Roman"/>
          <w:color w:val="000000" w:themeColor="text1"/>
          <w:szCs w:val="24"/>
          <w:highlight w:val="none"/>
          <w:lang w:bidi="en-US"/>
          <w14:textFill>
            <w14:solidFill>
              <w14:schemeClr w14:val="tx1"/>
            </w14:solidFill>
          </w14:textFill>
        </w:rPr>
        <w:t>最</w:t>
      </w:r>
      <w:r>
        <w:rPr>
          <w:rFonts w:cs="Times New Roman"/>
          <w:color w:val="000000" w:themeColor="text1"/>
          <w:szCs w:val="24"/>
          <w:highlight w:val="none"/>
          <w14:textFill>
            <w14:solidFill>
              <w14:schemeClr w14:val="tx1"/>
            </w14:solidFill>
          </w14:textFill>
        </w:rPr>
        <w:t>大落地浓度分别为</w:t>
      </w:r>
      <w:bookmarkEnd w:id="278"/>
      <w:r>
        <w:rPr>
          <w:rFonts w:hint="eastAsia" w:cs="Times New Roman"/>
          <w:color w:val="000000" w:themeColor="text1"/>
          <w:szCs w:val="24"/>
          <w:highlight w:val="none"/>
          <w14:textFill>
            <w14:solidFill>
              <w14:schemeClr w14:val="tx1"/>
            </w14:solidFill>
          </w14:textFill>
        </w:rPr>
        <w:t>0.</w:t>
      </w:r>
      <w:r>
        <w:rPr>
          <w:rFonts w:hint="eastAsia" w:cs="Times New Roman"/>
          <w:color w:val="000000" w:themeColor="text1"/>
          <w:szCs w:val="24"/>
          <w:highlight w:val="none"/>
          <w:lang w:val="en-US" w:eastAsia="zh-CN"/>
          <w14:textFill>
            <w14:solidFill>
              <w14:schemeClr w14:val="tx1"/>
            </w14:solidFill>
          </w14:textFill>
        </w:rPr>
        <w:t>3223</w:t>
      </w:r>
      <w:r>
        <w:rPr>
          <w:rFonts w:cs="Times New Roman"/>
          <w:color w:val="000000" w:themeColor="text1"/>
          <w:szCs w:val="24"/>
          <w:highlight w:val="none"/>
          <w14:textFill>
            <w14:solidFill>
              <w14:schemeClr w14:val="tx1"/>
            </w14:solidFill>
          </w14:textFill>
        </w:rPr>
        <w:t>μg/m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1</w:t>
      </w:r>
      <w:r>
        <w:rPr>
          <w:rFonts w:hint="eastAsia" w:cs="Times New Roman"/>
          <w:color w:val="000000" w:themeColor="text1"/>
          <w:szCs w:val="24"/>
          <w:highlight w:val="none"/>
          <w:lang w:val="en-US" w:eastAsia="zh-CN"/>
          <w14:textFill>
            <w14:solidFill>
              <w14:schemeClr w14:val="tx1"/>
            </w14:solidFill>
          </w14:textFill>
        </w:rPr>
        <w:t>8.645</w:t>
      </w:r>
      <w:r>
        <w:rPr>
          <w:rFonts w:cs="Times New Roman"/>
          <w:color w:val="000000" w:themeColor="text1"/>
          <w:szCs w:val="24"/>
          <w:highlight w:val="none"/>
          <w14:textFill>
            <w14:solidFill>
              <w14:schemeClr w14:val="tx1"/>
            </w14:solidFill>
          </w14:textFill>
        </w:rPr>
        <w:t>μg/m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lang w:bidi="en-US"/>
          <w14:textFill>
            <w14:solidFill>
              <w14:schemeClr w14:val="tx1"/>
            </w14:solidFill>
          </w14:textFill>
        </w:rPr>
        <w:t>占标率均小于10</w:t>
      </w:r>
      <w:r>
        <w:rPr>
          <w:rFonts w:cs="Times New Roman"/>
          <w:color w:val="000000" w:themeColor="text1"/>
          <w:szCs w:val="24"/>
          <w:highlight w:val="none"/>
          <w:lang w:bidi="en-US"/>
          <w14:textFill>
            <w14:solidFill>
              <w14:schemeClr w14:val="tx1"/>
            </w14:solidFill>
          </w14:textFill>
        </w:rPr>
        <w:t>%</w:t>
      </w:r>
      <w:r>
        <w:rPr>
          <w:rFonts w:hint="eastAsia" w:cs="Times New Roman"/>
          <w:color w:val="000000" w:themeColor="text1"/>
          <w:szCs w:val="24"/>
          <w:highlight w:val="none"/>
          <w:lang w:bidi="en-US"/>
          <w14:textFill>
            <w14:solidFill>
              <w14:schemeClr w14:val="tx1"/>
            </w14:solidFill>
          </w14:textFill>
        </w:rPr>
        <w:t>，评价工作等级为二级，不进行进一步预测与评价，只对污染物排放量进行核算。</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（4）污染物排放量核算</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根据《环境影响评价技术导则—大气环境》（HJ2.2-2018）要求“二级评价项目不进行进一步预测与评价，只对污染物排放量进行核算。污染物排放量核算表包括有组织及无组织排放量、大气污染物年排放量、非正常排放量等。”</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1）有组织排放量核算</w:t>
      </w:r>
    </w:p>
    <w:p>
      <w:pPr>
        <w:pStyle w:val="21"/>
        <w:tabs>
          <w:tab w:val="left" w:pos="863"/>
        </w:tabs>
        <w:spacing w:before="0"/>
        <w:ind w:left="0" w:firstLine="42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表5.2-</w:t>
      </w:r>
      <w:r>
        <w:rPr>
          <w:rFonts w:hint="eastAsia" w:ascii="Times New Roman" w:hAnsi="Times New Roman" w:eastAsia="黑体"/>
          <w:color w:val="000000" w:themeColor="text1"/>
          <w:sz w:val="21"/>
          <w:szCs w:val="21"/>
          <w:highlight w:val="none"/>
          <w:lang w:eastAsia="zh-CN"/>
          <w14:textFill>
            <w14:solidFill>
              <w14:schemeClr w14:val="tx1"/>
            </w14:solidFill>
          </w14:textFill>
        </w:rPr>
        <w:t>4</w:t>
      </w:r>
      <w:r>
        <w:rPr>
          <w:rFonts w:ascii="Times New Roman" w:hAnsi="Times New Roman" w:eastAsia="黑体"/>
          <w:color w:val="000000" w:themeColor="text1"/>
          <w:sz w:val="21"/>
          <w:szCs w:val="21"/>
          <w:highlight w:val="none"/>
          <w:lang w:eastAsia="zh-CN"/>
          <w14:textFill>
            <w14:solidFill>
              <w14:schemeClr w14:val="tx1"/>
            </w14:solidFill>
          </w14:textFill>
        </w:rPr>
        <w:t xml:space="preserve">  项目大气有组织排放量核算表</w:t>
      </w:r>
    </w:p>
    <w:tbl>
      <w:tblPr>
        <w:tblStyle w:val="52"/>
        <w:tblW w:w="8220"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604"/>
        <w:gridCol w:w="2305"/>
        <w:gridCol w:w="1058"/>
        <w:gridCol w:w="1508"/>
        <w:gridCol w:w="1450"/>
        <w:gridCol w:w="129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604"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序号</w:t>
            </w:r>
          </w:p>
        </w:tc>
        <w:tc>
          <w:tcPr>
            <w:tcW w:w="230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排放口编号</w:t>
            </w:r>
          </w:p>
        </w:tc>
        <w:tc>
          <w:tcPr>
            <w:tcW w:w="105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污染物</w:t>
            </w:r>
          </w:p>
        </w:tc>
        <w:tc>
          <w:tcPr>
            <w:tcW w:w="150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核算排放浓度</w:t>
            </w:r>
            <w:r>
              <w:rPr>
                <w:rFonts w:hint="eastAsia" w:cs="Times New Roman"/>
                <w:color w:val="000000" w:themeColor="text1"/>
                <w:sz w:val="21"/>
                <w:szCs w:val="21"/>
                <w:highlight w:val="none"/>
                <w:lang w:eastAsia="zh-CN"/>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mg/m</w:t>
            </w:r>
            <w:r>
              <w:rPr>
                <w:rFonts w:cs="Times New Roman"/>
                <w:color w:val="000000" w:themeColor="text1"/>
                <w:sz w:val="21"/>
                <w:szCs w:val="21"/>
                <w:highlight w:val="none"/>
                <w:vertAlign w:val="superscript"/>
                <w14:textFill>
                  <w14:solidFill>
                    <w14:schemeClr w14:val="tx1"/>
                  </w14:solidFill>
                </w14:textFill>
              </w:rPr>
              <w:t>3</w:t>
            </w:r>
            <w:r>
              <w:rPr>
                <w:rFonts w:cs="Times New Roman"/>
                <w:color w:val="000000" w:themeColor="text1"/>
                <w:sz w:val="21"/>
                <w:szCs w:val="21"/>
                <w:highlight w:val="none"/>
                <w14:textFill>
                  <w14:solidFill>
                    <w14:schemeClr w14:val="tx1"/>
                  </w14:solidFill>
                </w14:textFill>
              </w:rPr>
              <w:t>)</w:t>
            </w:r>
          </w:p>
        </w:tc>
        <w:tc>
          <w:tcPr>
            <w:tcW w:w="1450"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核算排放速率</w:t>
            </w:r>
            <w:r>
              <w:rPr>
                <w:rFonts w:hint="eastAsia" w:cs="Times New Roman"/>
                <w:color w:val="000000" w:themeColor="text1"/>
                <w:sz w:val="21"/>
                <w:szCs w:val="21"/>
                <w:highlight w:val="none"/>
                <w:lang w:eastAsia="zh-CN"/>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kg/h)</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核算年排放量</w:t>
            </w:r>
            <w:r>
              <w:rPr>
                <w:rFonts w:hint="eastAsia" w:cs="Times New Roman"/>
                <w:color w:val="000000" w:themeColor="text1"/>
                <w:sz w:val="21"/>
                <w:szCs w:val="21"/>
                <w:highlight w:val="none"/>
                <w:lang w:eastAsia="zh-CN"/>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t/a)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8220" w:type="dxa"/>
            <w:gridSpan w:val="6"/>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一般排放口</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604" w:type="dxa"/>
            <w:vMerge w:val="restart"/>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p>
        </w:tc>
        <w:tc>
          <w:tcPr>
            <w:tcW w:w="2305" w:type="dxa"/>
            <w:vMerge w:val="restart"/>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水套加热炉排气筒</w:t>
            </w:r>
          </w:p>
        </w:tc>
        <w:tc>
          <w:tcPr>
            <w:tcW w:w="105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SO</w:t>
            </w:r>
            <w:r>
              <w:rPr>
                <w:rFonts w:cs="Times New Roman"/>
                <w:color w:val="000000" w:themeColor="text1"/>
                <w:sz w:val="21"/>
                <w:szCs w:val="21"/>
                <w:highlight w:val="none"/>
                <w:vertAlign w:val="subscript"/>
                <w14:textFill>
                  <w14:solidFill>
                    <w14:schemeClr w14:val="tx1"/>
                  </w14:solidFill>
                </w14:textFill>
              </w:rPr>
              <w:t>2</w:t>
            </w:r>
          </w:p>
        </w:tc>
        <w:tc>
          <w:tcPr>
            <w:tcW w:w="150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0.67</w:t>
            </w:r>
          </w:p>
        </w:tc>
        <w:tc>
          <w:tcPr>
            <w:tcW w:w="1450"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0.0014</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0.011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604" w:type="dxa"/>
            <w:vMerge w:val="continue"/>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2305" w:type="dxa"/>
            <w:vMerge w:val="continue"/>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05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w:t>
            </w:r>
            <w:r>
              <w:rPr>
                <w:rFonts w:cs="Times New Roman"/>
                <w:color w:val="000000" w:themeColor="text1"/>
                <w:sz w:val="21"/>
                <w:szCs w:val="21"/>
                <w:highlight w:val="none"/>
                <w:vertAlign w:val="subscript"/>
                <w14:textFill>
                  <w14:solidFill>
                    <w14:schemeClr w14:val="tx1"/>
                  </w14:solidFill>
                </w14:textFill>
              </w:rPr>
              <w:t>X</w:t>
            </w:r>
          </w:p>
        </w:tc>
        <w:tc>
          <w:tcPr>
            <w:tcW w:w="150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64.68</w:t>
            </w:r>
          </w:p>
        </w:tc>
        <w:tc>
          <w:tcPr>
            <w:tcW w:w="1450"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0.081</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0.64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2909" w:type="dxa"/>
            <w:gridSpan w:val="2"/>
            <w:vMerge w:val="restart"/>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一般排放口合计</w:t>
            </w:r>
          </w:p>
        </w:tc>
        <w:tc>
          <w:tcPr>
            <w:tcW w:w="4016" w:type="dxa"/>
            <w:gridSpan w:val="3"/>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SO</w:t>
            </w:r>
            <w:r>
              <w:rPr>
                <w:rFonts w:cs="Times New Roman"/>
                <w:color w:val="000000" w:themeColor="text1"/>
                <w:sz w:val="21"/>
                <w:szCs w:val="21"/>
                <w:highlight w:val="none"/>
                <w:vertAlign w:val="subscript"/>
                <w14:textFill>
                  <w14:solidFill>
                    <w14:schemeClr w14:val="tx1"/>
                  </w14:solidFill>
                </w14:textFill>
              </w:rPr>
              <w:t>2</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0.011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2909" w:type="dxa"/>
            <w:gridSpan w:val="2"/>
            <w:vMerge w:val="continue"/>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4016" w:type="dxa"/>
            <w:gridSpan w:val="3"/>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w:t>
            </w:r>
            <w:r>
              <w:rPr>
                <w:rFonts w:cs="Times New Roman"/>
                <w:color w:val="000000" w:themeColor="text1"/>
                <w:sz w:val="21"/>
                <w:szCs w:val="21"/>
                <w:highlight w:val="none"/>
                <w:vertAlign w:val="subscript"/>
                <w14:textFill>
                  <w14:solidFill>
                    <w14:schemeClr w14:val="tx1"/>
                  </w14:solidFill>
                </w14:textFill>
              </w:rPr>
              <w:t>X</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0.64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8220" w:type="dxa"/>
            <w:gridSpan w:val="6"/>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有组织排放总计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2909" w:type="dxa"/>
            <w:gridSpan w:val="2"/>
            <w:vMerge w:val="restart"/>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有组织排放总计</w:t>
            </w:r>
          </w:p>
        </w:tc>
        <w:tc>
          <w:tcPr>
            <w:tcW w:w="4016" w:type="dxa"/>
            <w:gridSpan w:val="3"/>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SO</w:t>
            </w:r>
            <w:r>
              <w:rPr>
                <w:rFonts w:cs="Times New Roman"/>
                <w:color w:val="000000" w:themeColor="text1"/>
                <w:sz w:val="21"/>
                <w:szCs w:val="21"/>
                <w:highlight w:val="none"/>
                <w:vertAlign w:val="subscript"/>
                <w14:textFill>
                  <w14:solidFill>
                    <w14:schemeClr w14:val="tx1"/>
                  </w14:solidFill>
                </w14:textFill>
              </w:rPr>
              <w:t>2</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0.011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2909" w:type="dxa"/>
            <w:gridSpan w:val="2"/>
            <w:vMerge w:val="continue"/>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4016" w:type="dxa"/>
            <w:gridSpan w:val="3"/>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w:t>
            </w:r>
            <w:r>
              <w:rPr>
                <w:rFonts w:cs="Times New Roman"/>
                <w:color w:val="000000" w:themeColor="text1"/>
                <w:sz w:val="21"/>
                <w:szCs w:val="21"/>
                <w:highlight w:val="none"/>
                <w:vertAlign w:val="subscript"/>
                <w14:textFill>
                  <w14:solidFill>
                    <w14:schemeClr w14:val="tx1"/>
                  </w14:solidFill>
                </w14:textFill>
              </w:rPr>
              <w:t>X</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0.64</w:t>
            </w:r>
          </w:p>
        </w:tc>
      </w:tr>
    </w:tbl>
    <w:p>
      <w:pPr>
        <w:pStyle w:val="21"/>
        <w:keepNext w:val="0"/>
        <w:keepLines w:val="0"/>
        <w:pageBreakBefore w:val="0"/>
        <w:tabs>
          <w:tab w:val="left" w:pos="863"/>
        </w:tabs>
        <w:kinsoku/>
        <w:wordWrap/>
        <w:overflowPunct/>
        <w:topLinePunct w:val="0"/>
        <w:autoSpaceDE/>
        <w:autoSpaceDN/>
        <w:bidi w:val="0"/>
        <w:adjustRightInd w:val="0"/>
        <w:snapToGrid w:val="0"/>
        <w:spacing w:before="0"/>
        <w:ind w:left="0" w:firstLine="420"/>
        <w:jc w:val="center"/>
        <w:textAlignment w:val="auto"/>
        <w:rPr>
          <w:rFonts w:ascii="Times New Roman" w:hAnsi="Times New Roman" w:eastAsia="黑体"/>
          <w:color w:val="000000" w:themeColor="text1"/>
          <w:sz w:val="21"/>
          <w:szCs w:val="21"/>
          <w:highlight w:val="none"/>
          <w:lang w:eastAsia="zh-CN"/>
          <w14:textFill>
            <w14:solidFill>
              <w14:schemeClr w14:val="tx1"/>
            </w14:solidFill>
          </w14:textFill>
        </w:rPr>
      </w:pPr>
    </w:p>
    <w:p>
      <w:pPr>
        <w:keepNext w:val="0"/>
        <w:keepLines w:val="0"/>
        <w:pageBreakBefore w:val="0"/>
        <w:tabs>
          <w:tab w:val="left" w:pos="600"/>
        </w:tabs>
        <w:kinsoku/>
        <w:wordWrap/>
        <w:overflowPunct/>
        <w:topLinePunct w:val="0"/>
        <w:autoSpaceDE/>
        <w:autoSpaceDN/>
        <w:bidi w:val="0"/>
        <w:adjustRightInd w:val="0"/>
        <w:snapToGrid w:val="0"/>
        <w:ind w:firstLine="480"/>
        <w:textAlignment w:val="auto"/>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2）无组织排放量核算</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试采期普光3021-8H试采站正常生产情况下，流程设备、管线、阀室等工艺设备为高压密闭作业，无天然气泄露废气产生，因此不核算无组织排放废气。</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本项目建成后，因此非正常运行状态检修废气或系统超压等情况产生的事故放空废气不会增加。</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3）大气污染物年排放量核算</w:t>
      </w:r>
    </w:p>
    <w:p>
      <w:pPr>
        <w:pStyle w:val="21"/>
        <w:tabs>
          <w:tab w:val="left" w:pos="863"/>
        </w:tabs>
        <w:spacing w:before="0"/>
        <w:ind w:left="0" w:firstLine="42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 xml:space="preserve">表 </w:t>
      </w:r>
      <w:r>
        <w:rPr>
          <w:rFonts w:ascii="Times New Roman" w:hAnsi="Times New Roman" w:eastAsia="黑体"/>
          <w:color w:val="000000" w:themeColor="text1"/>
          <w:sz w:val="21"/>
          <w:szCs w:val="21"/>
          <w:highlight w:val="none"/>
          <w:lang w:eastAsia="zh-CN"/>
          <w14:textFill>
            <w14:solidFill>
              <w14:schemeClr w14:val="tx1"/>
            </w14:solidFill>
          </w14:textFill>
        </w:rPr>
        <w:fldChar w:fldCharType="begin"/>
      </w:r>
      <w:r>
        <w:rPr>
          <w:rFonts w:ascii="Times New Roman" w:hAnsi="Times New Roman" w:eastAsia="黑体"/>
          <w:color w:val="000000" w:themeColor="text1"/>
          <w:sz w:val="21"/>
          <w:szCs w:val="21"/>
          <w:highlight w:val="none"/>
          <w:lang w:eastAsia="zh-CN"/>
          <w14:textFill>
            <w14:solidFill>
              <w14:schemeClr w14:val="tx1"/>
            </w14:solidFill>
          </w14:textFill>
        </w:rPr>
        <w:instrText xml:space="preserve"> STYLEREF 2 \s </w:instrText>
      </w:r>
      <w:r>
        <w:rPr>
          <w:rFonts w:ascii="Times New Roman" w:hAnsi="Times New Roman" w:eastAsia="黑体"/>
          <w:color w:val="000000" w:themeColor="text1"/>
          <w:sz w:val="21"/>
          <w:szCs w:val="21"/>
          <w:highlight w:val="none"/>
          <w:lang w:eastAsia="zh-CN"/>
          <w14:textFill>
            <w14:solidFill>
              <w14:schemeClr w14:val="tx1"/>
            </w14:solidFill>
          </w14:textFill>
        </w:rPr>
        <w:fldChar w:fldCharType="separate"/>
      </w:r>
      <w:r>
        <w:rPr>
          <w:rFonts w:ascii="Times New Roman" w:hAnsi="Times New Roman" w:eastAsia="黑体"/>
          <w:color w:val="000000" w:themeColor="text1"/>
          <w:sz w:val="21"/>
          <w:szCs w:val="21"/>
          <w:highlight w:val="none"/>
          <w:lang w:eastAsia="zh-CN"/>
          <w14:textFill>
            <w14:solidFill>
              <w14:schemeClr w14:val="tx1"/>
            </w14:solidFill>
          </w14:textFill>
        </w:rPr>
        <w:t>5.2</w:t>
      </w:r>
      <w:r>
        <w:rPr>
          <w:rFonts w:ascii="Times New Roman" w:hAnsi="Times New Roman" w:eastAsia="黑体"/>
          <w:color w:val="000000" w:themeColor="text1"/>
          <w:sz w:val="21"/>
          <w:szCs w:val="21"/>
          <w:highlight w:val="none"/>
          <w:lang w:eastAsia="zh-CN"/>
          <w14:textFill>
            <w14:solidFill>
              <w14:schemeClr w14:val="tx1"/>
            </w14:solidFill>
          </w14:textFill>
        </w:rPr>
        <w:fldChar w:fldCharType="end"/>
      </w:r>
      <w:r>
        <w:rPr>
          <w:rFonts w:hint="eastAsia" w:ascii="Times New Roman" w:hAnsi="Times New Roman" w:eastAsia="黑体"/>
          <w:color w:val="000000" w:themeColor="text1"/>
          <w:sz w:val="21"/>
          <w:szCs w:val="21"/>
          <w:highlight w:val="none"/>
          <w:lang w:eastAsia="zh-CN"/>
          <w14:textFill>
            <w14:solidFill>
              <w14:schemeClr w14:val="tx1"/>
            </w14:solidFill>
          </w14:textFill>
        </w:rPr>
        <w:t>-4</w:t>
      </w:r>
      <w:r>
        <w:rPr>
          <w:rFonts w:ascii="Times New Roman" w:hAnsi="Times New Roman" w:eastAsia="黑体"/>
          <w:color w:val="000000" w:themeColor="text1"/>
          <w:sz w:val="21"/>
          <w:szCs w:val="21"/>
          <w:highlight w:val="none"/>
          <w:lang w:eastAsia="zh-CN"/>
          <w14:textFill>
            <w14:solidFill>
              <w14:schemeClr w14:val="tx1"/>
            </w14:solidFill>
          </w14:textFill>
        </w:rPr>
        <w:t xml:space="preserve">  大气污染物年排放量核算表</w:t>
      </w:r>
    </w:p>
    <w:tbl>
      <w:tblPr>
        <w:tblStyle w:val="52"/>
        <w:tblW w:w="8220" w:type="dxa"/>
        <w:jc w:val="center"/>
        <w:tblLayout w:type="fixed"/>
        <w:tblCellMar>
          <w:top w:w="0" w:type="dxa"/>
          <w:left w:w="0" w:type="dxa"/>
          <w:bottom w:w="0" w:type="dxa"/>
          <w:right w:w="0" w:type="dxa"/>
        </w:tblCellMar>
      </w:tblPr>
      <w:tblGrid>
        <w:gridCol w:w="2177"/>
        <w:gridCol w:w="3139"/>
        <w:gridCol w:w="2904"/>
      </w:tblGrid>
      <w:tr>
        <w:tblPrEx>
          <w:tblCellMar>
            <w:top w:w="0" w:type="dxa"/>
            <w:left w:w="0" w:type="dxa"/>
            <w:bottom w:w="0" w:type="dxa"/>
            <w:right w:w="0" w:type="dxa"/>
          </w:tblCellMar>
        </w:tblPrEx>
        <w:trPr>
          <w:jc w:val="center"/>
        </w:trPr>
        <w:tc>
          <w:tcPr>
            <w:tcW w:w="217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序号</w:t>
            </w:r>
          </w:p>
        </w:tc>
        <w:tc>
          <w:tcPr>
            <w:tcW w:w="313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污染物</w:t>
            </w:r>
          </w:p>
        </w:tc>
        <w:tc>
          <w:tcPr>
            <w:tcW w:w="290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年排放量（t/a）</w:t>
            </w:r>
          </w:p>
        </w:tc>
      </w:tr>
      <w:tr>
        <w:tblPrEx>
          <w:tblCellMar>
            <w:top w:w="0" w:type="dxa"/>
            <w:left w:w="0" w:type="dxa"/>
            <w:bottom w:w="0" w:type="dxa"/>
            <w:right w:w="0" w:type="dxa"/>
          </w:tblCellMar>
        </w:tblPrEx>
        <w:trPr>
          <w:jc w:val="center"/>
        </w:trPr>
        <w:tc>
          <w:tcPr>
            <w:tcW w:w="2177" w:type="dxa"/>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p>
        </w:tc>
        <w:tc>
          <w:tcPr>
            <w:tcW w:w="3139"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SO</w:t>
            </w:r>
            <w:r>
              <w:rPr>
                <w:rFonts w:cs="Times New Roman"/>
                <w:color w:val="000000" w:themeColor="text1"/>
                <w:sz w:val="21"/>
                <w:szCs w:val="21"/>
                <w:highlight w:val="none"/>
                <w:vertAlign w:val="subscript"/>
                <w14:textFill>
                  <w14:solidFill>
                    <w14:schemeClr w14:val="tx1"/>
                  </w14:solidFill>
                </w14:textFill>
              </w:rPr>
              <w:t>2</w:t>
            </w:r>
          </w:p>
        </w:tc>
        <w:tc>
          <w:tcPr>
            <w:tcW w:w="2904"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0.011</w:t>
            </w:r>
          </w:p>
        </w:tc>
      </w:tr>
      <w:tr>
        <w:tblPrEx>
          <w:tblCellMar>
            <w:top w:w="0" w:type="dxa"/>
            <w:left w:w="0" w:type="dxa"/>
            <w:bottom w:w="0" w:type="dxa"/>
            <w:right w:w="0" w:type="dxa"/>
          </w:tblCellMar>
        </w:tblPrEx>
        <w:trPr>
          <w:jc w:val="center"/>
        </w:trPr>
        <w:tc>
          <w:tcPr>
            <w:tcW w:w="2177" w:type="dxa"/>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2</w:t>
            </w:r>
          </w:p>
        </w:tc>
        <w:tc>
          <w:tcPr>
            <w:tcW w:w="3139"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w:t>
            </w:r>
            <w:r>
              <w:rPr>
                <w:rFonts w:cs="Times New Roman"/>
                <w:color w:val="000000" w:themeColor="text1"/>
                <w:sz w:val="21"/>
                <w:szCs w:val="21"/>
                <w:highlight w:val="none"/>
                <w:vertAlign w:val="subscript"/>
                <w14:textFill>
                  <w14:solidFill>
                    <w14:schemeClr w14:val="tx1"/>
                  </w14:solidFill>
                </w14:textFill>
              </w:rPr>
              <w:t>X</w:t>
            </w:r>
          </w:p>
        </w:tc>
        <w:tc>
          <w:tcPr>
            <w:tcW w:w="2904"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0.64</w:t>
            </w:r>
          </w:p>
        </w:tc>
      </w:tr>
    </w:tbl>
    <w:p>
      <w:pPr>
        <w:pStyle w:val="21"/>
        <w:tabs>
          <w:tab w:val="left" w:pos="863"/>
        </w:tabs>
        <w:spacing w:before="0"/>
        <w:ind w:left="0" w:firstLine="420"/>
        <w:jc w:val="center"/>
        <w:rPr>
          <w:rFonts w:ascii="Times New Roman" w:hAnsi="Times New Roman" w:eastAsia="黑体"/>
          <w:color w:val="000000" w:themeColor="text1"/>
          <w:sz w:val="21"/>
          <w:szCs w:val="21"/>
          <w:highlight w:val="none"/>
          <w:lang w:eastAsia="zh-CN"/>
          <w14:textFill>
            <w14:solidFill>
              <w14:schemeClr w14:val="tx1"/>
            </w14:solidFill>
          </w14:textFill>
        </w:rPr>
      </w:pPr>
    </w:p>
    <w:p>
      <w:pPr>
        <w:ind w:firstLine="40"/>
        <w:rPr>
          <w:rFonts w:eastAsia="黑体"/>
          <w:b/>
          <w:bCs/>
          <w:color w:val="000000" w:themeColor="text1"/>
          <w:sz w:val="2"/>
          <w:szCs w:val="2"/>
          <w:highlight w:val="none"/>
          <w14:textFill>
            <w14:solidFill>
              <w14:schemeClr w14:val="tx1"/>
            </w14:solidFill>
          </w14:textFill>
        </w:rPr>
      </w:pPr>
    </w:p>
    <w:p>
      <w:pPr>
        <w:tabs>
          <w:tab w:val="left" w:pos="600"/>
        </w:tabs>
        <w:spacing w:before="120" w:beforeLines="50"/>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（5）</w:t>
      </w:r>
      <w:r>
        <w:rPr>
          <w:rFonts w:cs="Times New Roman"/>
          <w:color w:val="000000" w:themeColor="text1"/>
          <w:szCs w:val="24"/>
          <w:highlight w:val="none"/>
          <w:lang w:bidi="en-US"/>
          <w14:textFill>
            <w14:solidFill>
              <w14:schemeClr w14:val="tx1"/>
            </w14:solidFill>
          </w14:textFill>
        </w:rPr>
        <w:t>大气环境影响分析</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1）水套加热炉废气环境影响分析</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根据上述预测分析可知，</w:t>
      </w:r>
      <w:r>
        <w:rPr>
          <w:rFonts w:hint="eastAsia" w:cs="Times New Roman"/>
          <w:color w:val="000000" w:themeColor="text1"/>
          <w:szCs w:val="24"/>
          <w:highlight w:val="none"/>
          <w:lang w:val="en-US" w:eastAsia="zh-CN" w:bidi="en-US"/>
          <w14:textFill>
            <w14:solidFill>
              <w14:schemeClr w14:val="tx1"/>
            </w14:solidFill>
          </w14:textFill>
        </w:rPr>
        <w:t>试采期使用的</w:t>
      </w:r>
      <w:r>
        <w:rPr>
          <w:rFonts w:cs="Times New Roman"/>
          <w:color w:val="000000" w:themeColor="text1"/>
          <w:szCs w:val="24"/>
          <w:highlight w:val="none"/>
          <w:lang w:bidi="en-US"/>
          <w14:textFill>
            <w14:solidFill>
              <w14:schemeClr w14:val="tx1"/>
            </w14:solidFill>
          </w14:textFill>
        </w:rPr>
        <w:t>水套加热炉污染物排放中NOx最大占标率</w:t>
      </w:r>
      <w:r>
        <w:rPr>
          <w:rFonts w:hint="eastAsia" w:cs="Times New Roman"/>
          <w:color w:val="000000" w:themeColor="text1"/>
          <w:szCs w:val="24"/>
          <w:highlight w:val="none"/>
          <w:lang w:val="en-US" w:eastAsia="zh-CN" w:bidi="en-US"/>
          <w14:textFill>
            <w14:solidFill>
              <w14:schemeClr w14:val="tx1"/>
            </w14:solidFill>
          </w14:textFill>
        </w:rPr>
        <w:t>7.4580</w:t>
      </w:r>
      <w:r>
        <w:rPr>
          <w:rFonts w:cs="Times New Roman"/>
          <w:color w:val="000000" w:themeColor="text1"/>
          <w:szCs w:val="24"/>
          <w:highlight w:val="none"/>
          <w:lang w:bidi="en-US"/>
          <w14:textFill>
            <w14:solidFill>
              <w14:schemeClr w14:val="tx1"/>
            </w14:solidFill>
          </w14:textFill>
        </w:rPr>
        <w:t>%，</w:t>
      </w:r>
      <w:r>
        <w:rPr>
          <w:rFonts w:cs="Times New Roman"/>
          <w:color w:val="000000" w:themeColor="text1"/>
          <w:szCs w:val="24"/>
          <w:highlight w:val="none"/>
          <w14:textFill>
            <w14:solidFill>
              <w14:schemeClr w14:val="tx1"/>
            </w14:solidFill>
          </w14:textFill>
        </w:rPr>
        <w:t>SO</w:t>
      </w:r>
      <w:r>
        <w:rPr>
          <w:rFonts w:cs="Times New Roman"/>
          <w:color w:val="000000" w:themeColor="text1"/>
          <w:szCs w:val="24"/>
          <w:highlight w:val="none"/>
          <w:vertAlign w:val="subscript"/>
          <w14:textFill>
            <w14:solidFill>
              <w14:schemeClr w14:val="tx1"/>
            </w14:solidFill>
          </w14:textFill>
        </w:rPr>
        <w:t>2</w:t>
      </w:r>
      <w:r>
        <w:rPr>
          <w:rFonts w:hint="eastAsia" w:cs="Times New Roman"/>
          <w:color w:val="000000" w:themeColor="text1"/>
          <w:szCs w:val="24"/>
          <w:highlight w:val="none"/>
          <w14:textFill>
            <w14:solidFill>
              <w14:schemeClr w14:val="tx1"/>
            </w14:solidFill>
          </w14:textFill>
        </w:rPr>
        <w:t>最</w:t>
      </w:r>
      <w:r>
        <w:rPr>
          <w:rFonts w:cs="Times New Roman"/>
          <w:color w:val="000000" w:themeColor="text1"/>
          <w:szCs w:val="24"/>
          <w:highlight w:val="none"/>
          <w:lang w:bidi="en-US"/>
          <w14:textFill>
            <w14:solidFill>
              <w14:schemeClr w14:val="tx1"/>
            </w14:solidFill>
          </w14:textFill>
        </w:rPr>
        <w:t>大占标率</w:t>
      </w:r>
      <w:r>
        <w:rPr>
          <w:rFonts w:hint="eastAsia" w:cs="Times New Roman"/>
          <w:color w:val="000000" w:themeColor="text1"/>
          <w:szCs w:val="24"/>
          <w:highlight w:val="none"/>
          <w:lang w:val="en-US" w:eastAsia="zh-CN" w:bidi="en-US"/>
          <w14:textFill>
            <w14:solidFill>
              <w14:schemeClr w14:val="tx1"/>
            </w14:solidFill>
          </w14:textFill>
        </w:rPr>
        <w:t>0.0645</w:t>
      </w:r>
      <w:r>
        <w:rPr>
          <w:rFonts w:cs="Times New Roman"/>
          <w:color w:val="000000" w:themeColor="text1"/>
          <w:szCs w:val="24"/>
          <w:highlight w:val="none"/>
          <w:lang w:bidi="en-US"/>
          <w14:textFill>
            <w14:solidFill>
              <w14:schemeClr w14:val="tx1"/>
            </w14:solidFill>
          </w14:textFill>
        </w:rPr>
        <w:t>%</w:t>
      </w:r>
      <w:r>
        <w:rPr>
          <w:rFonts w:hint="eastAsia" w:cs="Times New Roman"/>
          <w:color w:val="000000" w:themeColor="text1"/>
          <w:szCs w:val="24"/>
          <w:highlight w:val="none"/>
          <w:lang w:bidi="en-US"/>
          <w14:textFill>
            <w14:solidFill>
              <w14:schemeClr w14:val="tx1"/>
            </w14:solidFill>
          </w14:textFill>
        </w:rPr>
        <w:t>，</w:t>
      </w:r>
      <w:r>
        <w:rPr>
          <w:rFonts w:cs="Times New Roman"/>
          <w:color w:val="000000" w:themeColor="text1"/>
          <w:szCs w:val="24"/>
          <w:highlight w:val="none"/>
          <w:lang w:bidi="en-US"/>
          <w14:textFill>
            <w14:solidFill>
              <w14:schemeClr w14:val="tx1"/>
            </w14:solidFill>
          </w14:textFill>
        </w:rPr>
        <w:t>污染物排放量小，</w:t>
      </w:r>
      <w:r>
        <w:rPr>
          <w:rFonts w:hint="eastAsia" w:cs="Times New Roman"/>
          <w:color w:val="000000" w:themeColor="text1"/>
          <w:szCs w:val="24"/>
          <w:highlight w:val="none"/>
          <w:lang w:bidi="en-US"/>
          <w14:textFill>
            <w14:solidFill>
              <w14:schemeClr w14:val="tx1"/>
            </w14:solidFill>
          </w14:textFill>
        </w:rPr>
        <w:t>不会显著增加环境空气中污染物浓度，</w:t>
      </w:r>
      <w:r>
        <w:rPr>
          <w:rFonts w:cs="Times New Roman"/>
          <w:color w:val="000000" w:themeColor="text1"/>
          <w:szCs w:val="24"/>
          <w:highlight w:val="none"/>
          <w:lang w:bidi="en-US"/>
          <w14:textFill>
            <w14:solidFill>
              <w14:schemeClr w14:val="tx1"/>
            </w14:solidFill>
          </w14:textFill>
        </w:rPr>
        <w:t>污染物排放对环境空气的影响较小。</w:t>
      </w:r>
    </w:p>
    <w:p>
      <w:pPr>
        <w:tabs>
          <w:tab w:val="left" w:pos="600"/>
        </w:tabs>
        <w:ind w:firstLine="480"/>
        <w:rPr>
          <w:rFonts w:hint="eastAsia" w:cs="Times New Roman"/>
          <w:color w:val="000000" w:themeColor="text1"/>
          <w:szCs w:val="24"/>
          <w:highlight w:val="none"/>
          <w:lang w:val="en-US" w:eastAsia="zh-CN"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2）</w:t>
      </w:r>
      <w:r>
        <w:rPr>
          <w:rFonts w:hint="default" w:cs="Times New Roman"/>
          <w:color w:val="000000" w:themeColor="text1"/>
          <w:szCs w:val="24"/>
          <w:highlight w:val="none"/>
          <w:lang w:val="en-US" w:eastAsia="zh-CN" w:bidi="en-US"/>
          <w14:textFill>
            <w14:solidFill>
              <w14:schemeClr w14:val="tx1"/>
            </w14:solidFill>
          </w14:textFill>
        </w:rPr>
        <w:t>非正常运行状态主要有检修废气或系统超压等情况产生的事故放空燃烧废气</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lang w:bidi="en-US"/>
          <w14:textFill>
            <w14:solidFill>
              <w14:schemeClr w14:val="tx1"/>
            </w14:solidFill>
          </w14:textFill>
        </w:rPr>
        <w:t>本项目建成后，非正常运行状态检修废气或系统超压等情况产生的事故放空废气依托P106集气站已建的放空火炬点火燃烧后排放，本项目非正常工况放空废气量小，放空次数少，放空废气进入P106集气站已建的放空火炬燃烧不会增加火炬头长明灯废气量，项目区扩散条件好，对环境空气质量影响小</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highlight w:val="none"/>
          <w14:textFill>
            <w14:solidFill>
              <w14:schemeClr w14:val="tx1"/>
            </w14:solidFill>
          </w14:textFill>
        </w:rPr>
      </w:pPr>
      <w:bookmarkStart w:id="279" w:name="_Toc120173157"/>
      <w:r>
        <w:rPr>
          <w:rFonts w:hint="default" w:ascii="Times New Roman" w:hAnsi="Times New Roman" w:cs="Times New Roman"/>
          <w:color w:val="000000" w:themeColor="text1"/>
          <w:highlight w:val="none"/>
          <w14:textFill>
            <w14:solidFill>
              <w14:schemeClr w14:val="tx1"/>
            </w14:solidFill>
          </w14:textFill>
        </w:rPr>
        <w:t>地表水环境影响分析</w:t>
      </w:r>
      <w:bookmarkEnd w:id="279"/>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（1）</w:t>
      </w:r>
      <w:r>
        <w:rPr>
          <w:rFonts w:hint="default" w:ascii="Times New Roman" w:hAnsi="Times New Roman" w:cs="Times New Roman"/>
          <w:b/>
          <w:color w:val="000000" w:themeColor="text1"/>
          <w:szCs w:val="24"/>
          <w:highlight w:val="none"/>
          <w:lang w:eastAsia="zh-CN"/>
          <w14:textFill>
            <w14:solidFill>
              <w14:schemeClr w14:val="tx1"/>
            </w14:solidFill>
          </w14:textFill>
        </w:rPr>
        <w:t>气田水（含初期压裂返排液）</w:t>
      </w:r>
      <w:r>
        <w:rPr>
          <w:rFonts w:hint="default" w:ascii="Times New Roman" w:hAnsi="Times New Roman" w:cs="Times New Roman"/>
          <w:b/>
          <w:color w:val="000000" w:themeColor="text1"/>
          <w:szCs w:val="24"/>
          <w:highlight w:val="none"/>
          <w14:textFill>
            <w14:solidFill>
              <w14:schemeClr w14:val="tx1"/>
            </w14:solidFill>
          </w14:textFill>
        </w:rPr>
        <w:t>影响分析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类比区块普光气田开发井日产气田水情况，预估普光P106集气站气田水产生量约为10m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/d</w:t>
      </w:r>
      <w:bookmarkStart w:id="280" w:name="_Hlk156572542"/>
      <w:r>
        <w:rPr>
          <w:rFonts w:hint="default" w:ascii="Times New Roman" w:hAnsi="Times New Roman" w:cs="Times New Roman"/>
          <w:bCs/>
          <w:color w:val="000000" w:themeColor="text1"/>
          <w:highlight w:val="none"/>
          <w14:textFill>
            <w14:solidFill>
              <w14:schemeClr w14:val="tx1"/>
            </w14:solidFill>
          </w14:textFill>
        </w:rPr>
        <w:t>（此外，试采初期压裂返排液未完全返排，含压裂返排液的气田水可能达200m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/d以上，此阶段不超过半年）</w:t>
      </w:r>
      <w:bookmarkEnd w:id="280"/>
      <w:r>
        <w:rPr>
          <w:rFonts w:hint="default" w:ascii="Times New Roman" w:hAnsi="Times New Roman" w:cs="Times New Roman"/>
          <w:bCs/>
          <w:color w:val="000000" w:themeColor="text1"/>
          <w:highlight w:val="none"/>
          <w14:textFill>
            <w14:solidFill>
              <w14:schemeClr w14:val="tx1"/>
            </w14:solidFill>
          </w14:textFill>
        </w:rPr>
        <w:t>。酸气采取全湿气加热保温混输工艺，为防止酸化压裂液返排对地面试采管道造成腐蚀，本项目依托P106集气站内的分酸分离器。酸气气液经过新建的分酸分离器进行气液分离，分离气田水进入火炬分液罐（30m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）暂存，暂存一定量后（</w:t>
      </w:r>
      <w:r>
        <w:rPr>
          <w:rFonts w:hint="default" w:ascii="Times New Roman" w:hAnsi="Times New Roman" w:cs="Times New Roman"/>
          <w:bCs/>
          <w:color w:val="000000" w:themeColor="text1"/>
          <w:szCs w:val="24"/>
          <w:highlight w:val="none"/>
          <w14:textFill>
            <w14:solidFill>
              <w14:schemeClr w14:val="tx1"/>
            </w14:solidFill>
          </w14:textFill>
        </w:rPr>
        <w:t>低于容积80%前</w:t>
      </w:r>
      <w:r>
        <w:rPr>
          <w:rFonts w:hint="default" w:ascii="Times New Roman" w:hAnsi="Times New Roman" w:cs="Times New Roman"/>
          <w:bCs/>
          <w:color w:val="000000" w:themeColor="text1"/>
          <w:highlight w:val="none"/>
          <w14:textFill>
            <w14:solidFill>
              <w14:schemeClr w14:val="tx1"/>
            </w14:solidFill>
          </w14:textFill>
        </w:rPr>
        <w:t>）用密闭罐车拉运至赵家坝污水处理站处理达到《气田水回注方法》（SY/T 6596-2016）中注入水基本要求后管输至普光11井回注站回注处理，不外排。</w:t>
      </w:r>
      <w:r>
        <w:rPr>
          <w:rFonts w:hint="default" w:ascii="Times New Roman" w:hAnsi="Times New Roman" w:cs="Times New Roman"/>
          <w:bCs/>
          <w:color w:val="000000" w:themeColor="text1"/>
          <w:szCs w:val="24"/>
          <w:highlight w:val="none"/>
          <w14:textFill>
            <w14:solidFill>
              <w14:schemeClr w14:val="tx1"/>
            </w14:solidFill>
          </w14:textFill>
        </w:rPr>
        <w:t>现场无废水外排，对地表水体影响较小。且随着采气试采，废水产生量将更小，水质简单，去向明确，本项目试采期新建的</w:t>
      </w:r>
      <w:r>
        <w:rPr>
          <w:rFonts w:hint="default" w:ascii="Times New Roman" w:hAnsi="Times New Roman" w:cs="Times New Roman"/>
          <w:bCs/>
          <w:color w:val="000000" w:themeColor="text1"/>
          <w:highlight w:val="none"/>
          <w14:textFill>
            <w14:solidFill>
              <w14:schemeClr w14:val="tx1"/>
            </w14:solidFill>
          </w14:textFill>
        </w:rPr>
        <w:t>火炬分液罐</w:t>
      </w:r>
      <w:r>
        <w:rPr>
          <w:rFonts w:hint="default" w:ascii="Times New Roman" w:hAnsi="Times New Roman" w:cs="Times New Roman"/>
          <w:bCs/>
          <w:color w:val="000000" w:themeColor="text1"/>
          <w:szCs w:val="24"/>
          <w:highlight w:val="none"/>
          <w14:textFill>
            <w14:solidFill>
              <w14:schemeClr w14:val="tx1"/>
            </w14:solidFill>
          </w14:textFill>
        </w:rPr>
        <w:t>和配套环保设施处理能力满足本项目需求，收集处理工艺在</w:t>
      </w:r>
      <w:r>
        <w:rPr>
          <w:rFonts w:hint="default" w:ascii="Times New Roman" w:hAnsi="Times New Roman" w:cs="Times New Roman"/>
          <w:color w:val="000000" w:themeColor="text1"/>
          <w:highlight w:val="none"/>
          <w14:textFill>
            <w14:solidFill>
              <w14:schemeClr w14:val="tx1"/>
            </w14:solidFill>
          </w14:textFill>
        </w:rPr>
        <w:t>川东北气田开发区块</w:t>
      </w:r>
      <w:r>
        <w:rPr>
          <w:rFonts w:hint="default" w:ascii="Times New Roman" w:hAnsi="Times New Roman" w:cs="Times New Roman"/>
          <w:bCs/>
          <w:color w:val="000000" w:themeColor="text1"/>
          <w:szCs w:val="24"/>
          <w:highlight w:val="none"/>
          <w14:textFill>
            <w14:solidFill>
              <w14:schemeClr w14:val="tx1"/>
            </w14:solidFill>
          </w14:textFill>
        </w:rPr>
        <w:t>已运行多年，效果稳定可靠，未发生过处理不佳导致环境污染的事故发生。因此，本项目试采期</w:t>
      </w:r>
      <w:r>
        <w:rPr>
          <w:rFonts w:hint="default" w:ascii="Times New Roman" w:hAnsi="Times New Roman" w:cs="Times New Roman"/>
          <w:bCs/>
          <w:color w:val="000000" w:themeColor="text1"/>
          <w:szCs w:val="24"/>
          <w:highlight w:val="none"/>
          <w:lang w:eastAsia="zh-CN"/>
          <w14:textFill>
            <w14:solidFill>
              <w14:schemeClr w14:val="tx1"/>
            </w14:solidFill>
          </w14:textFill>
        </w:rPr>
        <w:t>气田水（含初期压裂返排液）</w:t>
      </w:r>
      <w:r>
        <w:rPr>
          <w:rFonts w:hint="default" w:ascii="Times New Roman" w:hAnsi="Times New Roman" w:cs="Times New Roman"/>
          <w:bCs/>
          <w:color w:val="000000" w:themeColor="text1"/>
          <w:szCs w:val="24"/>
          <w:highlight w:val="none"/>
          <w14:textFill>
            <w14:solidFill>
              <w14:schemeClr w14:val="tx1"/>
            </w14:solidFill>
          </w14:textFill>
        </w:rPr>
        <w:t>不会对地表水环境造成不良影响。</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（2）非正常工况井下作业废水</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正常试采期，当地层堵塞时，为提高地层渗透率，需进行压裂酸化等作业，属于试采期非正常工况。根据类比调查，作业频次为1次/a，单井排放量为50m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/a，将废水用密闭罐车拉运至赵家坝污水处理站处理达标后经普光11井回注站回注。</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（3）生活污水影响分析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bookmarkStart w:id="281" w:name="_Hlk156573235"/>
      <w:r>
        <w:rPr>
          <w:rFonts w:hint="default" w:ascii="Times New Roman" w:hAnsi="Times New Roman" w:cs="Times New Roman"/>
          <w:bCs/>
          <w:color w:val="000000" w:themeColor="text1"/>
          <w:szCs w:val="24"/>
          <w:highlight w:val="none"/>
          <w14:textFill>
            <w14:solidFill>
              <w14:schemeClr w14:val="tx1"/>
            </w14:solidFill>
          </w14:textFill>
        </w:rPr>
        <w:t>本项目不新增工作人员，无新增生活污水产生，原P106集气站旁工作人员生活污水经站场化粪池处理后定期由密闭罐车拉运至周边生活污水处理厂处理</w:t>
      </w:r>
      <w:r>
        <w:rPr>
          <w:rFonts w:hint="default" w:ascii="Times New Roman" w:hAnsi="Times New Roman" w:cs="Times New Roman"/>
          <w:bCs/>
          <w:color w:val="000000" w:themeColor="text1"/>
          <w:highlight w:val="none"/>
          <w14:textFill>
            <w14:solidFill>
              <w14:schemeClr w14:val="tx1"/>
            </w14:solidFill>
          </w14:textFill>
        </w:rPr>
        <w:t>，不外排</w:t>
      </w:r>
      <w:bookmarkEnd w:id="281"/>
      <w:r>
        <w:rPr>
          <w:rFonts w:hint="default" w:ascii="Times New Roman" w:hAnsi="Times New Roman" w:cs="Times New Roman"/>
          <w:bCs/>
          <w:color w:val="000000" w:themeColor="text1"/>
          <w:szCs w:val="24"/>
          <w:highlight w:val="none"/>
          <w14:textFill>
            <w14:solidFill>
              <w14:schemeClr w14:val="tx1"/>
            </w14:solidFill>
          </w14:textFill>
        </w:rPr>
        <w:t>。</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综上所述，在严格落实各项污染防治措施的前提下，本项目试采期对周围地表水环境影响较小。</w:t>
      </w:r>
    </w:p>
    <w:p>
      <w:pPr>
        <w:pStyle w:val="4"/>
        <w:spacing w:before="120"/>
        <w:ind w:left="480" w:leftChars="0" w:firstLineChars="0"/>
        <w:rPr>
          <w:rFonts w:hint="default" w:ascii="Times New Roman" w:hAnsi="Times New Roman" w:cs="Times New Roman"/>
          <w:color w:val="000000" w:themeColor="text1"/>
          <w:highlight w:val="none"/>
          <w14:textFill>
            <w14:solidFill>
              <w14:schemeClr w14:val="tx1"/>
            </w14:solidFill>
          </w14:textFill>
        </w:rPr>
      </w:pPr>
      <w:bookmarkStart w:id="282" w:name="_Toc120173158"/>
      <w:r>
        <w:rPr>
          <w:rFonts w:hint="default" w:ascii="Times New Roman" w:hAnsi="Times New Roman" w:cs="Times New Roman"/>
          <w:color w:val="000000" w:themeColor="text1"/>
          <w:highlight w:val="none"/>
          <w14:textFill>
            <w14:solidFill>
              <w14:schemeClr w14:val="tx1"/>
            </w14:solidFill>
          </w14:textFill>
        </w:rPr>
        <w:t>声环境影响分析</w:t>
      </w:r>
      <w:bookmarkEnd w:id="282"/>
    </w:p>
    <w:p>
      <w:pPr>
        <w:pStyle w:val="123"/>
        <w:rPr>
          <w:rFonts w:hint="default" w:ascii="Times New Roman" w:hAnsi="Times New Roman" w:cs="Times New Roman"/>
          <w:color w:val="000000" w:themeColor="text1"/>
          <w:highlight w:val="none"/>
          <w14:textFill>
            <w14:solidFill>
              <w14:schemeClr w14:val="tx1"/>
            </w14:solidFill>
          </w14:textFill>
        </w:rPr>
      </w:pPr>
      <w:bookmarkStart w:id="283" w:name="_Hlk87898866"/>
      <w:r>
        <w:rPr>
          <w:rFonts w:hint="default" w:ascii="Times New Roman" w:hAnsi="Times New Roman" w:cs="Times New Roman"/>
          <w:bCs/>
          <w:color w:val="000000" w:themeColor="text1"/>
          <w:szCs w:val="21"/>
          <w:highlight w:val="none"/>
          <w14:textFill>
            <w14:solidFill>
              <w14:schemeClr w14:val="tx1"/>
            </w14:solidFill>
          </w14:textFill>
        </w:rPr>
        <w:t>普光106-2H侧钻井</w:t>
      </w:r>
      <w:r>
        <w:rPr>
          <w:rFonts w:hint="default" w:ascii="Times New Roman" w:hAnsi="Times New Roman" w:cs="Times New Roman"/>
          <w:color w:val="000000" w:themeColor="text1"/>
          <w:highlight w:val="none"/>
          <w14:textFill>
            <w14:solidFill>
              <w14:schemeClr w14:val="tx1"/>
            </w14:solidFill>
          </w14:textFill>
        </w:rPr>
        <w:t>站内只新增井口采气装置、乙二醇加注装置、临时分酸分离装置及站内连接管线，拟建项目无其他天然气预处理设备，正常输气主要产生噪声为采气站节流阀等因节流或流速改变造成部件的机械振动而产生的一定噪声。站内输气管线经过地埋敷设，输气噪声对环境影响较小，可忽略不计。根据现场厂界噪声监测及类比普光气田同规模采气井项目，本项目正常生产时站场内设备（节流阀等）运行产生连续噪声，设备主要置于站场工艺装置区内，其噪声值约60dB（A）；在工艺设计中考虑了减少工艺管线的弯头、三通等管件，经过隔声、吸声等措施后，其噪声值降至55dB（A）以下，在不考虑空气吸收、声波反射，而只考虑声能随距离衰减的情况下，其噪声衰减公式如下：</w:t>
      </w:r>
    </w:p>
    <w:p>
      <w:pPr>
        <w:pStyle w:val="545"/>
        <w:ind w:firstLine="360"/>
        <w:rPr>
          <w:rFonts w:hint="default" w:ascii="Times New Roman" w:hAnsi="Times New Roman" w:eastAsia="宋体" w:cs="Times New Roman"/>
          <w:color w:val="000000" w:themeColor="text1"/>
          <w:highlight w:val="none"/>
          <w14:textFill>
            <w14:solidFill>
              <w14:schemeClr w14:val="tx1"/>
            </w14:solidFill>
          </w14:textFill>
        </w:rPr>
      </w:pPr>
      <m:oMathPara>
        <m:oMath>
          <m:sSub>
            <m:sSubPr>
              <m:ctrlPr>
                <w:rPr>
                  <w:rFonts w:hint="default" w:ascii="Cambria Math" w:hAnsi="Cambria Math" w:cs="Times New Roman"/>
                  <w:color w:val="000000" w:themeColor="text1"/>
                  <w:highlight w:val="none"/>
                  <w14:textFill>
                    <w14:solidFill>
                      <w14:schemeClr w14:val="tx1"/>
                    </w14:solidFill>
                  </w14:textFill>
                </w:rPr>
              </m:ctrlPr>
            </m:sSubPr>
            <m:e>
              <m:r>
                <m:rPr>
                  <m:sty m:val="bi"/>
                </m:rPr>
                <w:rPr>
                  <w:rFonts w:hint="default" w:ascii="Cambria Math" w:hAnsi="Cambria Math" w:cs="Times New Roman"/>
                  <w:color w:val="000000" w:themeColor="text1"/>
                  <w:highlight w:val="none"/>
                  <w14:textFill>
                    <w14:solidFill>
                      <w14:schemeClr w14:val="tx1"/>
                    </w14:solidFill>
                  </w14:textFill>
                </w:rPr>
                <m:t>L</m:t>
              </m:r>
              <m:ctrlPr>
                <w:rPr>
                  <w:rFonts w:hint="default" w:ascii="Cambria Math" w:hAnsi="Cambria Math" w:cs="Times New Roman"/>
                  <w:color w:val="000000" w:themeColor="text1"/>
                  <w:highlight w:val="none"/>
                  <w14:textFill>
                    <w14:solidFill>
                      <w14:schemeClr w14:val="tx1"/>
                    </w14:solidFill>
                  </w14:textFill>
                </w:rPr>
              </m:ctrlPr>
            </m:e>
            <m:sub>
              <m:r>
                <m:rPr>
                  <m:sty m:val="bi"/>
                </m:rPr>
                <w:rPr>
                  <w:rFonts w:hint="default" w:ascii="Cambria Math" w:hAnsi="Cambria Math" w:cs="Times New Roman"/>
                  <w:color w:val="000000" w:themeColor="text1"/>
                  <w:highlight w:val="none"/>
                  <w14:textFill>
                    <w14:solidFill>
                      <w14:schemeClr w14:val="tx1"/>
                    </w14:solidFill>
                  </w14:textFill>
                </w:rPr>
                <m:t>m</m:t>
              </m:r>
              <m:ctrlPr>
                <w:rPr>
                  <w:rFonts w:hint="default" w:ascii="Cambria Math" w:hAnsi="Cambria Math" w:cs="Times New Roman"/>
                  <w:color w:val="000000" w:themeColor="text1"/>
                  <w:highlight w:val="none"/>
                  <w14:textFill>
                    <w14:solidFill>
                      <w14:schemeClr w14:val="tx1"/>
                    </w14:solidFill>
                  </w14:textFill>
                </w:rPr>
              </m:ctrlPr>
            </m:sub>
          </m:sSub>
          <m:r>
            <m:rPr>
              <m:sty m:val="b"/>
            </m:rPr>
            <w:rPr>
              <w:rFonts w:hint="default" w:ascii="Cambria Math" w:hAnsi="Cambria Math" w:cs="Times New Roman"/>
              <w:color w:val="000000" w:themeColor="text1"/>
              <w:highlight w:val="none"/>
              <w14:textFill>
                <w14:solidFill>
                  <w14:schemeClr w14:val="tx1"/>
                </w14:solidFill>
              </w14:textFill>
            </w:rPr>
            <m:t>=</m:t>
          </m:r>
          <m:sSub>
            <m:sSubPr>
              <m:ctrlPr>
                <w:rPr>
                  <w:rFonts w:hint="default" w:ascii="Cambria Math" w:hAnsi="Cambria Math" w:cs="Times New Roman"/>
                  <w:color w:val="000000" w:themeColor="text1"/>
                  <w:highlight w:val="none"/>
                  <w14:textFill>
                    <w14:solidFill>
                      <w14:schemeClr w14:val="tx1"/>
                    </w14:solidFill>
                  </w14:textFill>
                </w:rPr>
              </m:ctrlPr>
            </m:sSubPr>
            <m:e>
              <m:r>
                <m:rPr>
                  <m:sty m:val="bi"/>
                </m:rPr>
                <w:rPr>
                  <w:rFonts w:hint="default" w:ascii="Cambria Math" w:hAnsi="Cambria Math" w:cs="Times New Roman"/>
                  <w:color w:val="000000" w:themeColor="text1"/>
                  <w:highlight w:val="none"/>
                  <w14:textFill>
                    <w14:solidFill>
                      <w14:schemeClr w14:val="tx1"/>
                    </w14:solidFill>
                  </w14:textFill>
                </w:rPr>
                <m:t>L</m:t>
              </m:r>
              <m:ctrlPr>
                <w:rPr>
                  <w:rFonts w:hint="default" w:ascii="Cambria Math" w:hAnsi="Cambria Math" w:cs="Times New Roman"/>
                  <w:color w:val="000000" w:themeColor="text1"/>
                  <w:highlight w:val="none"/>
                  <w14:textFill>
                    <w14:solidFill>
                      <w14:schemeClr w14:val="tx1"/>
                    </w14:solidFill>
                  </w14:textFill>
                </w:rPr>
              </m:ctrlPr>
            </m:e>
            <m:sub>
              <m:r>
                <m:rPr>
                  <m:sty m:val="b"/>
                </m:rPr>
                <w:rPr>
                  <w:rFonts w:hint="default" w:ascii="Cambria Math" w:hAnsi="Cambria Math" w:cs="Times New Roman"/>
                  <w:color w:val="000000" w:themeColor="text1"/>
                  <w:highlight w:val="none"/>
                  <w14:textFill>
                    <w14:solidFill>
                      <w14:schemeClr w14:val="tx1"/>
                    </w14:solidFill>
                  </w14:textFill>
                </w:rPr>
                <m:t>0</m:t>
              </m:r>
              <m:ctrlPr>
                <w:rPr>
                  <w:rFonts w:hint="default" w:ascii="Cambria Math" w:hAnsi="Cambria Math" w:cs="Times New Roman"/>
                  <w:color w:val="000000" w:themeColor="text1"/>
                  <w:highlight w:val="none"/>
                  <w14:textFill>
                    <w14:solidFill>
                      <w14:schemeClr w14:val="tx1"/>
                    </w14:solidFill>
                  </w14:textFill>
                </w:rPr>
              </m:ctrlPr>
            </m:sub>
          </m:sSub>
          <m:r>
            <m:rPr>
              <m:sty m:val="b"/>
            </m:rPr>
            <w:rPr>
              <w:rFonts w:hint="default" w:ascii="Cambria Math" w:hAnsi="Cambria Math" w:cs="Times New Roman"/>
              <w:color w:val="000000" w:themeColor="text1"/>
              <w:highlight w:val="none"/>
              <w14:textFill>
                <w14:solidFill>
                  <w14:schemeClr w14:val="tx1"/>
                </w14:solidFill>
              </w14:textFill>
            </w:rPr>
            <m:t>−20</m:t>
          </m:r>
          <m:func>
            <m:funcPr>
              <m:ctrlPr>
                <w:rPr>
                  <w:rFonts w:hint="default" w:ascii="Cambria Math" w:hAnsi="Cambria Math" w:cs="Times New Roman"/>
                  <w:color w:val="000000" w:themeColor="text1"/>
                  <w:highlight w:val="none"/>
                  <w14:textFill>
                    <w14:solidFill>
                      <w14:schemeClr w14:val="tx1"/>
                    </w14:solidFill>
                  </w14:textFill>
                </w:rPr>
              </m:ctrlPr>
            </m:funcPr>
            <m:fName>
              <m:r>
                <m:rPr>
                  <m:sty m:val="b"/>
                </m:rPr>
                <w:rPr>
                  <w:rFonts w:hint="default" w:ascii="Cambria Math" w:hAnsi="Cambria Math" w:cs="Times New Roman"/>
                  <w:color w:val="000000" w:themeColor="text1"/>
                  <w:highlight w:val="none"/>
                  <w14:textFill>
                    <w14:solidFill>
                      <w14:schemeClr w14:val="tx1"/>
                    </w14:solidFill>
                  </w14:textFill>
                </w:rPr>
                <m:t>lg</m:t>
              </m:r>
              <m:ctrlPr>
                <w:rPr>
                  <w:rFonts w:hint="default" w:ascii="Cambria Math" w:hAnsi="Cambria Math" w:cs="Times New Roman"/>
                  <w:color w:val="000000" w:themeColor="text1"/>
                  <w:highlight w:val="none"/>
                  <w14:textFill>
                    <w14:solidFill>
                      <w14:schemeClr w14:val="tx1"/>
                    </w14:solidFill>
                  </w14:textFill>
                </w:rPr>
              </m:ctrlPr>
            </m:fName>
            <m:e>
              <m:d>
                <m:dPr>
                  <m:ctrlPr>
                    <w:rPr>
                      <w:rFonts w:hint="default" w:ascii="Cambria Math" w:hAnsi="Cambria Math" w:cs="Times New Roman"/>
                      <w:color w:val="000000" w:themeColor="text1"/>
                      <w:highlight w:val="none"/>
                      <w14:textFill>
                        <w14:solidFill>
                          <w14:schemeClr w14:val="tx1"/>
                        </w14:solidFill>
                      </w14:textFill>
                    </w:rPr>
                  </m:ctrlPr>
                </m:dPr>
                <m:e>
                  <m:f>
                    <m:fPr>
                      <m:type m:val="lin"/>
                      <m:ctrlPr>
                        <w:rPr>
                          <w:rFonts w:hint="default" w:ascii="Cambria Math" w:hAnsi="Cambria Math" w:cs="Times New Roman"/>
                          <w:color w:val="000000" w:themeColor="text1"/>
                          <w:highlight w:val="none"/>
                          <w14:textFill>
                            <w14:solidFill>
                              <w14:schemeClr w14:val="tx1"/>
                            </w14:solidFill>
                          </w14:textFill>
                        </w:rPr>
                      </m:ctrlPr>
                    </m:fPr>
                    <m:num>
                      <m:r>
                        <m:rPr>
                          <m:sty m:val="bi"/>
                        </m:rPr>
                        <w:rPr>
                          <w:rFonts w:hint="default" w:ascii="Cambria Math" w:hAnsi="Cambria Math" w:cs="Times New Roman"/>
                          <w:color w:val="000000" w:themeColor="text1"/>
                          <w:highlight w:val="none"/>
                          <w14:textFill>
                            <w14:solidFill>
                              <w14:schemeClr w14:val="tx1"/>
                            </w14:solidFill>
                          </w14:textFill>
                        </w:rPr>
                        <m:t>r</m:t>
                      </m:r>
                      <m:ctrlPr>
                        <w:rPr>
                          <w:rFonts w:hint="default" w:ascii="Cambria Math" w:hAnsi="Cambria Math" w:cs="Times New Roman"/>
                          <w:color w:val="000000" w:themeColor="text1"/>
                          <w:highlight w:val="none"/>
                          <w14:textFill>
                            <w14:solidFill>
                              <w14:schemeClr w14:val="tx1"/>
                            </w14:solidFill>
                          </w14:textFill>
                        </w:rPr>
                      </m:ctrlPr>
                    </m:num>
                    <m:den>
                      <m:sSub>
                        <m:sSubPr>
                          <m:ctrlPr>
                            <w:rPr>
                              <w:rFonts w:hint="default" w:ascii="Cambria Math" w:hAnsi="Cambria Math" w:cs="Times New Roman"/>
                              <w:color w:val="000000" w:themeColor="text1"/>
                              <w:highlight w:val="none"/>
                              <w14:textFill>
                                <w14:solidFill>
                                  <w14:schemeClr w14:val="tx1"/>
                                </w14:solidFill>
                              </w14:textFill>
                            </w:rPr>
                          </m:ctrlPr>
                        </m:sSubPr>
                        <m:e>
                          <m:r>
                            <m:rPr>
                              <m:sty m:val="bi"/>
                            </m:rPr>
                            <w:rPr>
                              <w:rFonts w:hint="default" w:ascii="Cambria Math" w:hAnsi="Cambria Math" w:cs="Times New Roman"/>
                              <w:color w:val="000000" w:themeColor="text1"/>
                              <w:highlight w:val="none"/>
                              <w14:textFill>
                                <w14:solidFill>
                                  <w14:schemeClr w14:val="tx1"/>
                                </w14:solidFill>
                              </w14:textFill>
                            </w:rPr>
                            <m:t>r</m:t>
                          </m:r>
                          <m:ctrlPr>
                            <w:rPr>
                              <w:rFonts w:hint="default" w:ascii="Cambria Math" w:hAnsi="Cambria Math" w:cs="Times New Roman"/>
                              <w:color w:val="000000" w:themeColor="text1"/>
                              <w:highlight w:val="none"/>
                              <w14:textFill>
                                <w14:solidFill>
                                  <w14:schemeClr w14:val="tx1"/>
                                </w14:solidFill>
                              </w14:textFill>
                            </w:rPr>
                          </m:ctrlPr>
                        </m:e>
                        <m:sub>
                          <m:r>
                            <m:rPr>
                              <m:sty m:val="b"/>
                            </m:rPr>
                            <w:rPr>
                              <w:rFonts w:hint="default" w:ascii="Cambria Math" w:hAnsi="Cambria Math" w:cs="Times New Roman"/>
                              <w:color w:val="000000" w:themeColor="text1"/>
                              <w:highlight w:val="none"/>
                              <w14:textFill>
                                <w14:solidFill>
                                  <w14:schemeClr w14:val="tx1"/>
                                </w14:solidFill>
                              </w14:textFill>
                            </w:rPr>
                            <m:t>0</m:t>
                          </m:r>
                          <m:ctrlPr>
                            <w:rPr>
                              <w:rFonts w:hint="default" w:ascii="Cambria Math" w:hAnsi="Cambria Math" w:cs="Times New Roman"/>
                              <w:color w:val="000000" w:themeColor="text1"/>
                              <w:highlight w:val="none"/>
                              <w14:textFill>
                                <w14:solidFill>
                                  <w14:schemeClr w14:val="tx1"/>
                                </w14:solidFill>
                              </w14:textFill>
                            </w:rPr>
                          </m:ctrlPr>
                        </m:sub>
                      </m:sSub>
                      <m:ctrlPr>
                        <w:rPr>
                          <w:rFonts w:hint="default" w:ascii="Cambria Math" w:hAnsi="Cambria Math" w:cs="Times New Roman"/>
                          <w:color w:val="000000" w:themeColor="text1"/>
                          <w:highlight w:val="none"/>
                          <w14:textFill>
                            <w14:solidFill>
                              <w14:schemeClr w14:val="tx1"/>
                            </w14:solidFill>
                          </w14:textFill>
                        </w:rPr>
                      </m:ctrlPr>
                    </m:den>
                  </m:f>
                  <m:ctrlPr>
                    <w:rPr>
                      <w:rFonts w:hint="default" w:ascii="Cambria Math" w:hAnsi="Cambria Math" w:cs="Times New Roman"/>
                      <w:color w:val="000000" w:themeColor="text1"/>
                      <w:highlight w:val="none"/>
                      <w14:textFill>
                        <w14:solidFill>
                          <w14:schemeClr w14:val="tx1"/>
                        </w14:solidFill>
                      </w14:textFill>
                    </w:rPr>
                  </m:ctrlPr>
                </m:e>
              </m:d>
              <m:ctrlPr>
                <w:rPr>
                  <w:rFonts w:hint="default" w:ascii="Cambria Math" w:hAnsi="Cambria Math" w:cs="Times New Roman"/>
                  <w:color w:val="000000" w:themeColor="text1"/>
                  <w:highlight w:val="none"/>
                  <w14:textFill>
                    <w14:solidFill>
                      <w14:schemeClr w14:val="tx1"/>
                    </w14:solidFill>
                  </w14:textFill>
                </w:rPr>
              </m:ctrlPr>
            </m:e>
          </m:func>
        </m:oMath>
      </m:oMathPara>
    </w:p>
    <w:p>
      <w:pPr>
        <w:pStyle w:val="123"/>
        <w:rPr>
          <w:rFonts w:hint="default" w:ascii="Times New Roman" w:hAnsi="Times New Roman" w:cs="Times New Roman"/>
          <w:color w:val="000000" w:themeColor="text1"/>
          <w:highlight w:val="none"/>
          <w14:textFill>
            <w14:solidFill>
              <w14:schemeClr w14:val="tx1"/>
            </w14:solidFill>
          </w14:textFill>
        </w:rPr>
      </w:pPr>
      <m:oMath>
        <m:sSub>
          <m:sSubPr>
            <m:ctrlPr>
              <w:rPr>
                <w:rFonts w:hint="default" w:ascii="Cambria Math" w:hAnsi="Cambria Math" w:cs="Times New Roman"/>
                <w:color w:val="000000" w:themeColor="text1"/>
                <w:highlight w:val="none"/>
                <w14:textFill>
                  <w14:solidFill>
                    <w14:schemeClr w14:val="tx1"/>
                  </w14:solidFill>
                </w14:textFill>
              </w:rPr>
            </m:ctrlPr>
          </m:sSubPr>
          <m:e>
            <m:r>
              <m:rPr/>
              <w:rPr>
                <w:rFonts w:hint="default" w:ascii="Cambria Math" w:hAnsi="Cambria Math" w:cs="Times New Roman"/>
                <w:color w:val="000000" w:themeColor="text1"/>
                <w:highlight w:val="none"/>
                <w14:textFill>
                  <w14:solidFill>
                    <w14:schemeClr w14:val="tx1"/>
                  </w14:solidFill>
                </w14:textFill>
              </w:rPr>
              <m:t>L</m:t>
            </m:r>
            <m:ctrlPr>
              <w:rPr>
                <w:rFonts w:hint="default" w:ascii="Cambria Math" w:hAnsi="Cambria Math" w:cs="Times New Roman"/>
                <w:color w:val="000000" w:themeColor="text1"/>
                <w:highlight w:val="none"/>
                <w14:textFill>
                  <w14:solidFill>
                    <w14:schemeClr w14:val="tx1"/>
                  </w14:solidFill>
                </w14:textFill>
              </w:rPr>
            </m:ctrlPr>
          </m:e>
          <m:sub>
            <m:r>
              <m:rPr/>
              <w:rPr>
                <w:rFonts w:hint="default" w:ascii="Cambria Math" w:hAnsi="Cambria Math" w:cs="Times New Roman"/>
                <w:color w:val="000000" w:themeColor="text1"/>
                <w:highlight w:val="none"/>
                <w14:textFill>
                  <w14:solidFill>
                    <w14:schemeClr w14:val="tx1"/>
                  </w14:solidFill>
                </w14:textFill>
              </w:rPr>
              <m:t>m</m:t>
            </m:r>
            <m:ctrlPr>
              <w:rPr>
                <w:rFonts w:hint="default" w:ascii="Cambria Math" w:hAnsi="Cambria Math" w:cs="Times New Roman"/>
                <w:color w:val="000000" w:themeColor="text1"/>
                <w:highlight w:val="none"/>
                <w14:textFill>
                  <w14:solidFill>
                    <w14:schemeClr w14:val="tx1"/>
                  </w14:solidFill>
                </w14:textFill>
              </w:rPr>
            </m:ctrlPr>
          </m:sub>
        </m:sSub>
      </m:oMath>
      <w:r>
        <w:rPr>
          <w:rFonts w:hint="default" w:ascii="Times New Roman" w:hAnsi="Times New Roman" w:cs="Times New Roman"/>
          <w:color w:val="000000" w:themeColor="text1"/>
          <w:highlight w:val="none"/>
          <w14:textFill>
            <w14:solidFill>
              <w14:schemeClr w14:val="tx1"/>
            </w14:solidFill>
          </w14:textFill>
        </w:rPr>
        <w:t>——距离声源为r米处预测受声点噪声预测值，dB（A）；</w:t>
      </w:r>
    </w:p>
    <w:p>
      <w:pPr>
        <w:pStyle w:val="123"/>
        <w:rPr>
          <w:rFonts w:hint="default" w:ascii="Times New Roman" w:hAnsi="Times New Roman" w:cs="Times New Roman"/>
          <w:color w:val="000000" w:themeColor="text1"/>
          <w:highlight w:val="none"/>
          <w14:textFill>
            <w14:solidFill>
              <w14:schemeClr w14:val="tx1"/>
            </w14:solidFill>
          </w14:textFill>
        </w:rPr>
      </w:pPr>
      <m:oMath>
        <m:sSub>
          <m:sSubPr>
            <m:ctrlPr>
              <w:rPr>
                <w:rFonts w:hint="default" w:ascii="Cambria Math" w:hAnsi="Cambria Math" w:cs="Times New Roman"/>
                <w:color w:val="000000" w:themeColor="text1"/>
                <w:highlight w:val="none"/>
                <w14:textFill>
                  <w14:solidFill>
                    <w14:schemeClr w14:val="tx1"/>
                  </w14:solidFill>
                </w14:textFill>
              </w:rPr>
            </m:ctrlPr>
          </m:sSubPr>
          <m:e>
            <m:r>
              <m:rPr/>
              <w:rPr>
                <w:rFonts w:hint="default" w:ascii="Cambria Math" w:hAnsi="Cambria Math" w:cs="Times New Roman"/>
                <w:color w:val="000000" w:themeColor="text1"/>
                <w:highlight w:val="none"/>
                <w14:textFill>
                  <w14:solidFill>
                    <w14:schemeClr w14:val="tx1"/>
                  </w14:solidFill>
                </w14:textFill>
              </w:rPr>
              <m:t>L</m:t>
            </m:r>
            <m:ctrlPr>
              <w:rPr>
                <w:rFonts w:hint="default" w:ascii="Cambria Math" w:hAnsi="Cambria Math" w:cs="Times New Roman"/>
                <w:color w:val="000000" w:themeColor="text1"/>
                <w:highlight w:val="none"/>
                <w14:textFill>
                  <w14:solidFill>
                    <w14:schemeClr w14:val="tx1"/>
                  </w14:solidFill>
                </w14:textFill>
              </w:rPr>
            </m:ctrlPr>
          </m:e>
          <m:sub>
            <m:r>
              <m:rPr>
                <m:sty m:val="p"/>
              </m:rPr>
              <w:rPr>
                <w:rFonts w:hint="default" w:ascii="Cambria Math" w:hAnsi="Cambria Math" w:cs="Times New Roman"/>
                <w:color w:val="000000" w:themeColor="text1"/>
                <w:highlight w:val="none"/>
                <w14:textFill>
                  <w14:solidFill>
                    <w14:schemeClr w14:val="tx1"/>
                  </w14:solidFill>
                </w14:textFill>
              </w:rPr>
              <m:t>0</m:t>
            </m:r>
            <m:ctrlPr>
              <w:rPr>
                <w:rFonts w:hint="default" w:ascii="Cambria Math" w:hAnsi="Cambria Math" w:cs="Times New Roman"/>
                <w:color w:val="000000" w:themeColor="text1"/>
                <w:highlight w:val="none"/>
                <w14:textFill>
                  <w14:solidFill>
                    <w14:schemeClr w14:val="tx1"/>
                  </w14:solidFill>
                </w14:textFill>
              </w:rPr>
            </m:ctrlPr>
          </m:sub>
        </m:sSub>
      </m:oMath>
      <w:r>
        <w:rPr>
          <w:rFonts w:hint="default" w:ascii="Times New Roman" w:hAnsi="Times New Roman" w:cs="Times New Roman"/>
          <w:color w:val="000000" w:themeColor="text1"/>
          <w:highlight w:val="none"/>
          <w14:textFill>
            <w14:solidFill>
              <w14:schemeClr w14:val="tx1"/>
            </w14:solidFill>
          </w14:textFill>
        </w:rPr>
        <w:t>——距离声源为r</w:t>
      </w:r>
      <w:r>
        <w:rPr>
          <w:rFonts w:hint="default" w:ascii="Times New Roman" w:hAnsi="Times New Roman" w:cs="Times New Roman"/>
          <w:color w:val="000000" w:themeColor="text1"/>
          <w:highlight w:val="none"/>
          <w:vertAlign w:val="subscript"/>
          <w14:textFill>
            <w14:solidFill>
              <w14:schemeClr w14:val="tx1"/>
            </w14:solidFill>
          </w14:textFill>
        </w:rPr>
        <w:t>0</w:t>
      </w:r>
      <w:r>
        <w:rPr>
          <w:rFonts w:hint="default" w:ascii="Times New Roman" w:hAnsi="Times New Roman" w:cs="Times New Roman"/>
          <w:color w:val="000000" w:themeColor="text1"/>
          <w:highlight w:val="none"/>
          <w14:textFill>
            <w14:solidFill>
              <w14:schemeClr w14:val="tx1"/>
            </w14:solidFill>
          </w14:textFill>
        </w:rPr>
        <w:t>米处声源的总声级值，dB（A）；</w:t>
      </w:r>
    </w:p>
    <w:p>
      <w:pPr>
        <w:pStyle w:val="123"/>
        <w:rPr>
          <w:rFonts w:hint="default" w:ascii="Times New Roman" w:hAnsi="Times New Roman" w:cs="Times New Roman"/>
          <w:color w:val="000000" w:themeColor="text1"/>
          <w:highlight w:val="none"/>
          <w14:textFill>
            <w14:solidFill>
              <w14:schemeClr w14:val="tx1"/>
            </w14:solidFill>
          </w14:textFill>
        </w:rPr>
      </w:pPr>
      <m:oMath>
        <m:r>
          <m:rPr/>
          <w:rPr>
            <w:rFonts w:hint="default" w:ascii="Cambria Math" w:hAnsi="Cambria Math" w:cs="Times New Roman"/>
            <w:color w:val="000000" w:themeColor="text1"/>
            <w:highlight w:val="none"/>
            <w14:textFill>
              <w14:solidFill>
                <w14:schemeClr w14:val="tx1"/>
              </w14:solidFill>
            </w14:textFill>
          </w:rPr>
          <m:t>r</m:t>
        </m:r>
      </m:oMath>
      <w:r>
        <w:rPr>
          <w:rFonts w:hint="default" w:ascii="Times New Roman" w:hAnsi="Times New Roman" w:cs="Times New Roman"/>
          <w:color w:val="000000" w:themeColor="text1"/>
          <w:highlight w:val="none"/>
          <w14:textFill>
            <w14:solidFill>
              <w14:schemeClr w14:val="tx1"/>
            </w14:solidFill>
          </w14:textFill>
        </w:rPr>
        <w:t>——预测受声点距离声源的预测距离，m；</w:t>
      </w:r>
    </w:p>
    <w:p>
      <w:pPr>
        <w:pStyle w:val="123"/>
        <w:rPr>
          <w:rFonts w:hint="default" w:ascii="Times New Roman" w:hAnsi="Times New Roman" w:cs="Times New Roman"/>
          <w:color w:val="000000" w:themeColor="text1"/>
          <w:highlight w:val="none"/>
          <w14:textFill>
            <w14:solidFill>
              <w14:schemeClr w14:val="tx1"/>
            </w14:solidFill>
          </w14:textFill>
        </w:rPr>
      </w:pPr>
      <m:oMath>
        <m:sSub>
          <m:sSubPr>
            <m:ctrlPr>
              <w:rPr>
                <w:rFonts w:hint="default" w:ascii="Cambria Math" w:hAnsi="Cambria Math" w:cs="Times New Roman"/>
                <w:color w:val="000000" w:themeColor="text1"/>
                <w:highlight w:val="none"/>
                <w14:textFill>
                  <w14:solidFill>
                    <w14:schemeClr w14:val="tx1"/>
                  </w14:solidFill>
                </w14:textFill>
              </w:rPr>
            </m:ctrlPr>
          </m:sSubPr>
          <m:e>
            <m:r>
              <m:rPr/>
              <w:rPr>
                <w:rFonts w:hint="default" w:ascii="Cambria Math" w:hAnsi="Cambria Math" w:cs="Times New Roman"/>
                <w:color w:val="000000" w:themeColor="text1"/>
                <w:highlight w:val="none"/>
                <w14:textFill>
                  <w14:solidFill>
                    <w14:schemeClr w14:val="tx1"/>
                  </w14:solidFill>
                </w14:textFill>
              </w:rPr>
              <m:t>r</m:t>
            </m:r>
            <m:ctrlPr>
              <w:rPr>
                <w:rFonts w:hint="default" w:ascii="Cambria Math" w:hAnsi="Cambria Math" w:cs="Times New Roman"/>
                <w:color w:val="000000" w:themeColor="text1"/>
                <w:highlight w:val="none"/>
                <w14:textFill>
                  <w14:solidFill>
                    <w14:schemeClr w14:val="tx1"/>
                  </w14:solidFill>
                </w14:textFill>
              </w:rPr>
            </m:ctrlPr>
          </m:e>
          <m:sub>
            <m:r>
              <m:rPr>
                <m:sty m:val="p"/>
              </m:rPr>
              <w:rPr>
                <w:rFonts w:hint="default" w:ascii="Cambria Math" w:hAnsi="Cambria Math" w:cs="Times New Roman"/>
                <w:color w:val="000000" w:themeColor="text1"/>
                <w:highlight w:val="none"/>
                <w14:textFill>
                  <w14:solidFill>
                    <w14:schemeClr w14:val="tx1"/>
                  </w14:solidFill>
                </w14:textFill>
              </w:rPr>
              <m:t>0</m:t>
            </m:r>
            <m:ctrlPr>
              <w:rPr>
                <w:rFonts w:hint="default" w:ascii="Cambria Math" w:hAnsi="Cambria Math" w:cs="Times New Roman"/>
                <w:color w:val="000000" w:themeColor="text1"/>
                <w:highlight w:val="none"/>
                <w14:textFill>
                  <w14:solidFill>
                    <w14:schemeClr w14:val="tx1"/>
                  </w14:solidFill>
                </w14:textFill>
              </w:rPr>
            </m:ctrlPr>
          </m:sub>
        </m:sSub>
      </m:oMath>
      <w:r>
        <w:rPr>
          <w:rFonts w:hint="default" w:ascii="Times New Roman" w:hAnsi="Times New Roman" w:cs="Times New Roman"/>
          <w:color w:val="000000" w:themeColor="text1"/>
          <w:highlight w:val="none"/>
          <w14:textFill>
            <w14:solidFill>
              <w14:schemeClr w14:val="tx1"/>
            </w14:solidFill>
          </w14:textFill>
        </w:rPr>
        <w:t>——噪声受点r</w:t>
      </w:r>
      <w:r>
        <w:rPr>
          <w:rFonts w:hint="default" w:ascii="Times New Roman" w:hAnsi="Times New Roman" w:cs="Times New Roman"/>
          <w:color w:val="000000" w:themeColor="text1"/>
          <w:highlight w:val="none"/>
          <w:vertAlign w:val="subscript"/>
          <w14:textFill>
            <w14:solidFill>
              <w14:schemeClr w14:val="tx1"/>
            </w14:solidFill>
          </w14:textFill>
        </w:rPr>
        <w:t>0</w:t>
      </w:r>
      <w:r>
        <w:rPr>
          <w:rFonts w:hint="default" w:ascii="Times New Roman" w:hAnsi="Times New Roman" w:cs="Times New Roman"/>
          <w:color w:val="000000" w:themeColor="text1"/>
          <w:highlight w:val="none"/>
          <w14:textFill>
            <w14:solidFill>
              <w14:schemeClr w14:val="tx1"/>
            </w14:solidFill>
          </w14:textFill>
        </w:rPr>
        <w:t>处与噪声源的距离，m。</w:t>
      </w:r>
    </w:p>
    <w:bookmarkEnd w:id="283"/>
    <w:p>
      <w:pPr>
        <w:ind w:firstLine="199" w:firstLineChars="8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项目试采站</w:t>
      </w:r>
      <w:r>
        <w:rPr>
          <w:rFonts w:hint="default" w:ascii="Times New Roman" w:hAnsi="Times New Roman" w:cs="Times New Roman"/>
          <w:bCs/>
          <w:color w:val="000000" w:themeColor="text1"/>
          <w:highlight w:val="none"/>
          <w14:textFill>
            <w14:solidFill>
              <w14:schemeClr w14:val="tx1"/>
            </w14:solidFill>
          </w14:textFill>
        </w:rPr>
        <w:t>噪声影响预测结果见</w:t>
      </w:r>
      <w:r>
        <w:rPr>
          <w:rFonts w:hint="default" w:ascii="Times New Roman" w:hAnsi="Times New Roman" w:cs="Times New Roman"/>
          <w:bCs/>
          <w:color w:val="000000" w:themeColor="text1"/>
          <w:highlight w:val="none"/>
          <w14:textFill>
            <w14:solidFill>
              <w14:schemeClr w14:val="tx1"/>
            </w14:solidFill>
          </w14:textFill>
        </w:rPr>
        <w:fldChar w:fldCharType="begin"/>
      </w:r>
      <w:r>
        <w:rPr>
          <w:rFonts w:hint="default" w:ascii="Times New Roman" w:hAnsi="Times New Roman" w:cs="Times New Roman"/>
          <w:bCs/>
          <w:color w:val="000000" w:themeColor="text1"/>
          <w:highlight w:val="none"/>
          <w14:textFill>
            <w14:solidFill>
              <w14:schemeClr w14:val="tx1"/>
            </w14:solidFill>
          </w14:textFill>
        </w:rPr>
        <w:instrText xml:space="preserve"> REF _Ref142858666 \h  \* MERGEFORMAT </w:instrText>
      </w:r>
      <w:r>
        <w:rPr>
          <w:rFonts w:hint="default" w:ascii="Times New Roman" w:hAnsi="Times New Roman" w:cs="Times New Roman"/>
          <w:bCs/>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表5.2</w:t>
      </w:r>
      <w:r>
        <w:rPr>
          <w:rFonts w:hint="default" w:ascii="Times New Roman" w:hAnsi="Times New Roman" w:cs="Times New Roman"/>
          <w:color w:val="000000" w:themeColor="text1"/>
          <w:highlight w:val="none"/>
          <w14:textFill>
            <w14:solidFill>
              <w14:schemeClr w14:val="tx1"/>
            </w14:solidFill>
          </w14:textFill>
        </w:rPr>
        <w:noBreakHyphen/>
      </w:r>
      <w:r>
        <w:rPr>
          <w:rFonts w:hint="eastAsia" w:cs="Times New Roman"/>
          <w:color w:val="000000" w:themeColor="text1"/>
          <w:highlight w:val="none"/>
          <w:lang w:val="en-US" w:eastAsia="zh-CN"/>
          <w14:textFill>
            <w14:solidFill>
              <w14:schemeClr w14:val="tx1"/>
            </w14:solidFill>
          </w14:textFill>
        </w:rPr>
        <w:t>5</w:t>
      </w:r>
      <w:r>
        <w:rPr>
          <w:rFonts w:hint="default" w:ascii="Times New Roman" w:hAnsi="Times New Roman" w:cs="Times New Roman"/>
          <w:bCs/>
          <w:color w:val="000000" w:themeColor="text1"/>
          <w:highlight w:val="none"/>
          <w14:textFill>
            <w14:solidFill>
              <w14:schemeClr w14:val="tx1"/>
            </w14:solidFill>
          </w14:textFill>
        </w:rPr>
        <w:fldChar w:fldCharType="end"/>
      </w:r>
      <w:r>
        <w:rPr>
          <w:rFonts w:hint="default" w:ascii="Times New Roman" w:hAnsi="Times New Roman" w:cs="Times New Roman"/>
          <w:bCs/>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284" w:name="_Ref142858666"/>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bookmarkEnd w:id="284"/>
      <w:r>
        <w:rPr>
          <w:rFonts w:hint="eastAsia" w:cs="Times New Roman"/>
          <w:color w:val="000000" w:themeColor="text1"/>
          <w:highlight w:val="none"/>
          <w:lang w:val="en-US" w:eastAsia="zh-CN"/>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t xml:space="preserve"> </w:t>
      </w:r>
      <w:r>
        <w:rPr>
          <w:rFonts w:hint="default" w:ascii="Times New Roman" w:hAnsi="Times New Roman" w:cs="Times New Roman"/>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t>试采期噪声影响预测</w:t>
      </w:r>
    </w:p>
    <w:tbl>
      <w:tblPr>
        <w:tblStyle w:val="52"/>
        <w:tblW w:w="82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638"/>
        <w:gridCol w:w="709"/>
        <w:gridCol w:w="851"/>
        <w:gridCol w:w="708"/>
        <w:gridCol w:w="709"/>
        <w:gridCol w:w="709"/>
        <w:gridCol w:w="709"/>
        <w:gridCol w:w="708"/>
        <w:gridCol w:w="709"/>
        <w:gridCol w:w="709"/>
        <w:gridCol w:w="572"/>
        <w:gridCol w:w="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0" w:hRule="atLeast"/>
          <w:jc w:val="center"/>
        </w:trPr>
        <w:tc>
          <w:tcPr>
            <w:tcW w:w="491" w:type="dxa"/>
            <w:vMerge w:val="restart"/>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序号</w:t>
            </w:r>
          </w:p>
        </w:tc>
        <w:tc>
          <w:tcPr>
            <w:tcW w:w="638" w:type="dxa"/>
            <w:vMerge w:val="restart"/>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预测点位置</w:t>
            </w:r>
          </w:p>
        </w:tc>
        <w:tc>
          <w:tcPr>
            <w:tcW w:w="709" w:type="dxa"/>
            <w:vMerge w:val="restart"/>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X/m</w:t>
            </w:r>
          </w:p>
        </w:tc>
        <w:tc>
          <w:tcPr>
            <w:tcW w:w="851" w:type="dxa"/>
            <w:vMerge w:val="restart"/>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Y/m</w:t>
            </w:r>
          </w:p>
        </w:tc>
        <w:tc>
          <w:tcPr>
            <w:tcW w:w="1417" w:type="dxa"/>
            <w:gridSpan w:val="2"/>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现状值</w:t>
            </w:r>
          </w:p>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〔dB（A）〕</w:t>
            </w:r>
          </w:p>
        </w:tc>
        <w:tc>
          <w:tcPr>
            <w:tcW w:w="1418" w:type="dxa"/>
            <w:gridSpan w:val="2"/>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贡献值</w:t>
            </w:r>
          </w:p>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〔dB（A）〕</w:t>
            </w:r>
          </w:p>
        </w:tc>
        <w:tc>
          <w:tcPr>
            <w:tcW w:w="1417" w:type="dxa"/>
            <w:gridSpan w:val="2"/>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预测值</w:t>
            </w:r>
          </w:p>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〔dB（A）〕</w:t>
            </w:r>
          </w:p>
        </w:tc>
        <w:tc>
          <w:tcPr>
            <w:tcW w:w="1309" w:type="dxa"/>
            <w:gridSpan w:val="3"/>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91" w:type="dxa"/>
            <w:vMerge w:val="continue"/>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p>
        </w:tc>
        <w:tc>
          <w:tcPr>
            <w:tcW w:w="638" w:type="dxa"/>
            <w:vMerge w:val="continue"/>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p>
        </w:tc>
        <w:tc>
          <w:tcPr>
            <w:tcW w:w="709" w:type="dxa"/>
            <w:vMerge w:val="continue"/>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p>
        </w:tc>
        <w:tc>
          <w:tcPr>
            <w:tcW w:w="851" w:type="dxa"/>
            <w:vMerge w:val="continue"/>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p>
        </w:tc>
        <w:tc>
          <w:tcPr>
            <w:tcW w:w="708" w:type="dxa"/>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昼间</w:t>
            </w:r>
          </w:p>
        </w:tc>
        <w:tc>
          <w:tcPr>
            <w:tcW w:w="709" w:type="dxa"/>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夜间</w:t>
            </w:r>
          </w:p>
        </w:tc>
        <w:tc>
          <w:tcPr>
            <w:tcW w:w="709" w:type="dxa"/>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昼间</w:t>
            </w:r>
          </w:p>
        </w:tc>
        <w:tc>
          <w:tcPr>
            <w:tcW w:w="709" w:type="dxa"/>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夜间</w:t>
            </w:r>
          </w:p>
        </w:tc>
        <w:tc>
          <w:tcPr>
            <w:tcW w:w="708" w:type="dxa"/>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昼间</w:t>
            </w:r>
          </w:p>
        </w:tc>
        <w:tc>
          <w:tcPr>
            <w:tcW w:w="709" w:type="dxa"/>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夜间</w:t>
            </w:r>
          </w:p>
        </w:tc>
        <w:tc>
          <w:tcPr>
            <w:tcW w:w="709" w:type="dxa"/>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昼间</w:t>
            </w:r>
          </w:p>
        </w:tc>
        <w:tc>
          <w:tcPr>
            <w:tcW w:w="600" w:type="dxa"/>
            <w:gridSpan w:val="2"/>
            <w:tcMar>
              <w:left w:w="0" w:type="dxa"/>
              <w:right w:w="0" w:type="dxa"/>
            </w:tcMar>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cantSplit/>
          <w:jc w:val="center"/>
        </w:trPr>
        <w:tc>
          <w:tcPr>
            <w:tcW w:w="491"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638"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北侧场界</w:t>
            </w:r>
          </w:p>
        </w:tc>
        <w:tc>
          <w:tcPr>
            <w:tcW w:w="709"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64.21</w:t>
            </w:r>
          </w:p>
        </w:tc>
        <w:tc>
          <w:tcPr>
            <w:tcW w:w="851"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48.74</w:t>
            </w:r>
          </w:p>
        </w:tc>
        <w:tc>
          <w:tcPr>
            <w:tcW w:w="708"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52.00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48.00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w:t>
            </w:r>
          </w:p>
        </w:tc>
        <w:tc>
          <w:tcPr>
            <w:tcW w:w="708"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52.00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48.00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c>
          <w:tcPr>
            <w:tcW w:w="572"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cantSplit/>
          <w:jc w:val="center"/>
        </w:trPr>
        <w:tc>
          <w:tcPr>
            <w:tcW w:w="491"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w:t>
            </w:r>
          </w:p>
        </w:tc>
        <w:tc>
          <w:tcPr>
            <w:tcW w:w="638"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东侧场界</w:t>
            </w:r>
          </w:p>
        </w:tc>
        <w:tc>
          <w:tcPr>
            <w:tcW w:w="709"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24.12</w:t>
            </w:r>
          </w:p>
        </w:tc>
        <w:tc>
          <w:tcPr>
            <w:tcW w:w="851"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-26.61</w:t>
            </w:r>
          </w:p>
        </w:tc>
        <w:tc>
          <w:tcPr>
            <w:tcW w:w="708"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52.00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47.00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21</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21</w:t>
            </w:r>
          </w:p>
        </w:tc>
        <w:tc>
          <w:tcPr>
            <w:tcW w:w="708"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52.00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47.00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c>
          <w:tcPr>
            <w:tcW w:w="572"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cantSplit/>
          <w:jc w:val="center"/>
        </w:trPr>
        <w:tc>
          <w:tcPr>
            <w:tcW w:w="491"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w:t>
            </w:r>
          </w:p>
        </w:tc>
        <w:tc>
          <w:tcPr>
            <w:tcW w:w="638"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南侧场界</w:t>
            </w:r>
          </w:p>
        </w:tc>
        <w:tc>
          <w:tcPr>
            <w:tcW w:w="709"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-46.10</w:t>
            </w:r>
          </w:p>
        </w:tc>
        <w:tc>
          <w:tcPr>
            <w:tcW w:w="851"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-45.37</w:t>
            </w:r>
          </w:p>
        </w:tc>
        <w:tc>
          <w:tcPr>
            <w:tcW w:w="708"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52.00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48.00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w:t>
            </w:r>
          </w:p>
        </w:tc>
        <w:tc>
          <w:tcPr>
            <w:tcW w:w="708"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52.00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48.00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c>
          <w:tcPr>
            <w:tcW w:w="572"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cantSplit/>
          <w:jc w:val="center"/>
        </w:trPr>
        <w:tc>
          <w:tcPr>
            <w:tcW w:w="491"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w:t>
            </w:r>
          </w:p>
        </w:tc>
        <w:tc>
          <w:tcPr>
            <w:tcW w:w="638"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西侧场界</w:t>
            </w:r>
          </w:p>
        </w:tc>
        <w:tc>
          <w:tcPr>
            <w:tcW w:w="709" w:type="dxa"/>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-26.77</w:t>
            </w:r>
          </w:p>
        </w:tc>
        <w:tc>
          <w:tcPr>
            <w:tcW w:w="851"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27.98</w:t>
            </w:r>
          </w:p>
        </w:tc>
        <w:tc>
          <w:tcPr>
            <w:tcW w:w="708"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51.00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47.00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w:t>
            </w:r>
          </w:p>
        </w:tc>
        <w:tc>
          <w:tcPr>
            <w:tcW w:w="708"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51.00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47.00</w:t>
            </w:r>
          </w:p>
        </w:tc>
        <w:tc>
          <w:tcPr>
            <w:tcW w:w="709"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c>
          <w:tcPr>
            <w:tcW w:w="572" w:type="dxa"/>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cantSplit/>
          <w:jc w:val="center"/>
        </w:trPr>
        <w:tc>
          <w:tcPr>
            <w:tcW w:w="8222" w:type="dxa"/>
            <w:gridSpan w:val="12"/>
            <w:tcMar>
              <w:left w:w="0" w:type="dxa"/>
              <w:right w:w="0" w:type="dxa"/>
            </w:tcMar>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标准值：昼间60dB（A），夜间50dB（A）</w:t>
            </w:r>
          </w:p>
        </w:tc>
      </w:tr>
    </w:tbl>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76850" cy="3168650"/>
            <wp:effectExtent l="0" t="0" r="0" b="0"/>
            <wp:docPr id="1506376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76888" name="图片 1"/>
                    <pic:cNvPicPr>
                      <a:picLocks noChangeAspect="1"/>
                    </pic:cNvPicPr>
                  </pic:nvPicPr>
                  <pic:blipFill>
                    <a:blip r:embed="rId73"/>
                    <a:stretch>
                      <a:fillRect/>
                    </a:stretch>
                  </pic:blipFill>
                  <pic:spPr>
                    <a:xfrm>
                      <a:off x="0" y="0"/>
                      <a:ext cx="5276850" cy="3168650"/>
                    </a:xfrm>
                    <a:prstGeom prst="rect">
                      <a:avLst/>
                    </a:prstGeom>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285" w:name="_Ref142860021"/>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285"/>
      <w:r>
        <w:rPr>
          <w:rFonts w:hint="default" w:ascii="Times New Roman" w:hAnsi="Times New Roman" w:cs="Times New Roman"/>
          <w:color w:val="000000" w:themeColor="text1"/>
          <w:highlight w:val="none"/>
          <w14:textFill>
            <w14:solidFill>
              <w14:schemeClr w14:val="tx1"/>
            </w14:solidFill>
          </w14:textFill>
        </w:rPr>
        <w:t xml:space="preserve"> 试采期噪声影响等声级线图</w:t>
      </w:r>
    </w:p>
    <w:p>
      <w:pPr>
        <w:spacing w:before="120" w:beforeLines="50"/>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由上表及</w:t>
      </w:r>
      <w:r>
        <w:rPr>
          <w:rFonts w:hint="default" w:ascii="Times New Roman" w:hAnsi="Times New Roman" w:cs="Times New Roman"/>
          <w:bCs/>
          <w:color w:val="000000" w:themeColor="text1"/>
          <w:highlight w:val="none"/>
          <w14:textFill>
            <w14:solidFill>
              <w14:schemeClr w14:val="tx1"/>
            </w14:solidFill>
          </w14:textFill>
        </w:rPr>
        <w:fldChar w:fldCharType="begin"/>
      </w:r>
      <w:r>
        <w:rPr>
          <w:rFonts w:hint="default" w:ascii="Times New Roman" w:hAnsi="Times New Roman" w:cs="Times New Roman"/>
          <w:bCs/>
          <w:color w:val="000000" w:themeColor="text1"/>
          <w:highlight w:val="none"/>
          <w14:textFill>
            <w14:solidFill>
              <w14:schemeClr w14:val="tx1"/>
            </w14:solidFill>
          </w14:textFill>
        </w:rPr>
        <w:instrText xml:space="preserve"> REF _Ref142860021 \h  \* MERGEFORMAT </w:instrText>
      </w:r>
      <w:r>
        <w:rPr>
          <w:rFonts w:hint="default" w:ascii="Times New Roman" w:hAnsi="Times New Roman" w:cs="Times New Roman"/>
          <w:bCs/>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图5.2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bCs/>
          <w:color w:val="000000" w:themeColor="text1"/>
          <w:highlight w:val="none"/>
          <w14:textFill>
            <w14:solidFill>
              <w14:schemeClr w14:val="tx1"/>
            </w14:solidFill>
          </w14:textFill>
        </w:rPr>
        <w:fldChar w:fldCharType="end"/>
      </w:r>
      <w:r>
        <w:rPr>
          <w:rFonts w:hint="default" w:ascii="Times New Roman" w:hAnsi="Times New Roman" w:cs="Times New Roman"/>
          <w:bCs/>
          <w:color w:val="000000" w:themeColor="text1"/>
          <w:highlight w:val="none"/>
          <w14:textFill>
            <w14:solidFill>
              <w14:schemeClr w14:val="tx1"/>
            </w14:solidFill>
          </w14:textFill>
        </w:rPr>
        <w:t>可见，项目试采期通过采取低噪声设备、优化站场工艺、合理布局等综合防噪措施后，厂界噪声能满足《工业企业厂界环境噪声排放标准》（GB12348-2008）中2类标准。集气站周边200m范围内居民声环境预测结果能满足《声环境质量标准》（GB3096-2008）2类标准要求。由此可见，项目试采期不会对区域声环境造成噪声污染影响。</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highlight w:val="none"/>
          <w14:textFill>
            <w14:solidFill>
              <w14:schemeClr w14:val="tx1"/>
            </w14:solidFill>
          </w14:textFill>
        </w:rPr>
      </w:pPr>
      <w:bookmarkStart w:id="286" w:name="_Toc120173159"/>
      <w:r>
        <w:rPr>
          <w:rFonts w:hint="default" w:ascii="Times New Roman" w:hAnsi="Times New Roman" w:cs="Times New Roman"/>
          <w:color w:val="000000" w:themeColor="text1"/>
          <w:highlight w:val="none"/>
          <w14:textFill>
            <w14:solidFill>
              <w14:schemeClr w14:val="tx1"/>
            </w14:solidFill>
          </w14:textFill>
        </w:rPr>
        <w:t>固废影响分析</w:t>
      </w:r>
      <w:bookmarkEnd w:id="286"/>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0"/>
          <w:highlight w:val="none"/>
          <w14:textFill>
            <w14:solidFill>
              <w14:schemeClr w14:val="tx1"/>
            </w14:solidFill>
          </w14:textFill>
        </w:rPr>
      </w:pPr>
      <w:r>
        <w:rPr>
          <w:rFonts w:hint="default" w:ascii="Times New Roman" w:hAnsi="Times New Roman" w:cs="Times New Roman"/>
          <w:color w:val="000000" w:themeColor="text1"/>
          <w:szCs w:val="20"/>
          <w:highlight w:val="none"/>
          <w14:textFill>
            <w14:solidFill>
              <w14:schemeClr w14:val="tx1"/>
            </w14:solidFill>
          </w14:textFill>
        </w:rPr>
        <w:t>普光106-2H侧钻井站内只新增井口采气装置、乙二醇加注装置、临时分酸分离装置及站内连接管线，在正常运行过程中不会产生固体废物。本项目拟建工程内容不新增清管收发球装置，试采期无清管废渣产生。日常管理依托P106集气站进行，无新增定员，无生活垃圾产生</w:t>
      </w:r>
      <w:r>
        <w:rPr>
          <w:rFonts w:hint="default" w:ascii="Times New Roman" w:hAnsi="Times New Roman" w:cs="Times New Roman"/>
          <w:bCs/>
          <w:color w:val="000000" w:themeColor="text1"/>
          <w:highlight w:val="none"/>
          <w14:textFill>
            <w14:solidFill>
              <w14:schemeClr w14:val="tx1"/>
            </w14:solidFill>
          </w14:textFill>
        </w:rPr>
        <w:t>。</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highlight w:val="none"/>
          <w14:textFill>
            <w14:solidFill>
              <w14:schemeClr w14:val="tx1"/>
            </w14:solidFill>
          </w14:textFill>
        </w:rPr>
      </w:pPr>
      <w:bookmarkStart w:id="287" w:name="_Toc120173160"/>
      <w:r>
        <w:rPr>
          <w:rFonts w:hint="default" w:ascii="Times New Roman" w:hAnsi="Times New Roman" w:cs="Times New Roman"/>
          <w:color w:val="000000" w:themeColor="text1"/>
          <w:highlight w:val="none"/>
          <w14:textFill>
            <w14:solidFill>
              <w14:schemeClr w14:val="tx1"/>
            </w14:solidFill>
          </w14:textFill>
        </w:rPr>
        <w:t>土壤环境影响分析</w:t>
      </w:r>
      <w:bookmarkEnd w:id="287"/>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本项目试采期污染物主要通过地面漫流、垂直入渗途径污染土壤。对于火炬分液罐区，在事故情况下会造成污染物的</w:t>
      </w:r>
      <w:r>
        <w:rPr>
          <w:rFonts w:hint="default" w:ascii="Times New Roman" w:hAnsi="Times New Roman" w:cs="Times New Roman"/>
          <w:bCs/>
          <w:color w:val="000000" w:themeColor="text1"/>
          <w:highlight w:val="none"/>
          <w:lang w:eastAsia="zh-CN"/>
          <w14:textFill>
            <w14:solidFill>
              <w14:schemeClr w14:val="tx1"/>
            </w14:solidFill>
          </w14:textFill>
        </w:rPr>
        <w:t>泄漏</w:t>
      </w:r>
      <w:r>
        <w:rPr>
          <w:rFonts w:hint="default" w:ascii="Times New Roman" w:hAnsi="Times New Roman" w:cs="Times New Roman"/>
          <w:bCs/>
          <w:color w:val="000000" w:themeColor="text1"/>
          <w:highlight w:val="none"/>
          <w14:textFill>
            <w14:solidFill>
              <w14:schemeClr w14:val="tx1"/>
            </w14:solidFill>
          </w14:textFill>
        </w:rPr>
        <w:t>，通过地面漫流、垂直入渗途径污染土壤。</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本项目试采期对井身固井合格后运行，地层水不会从井筒泄漏进入土壤环境；</w:t>
      </w:r>
      <w:r>
        <w:rPr>
          <w:rFonts w:hint="default" w:ascii="Times New Roman" w:hAnsi="Times New Roman" w:cs="Times New Roman"/>
          <w:color w:val="000000" w:themeColor="text1"/>
          <w:szCs w:val="24"/>
          <w:highlight w:val="none"/>
          <w:lang w:eastAsia="zh-CN"/>
          <w14:textFill>
            <w14:solidFill>
              <w14:schemeClr w14:val="tx1"/>
            </w14:solidFill>
          </w14:textFill>
        </w:rPr>
        <w:t>气田水（含初期压裂返排液）</w:t>
      </w:r>
      <w:r>
        <w:rPr>
          <w:rFonts w:hint="default" w:ascii="Times New Roman" w:hAnsi="Times New Roman" w:cs="Times New Roman"/>
          <w:color w:val="000000" w:themeColor="text1"/>
          <w:szCs w:val="24"/>
          <w:highlight w:val="none"/>
          <w14:textFill>
            <w14:solidFill>
              <w14:schemeClr w14:val="tx1"/>
            </w14:solidFill>
          </w14:textFill>
        </w:rPr>
        <w:t>依托P106集气站设施进行暂存，并最终由罐车外运行处理；非正常工况井下作业废水用密闭罐车拉运至赵家坝污水处理站处理达标后经普光11井回注站回注；试采期</w:t>
      </w:r>
      <w:r>
        <w:rPr>
          <w:rFonts w:hint="eastAsia" w:cs="Times New Roman"/>
          <w:color w:val="000000" w:themeColor="text1"/>
          <w:szCs w:val="24"/>
          <w:highlight w:val="none"/>
          <w:lang w:val="en-US" w:eastAsia="zh-CN"/>
          <w14:textFill>
            <w14:solidFill>
              <w14:schemeClr w14:val="tx1"/>
            </w14:solidFill>
          </w14:textFill>
        </w:rPr>
        <w:t>依托P106集气站人员进行值守</w:t>
      </w:r>
      <w:r>
        <w:rPr>
          <w:rFonts w:hint="default" w:ascii="Times New Roman" w:hAnsi="Times New Roman" w:cs="Times New Roman"/>
          <w:color w:val="000000" w:themeColor="text1"/>
          <w:szCs w:val="24"/>
          <w:highlight w:val="none"/>
          <w14:textFill>
            <w14:solidFill>
              <w14:schemeClr w14:val="tx1"/>
            </w14:solidFill>
          </w14:textFill>
        </w:rPr>
        <w:t>，无</w:t>
      </w:r>
      <w:r>
        <w:rPr>
          <w:rFonts w:hint="eastAsia" w:cs="Times New Roman"/>
          <w:color w:val="000000" w:themeColor="text1"/>
          <w:szCs w:val="24"/>
          <w:highlight w:val="none"/>
          <w:lang w:val="en-US" w:eastAsia="zh-CN"/>
          <w14:textFill>
            <w14:solidFill>
              <w14:schemeClr w14:val="tx1"/>
            </w14:solidFill>
          </w14:textFill>
        </w:rPr>
        <w:t>新增</w:t>
      </w:r>
      <w:r>
        <w:rPr>
          <w:rFonts w:hint="default" w:ascii="Times New Roman" w:hAnsi="Times New Roman" w:cs="Times New Roman"/>
          <w:color w:val="000000" w:themeColor="text1"/>
          <w:szCs w:val="24"/>
          <w:highlight w:val="none"/>
          <w14:textFill>
            <w14:solidFill>
              <w14:schemeClr w14:val="tx1"/>
            </w14:solidFill>
          </w14:textFill>
        </w:rPr>
        <w:t>生活污水产生；除此之外，无其他废水产生，井站也无生产固废产生和堆放。同时</w:t>
      </w:r>
      <w:r>
        <w:rPr>
          <w:rFonts w:hint="default" w:ascii="Times New Roman" w:hAnsi="Times New Roman" w:cs="Times New Roman"/>
          <w:bCs/>
          <w:color w:val="000000" w:themeColor="text1"/>
          <w:highlight w:val="none"/>
          <w14:textFill>
            <w14:solidFill>
              <w14:schemeClr w14:val="tx1"/>
            </w14:solidFill>
          </w14:textFill>
        </w:rPr>
        <w:t>井场四周设置有排水沟与自然沟渠连接，便于疏导</w:t>
      </w:r>
      <w:r>
        <w:rPr>
          <w:rFonts w:hint="eastAsia" w:ascii="Times New Roman" w:hAnsi="Times New Roman" w:cs="Times New Roman"/>
          <w:bCs/>
          <w:color w:val="000000" w:themeColor="text1"/>
          <w:highlight w:val="none"/>
          <w:lang w:eastAsia="zh-CN"/>
          <w14:textFill>
            <w14:solidFill>
              <w14:schemeClr w14:val="tx1"/>
            </w14:solidFill>
          </w14:textFill>
        </w:rPr>
        <w:t>场地初期雨水</w:t>
      </w:r>
      <w:r>
        <w:rPr>
          <w:rFonts w:hint="default" w:ascii="Times New Roman" w:hAnsi="Times New Roman" w:cs="Times New Roman"/>
          <w:bCs/>
          <w:color w:val="000000" w:themeColor="text1"/>
          <w:highlight w:val="none"/>
          <w14:textFill>
            <w14:solidFill>
              <w14:schemeClr w14:val="tx1"/>
            </w14:solidFill>
          </w14:textFill>
        </w:rPr>
        <w:t>。此外，本项目试采期对方井周边采取重点防渗，工艺区进行一般防渗，火炬分液罐暂存地层水及时转运，污水发生</w:t>
      </w:r>
      <w:r>
        <w:rPr>
          <w:rFonts w:hint="default" w:ascii="Times New Roman" w:hAnsi="Times New Roman" w:cs="Times New Roman"/>
          <w:bCs/>
          <w:color w:val="000000" w:themeColor="text1"/>
          <w:highlight w:val="none"/>
          <w:lang w:eastAsia="zh-CN"/>
          <w14:textFill>
            <w14:solidFill>
              <w14:schemeClr w14:val="tx1"/>
            </w14:solidFill>
          </w14:textFill>
        </w:rPr>
        <w:t>泄漏</w:t>
      </w:r>
      <w:r>
        <w:rPr>
          <w:rFonts w:hint="default" w:ascii="Times New Roman" w:hAnsi="Times New Roman" w:cs="Times New Roman"/>
          <w:bCs/>
          <w:color w:val="000000" w:themeColor="text1"/>
          <w:highlight w:val="none"/>
          <w14:textFill>
            <w14:solidFill>
              <w14:schemeClr w14:val="tx1"/>
            </w14:solidFill>
          </w14:textFill>
        </w:rPr>
        <w:t>进入土壤环境可能性较小，在加强土壤环境的跟踪监测在后，试采期不会对土壤环境造成不利影响。</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同时调查了川东北地区诸多天然气勘探、钻采工程，试采期均未对土壤环境造成不利影响，因此本项目试采期对土壤环境影响很小，项目在试采期对土壤环境的影响是可以接受的。</w:t>
      </w:r>
    </w:p>
    <w:p>
      <w:pPr>
        <w:pStyle w:val="3"/>
        <w:keepNext/>
        <w:keepLines/>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000000" w:themeColor="text1"/>
          <w:szCs w:val="24"/>
          <w:highlight w:val="none"/>
          <w:lang w:eastAsia="zh-CN"/>
          <w14:textFill>
            <w14:solidFill>
              <w14:schemeClr w14:val="tx1"/>
            </w14:solidFill>
          </w14:textFill>
        </w:rPr>
      </w:pPr>
      <w:bookmarkStart w:id="288" w:name="_Toc24179"/>
      <w:bookmarkStart w:id="289" w:name="_Toc148654232"/>
      <w:r>
        <w:rPr>
          <w:rFonts w:hint="default" w:ascii="Times New Roman" w:hAnsi="Times New Roman" w:cs="Times New Roman"/>
          <w:color w:val="000000" w:themeColor="text1"/>
          <w:szCs w:val="24"/>
          <w:highlight w:val="none"/>
          <w:lang w:eastAsia="zh-CN"/>
          <w14:textFill>
            <w14:solidFill>
              <w14:schemeClr w14:val="tx1"/>
            </w14:solidFill>
          </w14:textFill>
        </w:rPr>
        <w:t>地下水环境影响分析</w:t>
      </w:r>
      <w:bookmarkEnd w:id="288"/>
      <w:bookmarkEnd w:id="289"/>
    </w:p>
    <w:p>
      <w:pPr>
        <w:pStyle w:val="4"/>
        <w:spacing w:before="0" w:beforeLines="0"/>
        <w:ind w:left="480" w:leftChars="0" w:firstLine="480" w:firstLineChars="0"/>
        <w:rPr>
          <w:rFonts w:hint="default" w:ascii="Times New Roman" w:hAnsi="Times New Roman" w:cs="Times New Roman"/>
          <w:b/>
          <w:color w:val="000000" w:themeColor="text1"/>
          <w:szCs w:val="24"/>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lang w:eastAsia="zh-CN"/>
          <w14:textFill>
            <w14:solidFill>
              <w14:schemeClr w14:val="tx1"/>
            </w14:solidFill>
          </w14:textFill>
        </w:rPr>
        <w:t>项目区水文地质条件</w:t>
      </w:r>
    </w:p>
    <w:p>
      <w:pPr>
        <w:pStyle w:val="21"/>
        <w:spacing w:before="0"/>
        <w:ind w:left="0" w:firstLine="480"/>
        <w:jc w:val="both"/>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1、地下水类型及补给、径流和排泄</w:t>
      </w:r>
    </w:p>
    <w:p>
      <w:pPr>
        <w:ind w:firstLine="480"/>
        <w:rPr>
          <w:rFonts w:hint="default" w:ascii="Times New Roman" w:hAnsi="Times New Roman" w:cs="Times New Roman"/>
          <w:color w:val="000000" w:themeColor="text1"/>
          <w:szCs w:val="24"/>
          <w:highlight w:val="none"/>
          <w14:textFill>
            <w14:solidFill>
              <w14:schemeClr w14:val="tx1"/>
            </w14:solidFill>
          </w14:textFill>
        </w:rPr>
      </w:pPr>
      <w:bookmarkStart w:id="290" w:name="_Toc14702819"/>
      <w:r>
        <w:rPr>
          <w:rFonts w:hint="default" w:ascii="Times New Roman" w:hAnsi="Times New Roman" w:cs="Times New Roman"/>
          <w:color w:val="000000" w:themeColor="text1"/>
          <w:szCs w:val="24"/>
          <w:highlight w:val="none"/>
          <w14:textFill>
            <w14:solidFill>
              <w14:schemeClr w14:val="tx1"/>
            </w14:solidFill>
          </w14:textFill>
        </w:rPr>
        <w:t>普光气田区含有地下水的层位主要有侏罗系蓬莱镇组、遂宁组和上沙溪庙组，地形不同、地表出露地层不同，其主要含有地下水的层位也不同。</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普光气田开发区内地下水类型包括松散堆积层孔隙水、碎屑岩裂隙孔隙水和基岩裂隙水，其中本项目所在区域以基岩裂隙水与碎屑岩类裂隙水为主。沟谷地段为地下水的排泄区。岩性变化地段和结构松散的卸荷岩体具有较强的透水性能，岩体的透水性具有随着深度的增加、卸荷的减弱而递减的一般规律。</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1）松散堆积层孔隙水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松散堆积层孔隙潜水主要赋存于河流阶地的细砂层中，基岩为相对隔水层，零星分布在赵家坝、清溪镇等地，即中河、后河、清溪河宽谷地带，含水层为第四系全新统，以冲积、冲洪积砂质粘土夹砾石为主，次为残坡积和崩坡积之砂质粘土，粘质砂土夹杂碎石块。泉流量一般小于0.1L/s，钻孔涌水量小于50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/d。分布零星，面积窄小，厚度薄（0～20m），地下水较为贫乏，不具有供水意义。一般属HCO</w:t>
      </w:r>
      <w:r>
        <w:rPr>
          <w:rFonts w:hint="default" w:ascii="Times New Roman" w:hAnsi="Times New Roman" w:cs="Times New Roman"/>
          <w:color w:val="000000" w:themeColor="text1"/>
          <w:szCs w:val="24"/>
          <w:highlight w:val="none"/>
          <w:vertAlign w:val="sub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--Ca（Na+K）水，矿化度0.356～0.392g/L，总硬度13～15德度，pH值5～6。</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2碎屑岩裂隙孔隙水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分布于黄金口背斜中段一带，主要由沙溪庙组地层组成，但在其中段核部有两处出露了千佛崖组地层，形成构造窗。其中南面的一处位于普光镇西北，长15km左右，宽1～2km；北面一处位于黄金口边，长10km，宽1～4km。由于该背斜穿插于北西向构造之中，并受到强烈的挤压，因而两翼岩层产状较陡，倾角达20°～50°。但向外围很快变缓，节理裂隙发育。在地貌上形成背斜山，千佛崖组地层裸露于轴部附近山岭一带，补给区位置较高，对于翼部地下水的补给、运移和富集有利，因而黄金口背斜翼部地下水比较丰富，特别是在千佛崖组和沙溪庙组接触带附近，有较丰富的层间承压水，泉水流量大于11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/d，单井涌水量可达100～500m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/d，含水层顶板埋深50～100m。</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由于含水层主要出露于山岭地带，补给区所处位置较高，地下水以接受大气降水的渗入补给为主，补给后地下水主要通过构造裂隙和层间裂隙沿岩层倾斜方向作垂向（倾向）运动。一部分地下水在地表侵蚀基准面之上以下降泉的形式排泄，一部分向深部运移、贮集，并作水平（走向）运动。在含水层被沟谷切割的地段，可以接受地表水的补给，地下水运动的总趋势是由北东向南西方向径流。地下水化学类型为重碳酸钙镁型和重碳酸硫酸钙镁型，矿化度0.2g/L左右，总硬度0.8～6.5德度，pH值6～7。</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3）基岩裂隙水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此类型在气田区广泛分布，本项目区也属于此类型，按裂隙性质，地下水的富存条件可分为构造裂隙水和风化带网状裂隙水两大亚类。</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A</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构造裂隙水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构造裂隙水主要分布在侏罗系蓬莱镇组（J</w:t>
      </w:r>
      <w:r>
        <w:rPr>
          <w:rFonts w:hint="default" w:ascii="Times New Roman" w:hAnsi="Times New Roman" w:cs="Times New Roman"/>
          <w:color w:val="000000" w:themeColor="text1"/>
          <w:szCs w:val="24"/>
          <w:highlight w:val="none"/>
          <w:vertAlign w:val="sub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p</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）、下白垩统苍溪组（K</w:t>
      </w:r>
      <w:r>
        <w:rPr>
          <w:rFonts w:hint="default" w:ascii="Times New Roman" w:hAnsi="Times New Roman" w:cs="Times New Roman"/>
          <w:color w:val="000000" w:themeColor="text1"/>
          <w:szCs w:val="24"/>
          <w:highlight w:val="none"/>
          <w:vertAlign w:val="subscript"/>
          <w14:textFill>
            <w14:solidFill>
              <w14:schemeClr w14:val="tx1"/>
            </w14:solidFill>
          </w14:textFill>
        </w:rPr>
        <w:t>1</w:t>
      </w:r>
      <w:r>
        <w:rPr>
          <w:rFonts w:hint="default" w:ascii="Times New Roman" w:hAnsi="Times New Roman" w:cs="Times New Roman"/>
          <w:color w:val="000000" w:themeColor="text1"/>
          <w:szCs w:val="24"/>
          <w:highlight w:val="none"/>
          <w14:textFill>
            <w14:solidFill>
              <w14:schemeClr w14:val="tx1"/>
            </w14:solidFill>
          </w14:textFill>
        </w:rPr>
        <w:t>c）、白龙组（K</w:t>
      </w:r>
      <w:r>
        <w:rPr>
          <w:rFonts w:hint="default" w:ascii="Times New Roman" w:hAnsi="Times New Roman" w:cs="Times New Roman"/>
          <w:color w:val="000000" w:themeColor="text1"/>
          <w:szCs w:val="24"/>
          <w:highlight w:val="none"/>
          <w:vertAlign w:val="subscript"/>
          <w14:textFill>
            <w14:solidFill>
              <w14:schemeClr w14:val="tx1"/>
            </w14:solidFill>
          </w14:textFill>
        </w:rPr>
        <w:t>1</w:t>
      </w:r>
      <w:r>
        <w:rPr>
          <w:rFonts w:hint="default" w:ascii="Times New Roman" w:hAnsi="Times New Roman" w:cs="Times New Roman"/>
          <w:color w:val="000000" w:themeColor="text1"/>
          <w:szCs w:val="24"/>
          <w:highlight w:val="none"/>
          <w14:textFill>
            <w14:solidFill>
              <w14:schemeClr w14:val="tx1"/>
            </w14:solidFill>
          </w14:textFill>
        </w:rPr>
        <w:t>b），岩性主要是紫红色泥岩、粉砂质泥岩与厚至块状细粒长石、石英砂岩互层，上侏罗统蓬莱镇组上段和的砂岩和泥岩之不等厚互层组成，一般以砂岩为主要含水层，且为双层结构（即上部以浅层潜水为主，下部以承压水为主）的含水特征，以碎屑岩裂隙孔隙水－层间承压水为主。地下水位埋深一般小于20m，含水层顶板埋深一般小于50m。地下径流模数0.5～1L/（s·km</w:t>
      </w:r>
      <w:r>
        <w:rPr>
          <w:rFonts w:hint="default" w:ascii="Times New Roman" w:hAnsi="Times New Roman" w:cs="Times New Roman"/>
          <w:color w:val="000000" w:themeColor="text1"/>
          <w:szCs w:val="24"/>
          <w:highlight w:val="none"/>
          <w:vertAlign w:val="super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），钻孔涌水量一般可达100～500m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/d，属于中等富水地带。</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 xml:space="preserve">水质以重碳酸钠型和重碳酸钙型为主，矿化度0.1～0.5g/L，总硬度为0.5～10德度，pH值为7.5～9。泉流量一般在0.1～1L/s之间。 </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B</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风化带网状裂隙水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风化带网状裂隙水主要分布于普光气田区西部、西南部，地下水为潜水，主要赋存于沙溪庙组和遂宁组地层中浅部风化网状裂隙发育地带。普光气田区西部、西南相对高差较小，故侵蚀作用较弱，对风化带发育比较有利，风化带发育深度一般为0～10m。由于风化带厚度较薄并因发育不均匀呈断续分布，一般不能形成连续分布的统一含水层，其地下水的补给条件和赋存条件比较差，表现为富水性弱和水量一般较为贫乏。泉流量一般在0.01～0.1L/s，地下径流模数0.1～0.5L/（s·km</w:t>
      </w:r>
      <w:r>
        <w:rPr>
          <w:rFonts w:hint="default" w:ascii="Times New Roman" w:hAnsi="Times New Roman" w:cs="Times New Roman"/>
          <w:color w:val="000000" w:themeColor="text1"/>
          <w:szCs w:val="24"/>
          <w:highlight w:val="none"/>
          <w:vertAlign w:val="super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），钻孔涌水量多小于50m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/d。因此，虽然通常可供分散的独家小户居民用水之需，但遇干旱季节，则常有枯竭之忧。</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水质一般为重碳酸钙型或重碳酸钙镁型水，矿化度0.1～0.3g/L，总硬度在8 ～13德度，pH值6.5～7.5。</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普光气田区的基岩裂隙水由于地质、地貌条件不利于大气降水渗入补给，故该地区地下水属于就地补给就近排泄的浅层潜水。泉水多出露在砂岩底部与泥岩接触面附近，说明各含水层之间，一般不发生水力联系。</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②地下水赋存特征及补径排关系</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基岩裂隙水与碎屑岩类裂隙水广泛分布全区，地表出露较常见，井、泉可见，为当地居民之饮用水源，一般埋深较浅（10～200m），几乎都产出在风化带影响范围之内。含水层的埋藏特点以及补给、径流、排泄条件，决定区内地下水的水质、水量。地下水主要赋存特征如下：</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A</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风化带网状裂隙水分布十分广泛</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地下水储水性质及埋藏条件，本区基岩裂隙水皆埋藏于浅部砂、泥岩之风化带中，以砂岩裂隙和泥岩网状微细裂隙储集为主，孔隙储集次之，局部地区兼有溶蚀孔隙裂隙储水。多属潜水类型，部分微具承压。其分布相当广泛，无论是田边地角、丘陵谷旁，凡有汇水条件的地方均可见及，但主要还是位于河谷与丘间汇水面积较大之洼地，并形成相对富集带。</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B</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各地段富水性一般较差，水量极不均匀</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据1：20万区域水文地质普查报告统计，在广大红层丘陵区，60%以上的泉水流量在0.05L/s以下，超过0.1L/s的大泉仅占16%，其中最大的只达0.15L/s左右。80%以上的地区单孔涌水量在100t/d以下，其中单孔涌水量小于30t/d的地区30%左右。这种不均匀性在区域上的表现通常是贫中有富，即在广大贫水地区存在着一些相对富水地段。而这些富水地段的泉水流量一般为0.105～0.15L/s，钻孔涌水量100～1000t/d，其面积一般只占基岩裂隙水地区的10%～15%。另外，这种不均匀性还表现在同一局部地区或同一含水层富水性的悬殊上，这大概正是基岩风化裂隙水的特点。由此可见，富水地段并非井井富水，贫水地段并非井井贫水，水量多少实际上与具体井位的选择有很大关系；即使在同一含水层中，由于岩性、裂隙发育程度的变化，其含水性在不同的井、孔中也可能相差十分悬殊。</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C地下水位高，埋深浅，淡水带厚度通常较薄</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区基岩裂隙水一般为潜水，其埋深80%以上的在0～5m之间，尤以0～3m为多。但在上沙溪庙组分布的丘陵区，也有水位较深者。另外，在裂隙潜水广泛分布的背景下，亦有时可见局部承压水出现。究其原因主要是与覆盖层性质有关，即在以遂宁组泥岩为含水层的宽谷丘陵区，不仅覆盖层以第四系粘性土为主，而且基岩顶部强风化层在地下水作用下也多强烈泥化，而具有隔水性。这种由二者所共同组成沟谷中的隔水层，势必会使浅层地下水具有一定的承压性质。另一种原因则可能与局部构造因素有关，即它们或许正处于背斜倾角由陡变缓的倾末端或转折端。</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D</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地下水补给、径流、排泄条件良好，动态不稳定</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浅层地下水是可供饮用和灌溉的优良淡矿化水，其淡水带深度一般不大，风化裂隙带发育深度一般在20～30m，地下水位埋深在沟谷地带一般为3～5m，丘坡下部一般6～9m，井深20m左右一般可揭露主要潜水含水层。因向下部多迅速转为微咸水、咸水，以至盐卤水所接替。淡水带深度，即咸、淡水界面埋藏深度，因受地下水径流条件控制，表现出周边深，盆内浅的规律。盆地腹心，以沙溪庙组（J</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s）、遂宁组（J</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sn）为主，组成的浅丘区，地下水交替条件差，咸淡水界面埋深一般50m左右，甚或小于50m。向外围低山丘陵区，随着径流条件变化，渐增至50～100m，100～200m。接近盆缘地区，深度大于200m。本项目区可利用地下水淡水深度在100～200m。</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区内含水层主要接受大气降雨补给，该类地下水主要依靠大气降水补给。因评价区内地形坡降较大，地表径流条件好，大气降水多以面流方式排泄，少量沿地表岩土层裂隙下渗并径流补给地下水。项目区含水层接受补给后，主要由项目区西北向东南径流，于地势较低及构造有利位置以泉的形式出露，或呈泄流的方式排泄至评价区最低排泄基准面中河。经调查，当地地下水水质良好，无原生水文地质环境问题。</w:t>
      </w:r>
    </w:p>
    <w:p>
      <w:pPr>
        <w:pStyle w:val="21"/>
        <w:spacing w:before="0"/>
        <w:ind w:left="0" w:firstLine="480"/>
        <w:jc w:val="both"/>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2、地下水开发利用现状</w:t>
      </w:r>
      <w:bookmarkEnd w:id="290"/>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经调查，评价区内无集中地下水水源地，评价区内基本无居民水井分布，居民用水主要为山泉水，地下水开发利用度低。</w:t>
      </w:r>
    </w:p>
    <w:p>
      <w:pPr>
        <w:pStyle w:val="21"/>
        <w:spacing w:before="0"/>
        <w:ind w:left="0" w:firstLine="480"/>
        <w:jc w:val="both"/>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bookmarkStart w:id="291" w:name="_Toc14702820"/>
      <w:bookmarkStart w:id="292" w:name="_Toc498501600"/>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3、环境水文地质调查</w:t>
      </w:r>
      <w:bookmarkEnd w:id="291"/>
      <w:bookmarkEnd w:id="292"/>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按照地下水环境影响评价导则，针对本项目特征，本次调查包括：①原生水文地质问题调查；②地下水污染源分布及类型调查。</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bookmarkStart w:id="293" w:name="_Toc14702821"/>
      <w:r>
        <w:rPr>
          <w:rFonts w:hint="default" w:ascii="Times New Roman" w:hAnsi="Times New Roman" w:cs="Times New Roman"/>
          <w:b/>
          <w:color w:val="000000" w:themeColor="text1"/>
          <w:kern w:val="2"/>
          <w:highlight w:val="none"/>
          <w:lang w:eastAsia="zh-CN"/>
          <w14:textFill>
            <w14:solidFill>
              <w14:schemeClr w14:val="tx1"/>
            </w14:solidFill>
          </w14:textFill>
        </w:rPr>
        <w:t>（1）原生水文地质问题调查</w:t>
      </w:r>
      <w:bookmarkEnd w:id="293"/>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根据评价区下水水质监测结果，本项目区地下水属于低矿化度淡水，水质情况尚可；根据相关资料及调查访问，评价区未出现地方病等与地下水相关的环境问题。</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bookmarkStart w:id="294" w:name="_Toc14702822"/>
      <w:r>
        <w:rPr>
          <w:rFonts w:hint="default" w:ascii="Times New Roman" w:hAnsi="Times New Roman" w:cs="Times New Roman"/>
          <w:b/>
          <w:color w:val="000000" w:themeColor="text1"/>
          <w:kern w:val="2"/>
          <w:highlight w:val="none"/>
          <w:lang w:eastAsia="zh-CN"/>
          <w14:textFill>
            <w14:solidFill>
              <w14:schemeClr w14:val="tx1"/>
            </w14:solidFill>
          </w14:textFill>
        </w:rPr>
        <w:t>（2）地下水污染源调查</w:t>
      </w:r>
      <w:bookmarkEnd w:id="294"/>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根据现场调查，评价范围内主要地下水污染源为：分散居民农业生产及生活污水对地下水水质的扰动。</w:t>
      </w:r>
    </w:p>
    <w:p>
      <w:pPr>
        <w:pStyle w:val="4"/>
        <w:spacing w:before="120"/>
        <w:ind w:left="480" w:leftChars="0" w:firstLine="480" w:firstLineChars="0"/>
        <w:rPr>
          <w:rFonts w:hint="default" w:ascii="Times New Roman" w:hAnsi="Times New Roman" w:cs="Times New Roman"/>
          <w:b/>
          <w:color w:val="000000" w:themeColor="text1"/>
          <w:szCs w:val="24"/>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lang w:eastAsia="zh-CN"/>
          <w14:textFill>
            <w14:solidFill>
              <w14:schemeClr w14:val="tx1"/>
            </w14:solidFill>
          </w14:textFill>
        </w:rPr>
        <w:t>地下水环境功能与环境保护目标</w:t>
      </w:r>
    </w:p>
    <w:p>
      <w:pPr>
        <w:pStyle w:val="21"/>
        <w:spacing w:before="0"/>
        <w:ind w:left="0" w:firstLine="480"/>
        <w:jc w:val="both"/>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1、地下水功能划分</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确定评价区地下水环境的主要功能是分析地下水环境影响、布置工作重点的重要工作之一。地下水系统是一个具有综合服务功能的开放系统，是维持社会经济发展的重要供水水源，也是维持生态环境系统稳定的重要因素。本研究确定工程区地下水环境功能从两个方面进行：依据《全国地下水功能区划分技术大纲》的要求和规定、根据实地调查的本项目工程区的地下水环境状况。</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（1）地下水功能及其划分</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地下水功能是指地下水的水质和水量及其在空间和时间上的变化对人类社会和环境所产生的作用或效应，它由地下水的资源功能、生态环境功能和地质环境功能组成。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1）地下水的资源功能是指具备一定的补给、储存和更新条件的地下水资源供给保障作用或效应。为了保持地下水的资源供给功能，首先在水量上，地下水要得到可持续的稳定补给，这样才能保障可持续开发。</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2）地下水的生态功能是指地下水系统对陆表植被或湖泊、湿地或土地质量良性维持的作用或效应，如果地下水系统发生变化，则生态环境出现相应的改变。地表水生态系统（河道基流、湿地、泉水等）和陆地非地带性植被都需要地下水的补给和调节。地下水位下降和水质的恶化对地表生态系统会带来严重影响。</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3）地下水的地质环境功能是指地下水的地质安全保障功能，是指地下水系统对其所赋存的地质环境稳定性所具有支撑和保护的作用或效应，如果地下水系统发生变化，则地质环境出现相应的改变。</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（2）地下水环境调查</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通过对项目区地下水、地表水、居民用水及环境状况调查，本项目位于四川省达州市宣汉县普光镇北斗村，评价区内有居民分布，均为饮用的山泉水，经山上水池收集后分散供周边居民使用，平均约1~5户使用1处泉水</w:t>
      </w:r>
      <w:r>
        <w:rPr>
          <w:rFonts w:hint="default" w:ascii="Times New Roman" w:hAnsi="Times New Roman" w:cs="Times New Roman"/>
          <w:color w:val="000000" w:themeColor="text1"/>
          <w:highlight w:val="none"/>
          <w:lang w:eastAsia="zh-CN"/>
          <w14:textFill>
            <w14:solidFill>
              <w14:schemeClr w14:val="tx1"/>
            </w14:solidFill>
          </w14:textFill>
        </w:rPr>
        <w:t>。</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综上，根据《全国地下水功能区划分技术大纲》的要求和实地调查评价区地下水环境状况，本项目评价区地下水功能为供水水源资源功能。</w:t>
      </w:r>
    </w:p>
    <w:p>
      <w:pPr>
        <w:pStyle w:val="21"/>
        <w:spacing w:before="0"/>
        <w:ind w:left="0" w:firstLine="480"/>
        <w:jc w:val="both"/>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2、地下水环境保护目标</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根据外环境调查，结合项目场地所处水文地质条件，区域地下水总体流向为西北至东南，排泄至中河。项目施工可能受影响的含水层为</w:t>
      </w:r>
      <w:r>
        <w:rPr>
          <w:rFonts w:hint="default" w:ascii="Times New Roman" w:hAnsi="Times New Roman" w:cs="Times New Roman"/>
          <w:color w:val="000000" w:themeColor="text1"/>
          <w:highlight w:val="none"/>
          <w:lang w:eastAsia="zh-CN"/>
          <w14:textFill>
            <w14:solidFill>
              <w14:schemeClr w14:val="tx1"/>
            </w14:solidFill>
          </w14:textFill>
        </w:rPr>
        <w:t>基岩裂隙水与碎屑岩类裂隙水</w:t>
      </w:r>
      <w:r>
        <w:rPr>
          <w:rFonts w:hint="default" w:ascii="Times New Roman" w:hAnsi="Times New Roman" w:cs="Times New Roman"/>
          <w:bCs/>
          <w:color w:val="000000" w:themeColor="text1"/>
          <w:kern w:val="2"/>
          <w:highlight w:val="none"/>
          <w:lang w:eastAsia="zh-CN"/>
          <w14:textFill>
            <w14:solidFill>
              <w14:schemeClr w14:val="tx1"/>
            </w14:solidFill>
          </w14:textFill>
        </w:rPr>
        <w:t>。本项目地下水环境保护目标见前文“2.9.1外环境关系”。</w:t>
      </w:r>
    </w:p>
    <w:p>
      <w:pPr>
        <w:pStyle w:val="4"/>
        <w:spacing w:before="120"/>
        <w:ind w:left="480" w:leftChars="0" w:firstLine="480" w:firstLineChars="0"/>
        <w:jc w:val="both"/>
        <w:rPr>
          <w:rFonts w:hint="default" w:ascii="Times New Roman" w:hAnsi="Times New Roman" w:cs="Times New Roman"/>
          <w:b/>
          <w:color w:val="000000" w:themeColor="text1"/>
          <w:szCs w:val="24"/>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lang w:eastAsia="zh-CN"/>
          <w14:textFill>
            <w14:solidFill>
              <w14:schemeClr w14:val="tx1"/>
            </w14:solidFill>
          </w14:textFill>
        </w:rPr>
        <w:t>地下水评价因子及识别</w:t>
      </w:r>
    </w:p>
    <w:p>
      <w:pPr>
        <w:pStyle w:val="21"/>
        <w:spacing w:before="0"/>
        <w:ind w:left="0" w:firstLine="480"/>
        <w:jc w:val="both"/>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bookmarkStart w:id="295" w:name="_Toc14702795"/>
      <w:bookmarkStart w:id="296" w:name="_Toc9106"/>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1、地下水环境现状评价因子</w:t>
      </w:r>
      <w:bookmarkEnd w:id="295"/>
      <w:bookmarkEnd w:id="296"/>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地下水环境：K</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w:t>
      </w:r>
      <w:r>
        <w:rPr>
          <w:rFonts w:hint="default" w:ascii="Times New Roman" w:hAnsi="Times New Roman" w:cs="Times New Roman"/>
          <w:bCs/>
          <w:color w:val="000000" w:themeColor="text1"/>
          <w:kern w:val="2"/>
          <w:highlight w:val="none"/>
          <w:lang w:eastAsia="zh-CN"/>
          <w14:textFill>
            <w14:solidFill>
              <w14:schemeClr w14:val="tx1"/>
            </w14:solidFill>
          </w14:textFill>
        </w:rPr>
        <w:t>、Na</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w:t>
      </w:r>
      <w:r>
        <w:rPr>
          <w:rFonts w:hint="default" w:ascii="Times New Roman" w:hAnsi="Times New Roman" w:cs="Times New Roman"/>
          <w:bCs/>
          <w:color w:val="000000" w:themeColor="text1"/>
          <w:kern w:val="2"/>
          <w:highlight w:val="none"/>
          <w:lang w:eastAsia="zh-CN"/>
          <w14:textFill>
            <w14:solidFill>
              <w14:schemeClr w14:val="tx1"/>
            </w14:solidFill>
          </w14:textFill>
        </w:rPr>
        <w:t>、Ca</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、Mg</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、CO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3</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、HCO</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3-</w:t>
      </w:r>
      <w:r>
        <w:rPr>
          <w:rFonts w:hint="default" w:ascii="Times New Roman" w:hAnsi="Times New Roman" w:cs="Times New Roman"/>
          <w:bCs/>
          <w:color w:val="000000" w:themeColor="text1"/>
          <w:kern w:val="2"/>
          <w:highlight w:val="none"/>
          <w:lang w:eastAsia="zh-CN"/>
          <w14:textFill>
            <w14:solidFill>
              <w14:schemeClr w14:val="tx1"/>
            </w14:solidFill>
          </w14:textFill>
        </w:rPr>
        <w:t>、Cl</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w:t>
      </w:r>
      <w:r>
        <w:rPr>
          <w:rFonts w:hint="default" w:ascii="Times New Roman" w:hAnsi="Times New Roman" w:cs="Times New Roman"/>
          <w:bCs/>
          <w:color w:val="000000" w:themeColor="text1"/>
          <w:kern w:val="2"/>
          <w:highlight w:val="none"/>
          <w:lang w:eastAsia="zh-CN"/>
          <w14:textFill>
            <w14:solidFill>
              <w14:schemeClr w14:val="tx1"/>
            </w14:solidFill>
          </w14:textFill>
        </w:rPr>
        <w:t>、SO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4</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、pH、氨氮、硝酸盐、亚硝酸盐、挥发性酚类、氰化物、砷、汞、铬（六价）、总硬度、铅、氟、镉、铁、锰、溶解性总固体、高锰酸盐指数、硫酸盐、总大肠菌群、细菌总数。</w:t>
      </w:r>
    </w:p>
    <w:p>
      <w:pPr>
        <w:pStyle w:val="21"/>
        <w:spacing w:before="0"/>
        <w:ind w:left="0" w:firstLine="480"/>
        <w:jc w:val="both"/>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bookmarkStart w:id="297" w:name="_Toc14702796"/>
      <w:bookmarkStart w:id="298" w:name="_Toc21960"/>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2、地下水环境影响评价因子</w:t>
      </w:r>
      <w:bookmarkEnd w:id="297"/>
      <w:bookmarkEnd w:id="298"/>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鉴于本项目废水具有氯化物、悬浮物含量高，含石油类、有机物，且变化范围大，水质复杂的特点，类比同类项目，本项目产生废水水质主要含有有机物、石油类、氯离子、无机盐等。</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环境影响评价技术导则－地下水环境》（HJ610-2016），预测因子识别应对项目污染物进行分类后（重金属、持久性污染物和其他类别进行分类），对每一类中各项因子采用标准指数法进行排序，分别取标准指数最大的因子作为预测因子；如该项目属于改扩建项目，将选择技改后继续产生的特征因子，改扩建后新增加的特征因子作为预测因子；污染场地已经查明的主要污染物作为预测因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监测资料，项目所在地附近潜水含水层地下水水质良好，所有指标均未超过《地下水质量标准》（GB/T14848-2017）中的Ⅲ类标准限值要求。基于本项目废水的水质特征，选择无机离子中等标污染负荷最大的氯离子，持久性污染物中等标污染负荷最大的COD</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Cr</w:t>
      </w:r>
      <w:r>
        <w:rPr>
          <w:rFonts w:hint="default" w:ascii="Times New Roman" w:hAnsi="Times New Roman" w:cs="Times New Roman"/>
          <w:bCs/>
          <w:color w:val="000000" w:themeColor="text1"/>
          <w:kern w:val="2"/>
          <w:highlight w:val="none"/>
          <w:lang w:eastAsia="zh-CN"/>
          <w14:textFill>
            <w14:solidFill>
              <w14:schemeClr w14:val="tx1"/>
            </w14:solidFill>
          </w14:textFill>
        </w:rPr>
        <w:t>，特征污染因子石油类作为本次评价的预测因子。</w:t>
      </w:r>
    </w:p>
    <w:p>
      <w:pPr>
        <w:pStyle w:val="4"/>
        <w:spacing w:before="120"/>
        <w:ind w:left="480" w:leftChars="0" w:firstLine="480" w:firstLineChars="0"/>
        <w:jc w:val="both"/>
        <w:rPr>
          <w:rFonts w:hint="default" w:ascii="Times New Roman" w:hAnsi="Times New Roman" w:cs="Times New Roman"/>
          <w:b/>
          <w:color w:val="000000" w:themeColor="text1"/>
          <w:szCs w:val="24"/>
          <w:highlight w:val="none"/>
          <w:lang w:eastAsia="zh-CN"/>
          <w14:textFill>
            <w14:solidFill>
              <w14:schemeClr w14:val="tx1"/>
            </w14:solidFill>
          </w14:textFill>
        </w:rPr>
      </w:pPr>
      <w:bookmarkStart w:id="299" w:name="_Toc14702804"/>
      <w:r>
        <w:rPr>
          <w:rFonts w:hint="default" w:ascii="Times New Roman" w:hAnsi="Times New Roman" w:cs="Times New Roman"/>
          <w:color w:val="000000" w:themeColor="text1"/>
          <w:szCs w:val="24"/>
          <w:highlight w:val="none"/>
          <w:lang w:eastAsia="zh-CN"/>
          <w14:textFill>
            <w14:solidFill>
              <w14:schemeClr w14:val="tx1"/>
            </w14:solidFill>
          </w14:textFill>
        </w:rPr>
        <w:t>水文地质参数识别</w:t>
      </w:r>
      <w:bookmarkEnd w:id="299"/>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因此本次评价充分参考《中国石油化工股份有限公司中原油田普光分公司普光分公普陆页2井台钻井及试采工程地下水环境影响评价专题》，同时还借鉴了区域周边的《中国石油化工股份有限公司中原油田普光分公司普光分公司P3021产能建设项目地下水环境影响评价专题</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大湾406滚动勘探井地下水环境影响评价专题报告</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M506-1T井产能建设项目地下水环境影响评价专题报告</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大湾4井探工程地下水环境影响评价专题报告 西南交通大学地球科学与环境工程学院 2018.8》的地下水环境影响评价成果来选取水文地质参数。根据附图</w:t>
      </w:r>
      <w:r>
        <w:rPr>
          <w:rFonts w:hint="eastAsia" w:ascii="Times New Roman" w:hAnsi="Times New Roman" w:cs="Times New Roman"/>
          <w:color w:val="000000" w:themeColor="text1"/>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1可知普陆页2井台、P3021井、大湾406井、大湾4井与M506-1T井均位于本项目周边较近区域，地下水类型均以裂隙水为主。地下水赋存于侏罗系上统蓬莱镇组（J</w:t>
      </w:r>
      <w:r>
        <w:rPr>
          <w:rFonts w:hint="default" w:ascii="Times New Roman" w:hAnsi="Times New Roman" w:cs="Times New Roman"/>
          <w:color w:val="000000" w:themeColor="text1"/>
          <w:szCs w:val="24"/>
          <w:highlight w:val="none"/>
          <w:vertAlign w:val="sub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p</w:t>
      </w:r>
      <w:r>
        <w:rPr>
          <w:rFonts w:hint="default" w:ascii="Times New Roman" w:hAnsi="Times New Roman" w:cs="Times New Roman"/>
          <w:color w:val="000000" w:themeColor="text1"/>
          <w:szCs w:val="24"/>
          <w:highlight w:val="none"/>
          <w:vertAlign w:val="subscript"/>
          <w14:textFill>
            <w14:solidFill>
              <w14:schemeClr w14:val="tx1"/>
            </w14:solidFill>
          </w14:textFill>
        </w:rPr>
        <w:t>1</w:t>
      </w:r>
      <w:r>
        <w:rPr>
          <w:rFonts w:hint="default" w:ascii="Times New Roman" w:hAnsi="Times New Roman" w:cs="Times New Roman"/>
          <w:color w:val="000000" w:themeColor="text1"/>
          <w:szCs w:val="24"/>
          <w:highlight w:val="none"/>
          <w14:textFill>
            <w14:solidFill>
              <w14:schemeClr w14:val="tx1"/>
            </w14:solidFill>
          </w14:textFill>
        </w:rPr>
        <w:t>、J</w:t>
      </w:r>
      <w:r>
        <w:rPr>
          <w:rFonts w:hint="default" w:ascii="Times New Roman" w:hAnsi="Times New Roman" w:cs="Times New Roman"/>
          <w:color w:val="000000" w:themeColor="text1"/>
          <w:szCs w:val="24"/>
          <w:highlight w:val="none"/>
          <w:vertAlign w:val="sub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p</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）构造裂隙中，砂岩为主要含水层。</w:t>
      </w:r>
    </w:p>
    <w:p>
      <w:pPr>
        <w:pStyle w:val="4"/>
        <w:pageBreakBefore w:val="0"/>
        <w:kinsoku/>
        <w:wordWrap/>
        <w:overflowPunct/>
        <w:topLinePunct w:val="0"/>
        <w:autoSpaceDE/>
        <w:autoSpaceDN/>
        <w:bidi w:val="0"/>
        <w:adjustRightInd w:val="0"/>
        <w:snapToGrid w:val="0"/>
        <w:spacing w:before="0" w:beforeLines="0"/>
        <w:ind w:left="480" w:leftChars="0" w:firstLine="480" w:firstLineChars="0"/>
        <w:jc w:val="both"/>
        <w:textAlignment w:val="auto"/>
        <w:rPr>
          <w:rFonts w:hint="default" w:ascii="Times New Roman" w:hAnsi="Times New Roman" w:cs="Times New Roman"/>
          <w:b/>
          <w:color w:val="000000" w:themeColor="text1"/>
          <w:szCs w:val="24"/>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lang w:eastAsia="zh-CN"/>
          <w14:textFill>
            <w14:solidFill>
              <w14:schemeClr w14:val="tx1"/>
            </w14:solidFill>
          </w14:textFill>
        </w:rPr>
        <w:t>地下水污染源源强分析</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1、产污环节分析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钻前工程施工时间短，废水产生量小且为一般施工废水，无特殊污染物，回用于洒水降尘不会对地下水环境造成影响；采气试采期产生气田水由放空分液罐、采出水罐收集后外运处理，放空分液罐、采出水罐设置于防渗区，事故情况下也难以入渗地下水系统，钻井工程生活污水</w:t>
      </w:r>
      <w:r>
        <w:rPr>
          <w:rFonts w:hint="default" w:ascii="Times New Roman" w:hAnsi="Times New Roman" w:cs="Times New Roman"/>
          <w:color w:val="000000" w:themeColor="text1"/>
          <w:szCs w:val="24"/>
          <w:highlight w:val="none"/>
          <w14:textFill>
            <w14:solidFill>
              <w14:schemeClr w14:val="tx1"/>
            </w14:solidFill>
          </w14:textFill>
        </w:rPr>
        <w:t>经生态厕所收集后定期由密闭罐车拉运至周边生活污水处理厂处理</w:t>
      </w:r>
      <w:r>
        <w:rPr>
          <w:rFonts w:hint="default" w:ascii="Times New Roman" w:hAnsi="Times New Roman" w:cs="Times New Roman"/>
          <w:bCs/>
          <w:color w:val="000000" w:themeColor="text1"/>
          <w:szCs w:val="24"/>
          <w:highlight w:val="none"/>
          <w14:textFill>
            <w14:solidFill>
              <w14:schemeClr w14:val="tx1"/>
            </w14:solidFill>
          </w14:textFill>
        </w:rPr>
        <w:t>，都不会对地下水造成污染。本工程建设施工过程中，钻井、固井等井下作业无防渗条件，其污染物下渗可能污染浅层地下水，钻井、固井施工时井场内罐、池泄漏也可能通过井场内未做防渗区域入渗进入地下水，故将钻井、固井作业中污染物可能进入地下水系统作为评价重点，但由于其水循环动力相对较小，其影响范围也相对较小。</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bookmarkStart w:id="300" w:name="_Toc14702812"/>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2、地下水污染源分析</w:t>
      </w:r>
      <w:bookmarkEnd w:id="300"/>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bookmarkStart w:id="301" w:name="_Toc29002"/>
      <w:r>
        <w:rPr>
          <w:rFonts w:hint="default" w:ascii="Times New Roman" w:hAnsi="Times New Roman" w:cs="Times New Roman"/>
          <w:b/>
          <w:bCs/>
          <w:color w:val="000000" w:themeColor="text1"/>
          <w:szCs w:val="24"/>
          <w:highlight w:val="none"/>
          <w14:textFill>
            <w14:solidFill>
              <w14:schemeClr w14:val="tx1"/>
            </w14:solidFill>
          </w14:textFill>
        </w:rPr>
        <w:t>（1）正常状况</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本项目的地下水污染源主要来自钻井废水、</w:t>
      </w:r>
      <w:r>
        <w:rPr>
          <w:rFonts w:hint="default" w:ascii="Times New Roman" w:hAnsi="Times New Roman" w:cs="Times New Roman"/>
          <w:color w:val="000000" w:themeColor="text1"/>
          <w:szCs w:val="24"/>
          <w:highlight w:val="none"/>
          <w:lang w:val="en-US" w:eastAsia="zh-CN"/>
          <w14:textFill>
            <w14:solidFill>
              <w14:schemeClr w14:val="tx1"/>
            </w14:solidFill>
          </w14:textFill>
        </w:rPr>
        <w:t>洗井废水、压裂返排液</w:t>
      </w:r>
      <w:r>
        <w:rPr>
          <w:rFonts w:hint="default" w:ascii="Times New Roman" w:hAnsi="Times New Roman" w:cs="Times New Roman"/>
          <w:color w:val="000000" w:themeColor="text1"/>
          <w:szCs w:val="24"/>
          <w:highlight w:val="none"/>
          <w14:textFill>
            <w14:solidFill>
              <w14:schemeClr w14:val="tx1"/>
            </w14:solidFill>
          </w14:textFill>
        </w:rPr>
        <w:t>、</w:t>
      </w:r>
      <w:r>
        <w:rPr>
          <w:rFonts w:hint="eastAsia" w:ascii="Times New Roman" w:hAnsi="Times New Roman" w:cs="Times New Roman"/>
          <w:color w:val="000000" w:themeColor="text1"/>
          <w:szCs w:val="24"/>
          <w:highlight w:val="none"/>
          <w:lang w:val="en-US" w:eastAsia="zh-CN"/>
          <w14:textFill>
            <w14:solidFill>
              <w14:schemeClr w14:val="tx1"/>
            </w14:solidFill>
          </w14:textFill>
        </w:rPr>
        <w:t>场地初期雨水</w:t>
      </w:r>
      <w:r>
        <w:rPr>
          <w:rFonts w:hint="default" w:ascii="Times New Roman" w:hAnsi="Times New Roman" w:cs="Times New Roman"/>
          <w:color w:val="000000" w:themeColor="text1"/>
          <w:szCs w:val="24"/>
          <w:highlight w:val="none"/>
          <w:lang w:val="en-US" w:eastAsia="zh-CN"/>
          <w14:textFill>
            <w14:solidFill>
              <w14:schemeClr w14:val="tx1"/>
            </w14:solidFill>
          </w14:textFill>
        </w:rPr>
        <w:t>及</w:t>
      </w:r>
      <w:r>
        <w:rPr>
          <w:rFonts w:hint="default" w:ascii="Times New Roman" w:hAnsi="Times New Roman" w:cs="Times New Roman"/>
          <w:color w:val="000000" w:themeColor="text1"/>
          <w:szCs w:val="24"/>
          <w:highlight w:val="none"/>
          <w14:textFill>
            <w14:solidFill>
              <w14:schemeClr w14:val="tx1"/>
            </w14:solidFill>
          </w14:textFill>
        </w:rPr>
        <w:t>钻井泥浆</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柴油机房、储备罐中的油类物质等，这些物质都放置在相应的储备罐或储存池中，一般情况下，只要对各种地下水污染源及时采取回用、转运、防渗等方式处理，就不会对地下水水质产生大的影响。与此同时，井场选址于地质稳定地带，也不受当地河水洪灾危险，正常状况下废水外溢及下渗造成地下水污染的可能性极小。</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本工程按《环境影响评价技术导则—地下水环境》（HJ 610-2016）和《石油化工工程防渗技术规范》（GB/T50934-2013）设计地下水防渗措施，根据《环境影响评价技术导则—地下水环境》（HJ 610-2016）中9.4.2，本工程不进行正常状况情景下的预测。</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（2）非正常状况</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1）污染源分析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非正常状况下本项目对地下水可能产生的不利影响途径主要有以下几个方面：</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①罐体循环使用，发生腐蚀使防渗不到位出现废水渗漏，从围堰溢出或者基础防渗不到位入渗地下水，或是在雨季发生泥浆外溢情况，井场设备机油泄漏，生活污水、固废以及钻井所需材料堆放不当，井场污染物收集、存储措施不到位，在雨季产生地面溢流外溢废水进入井场未硬化地面入渗等都有可能造成不同程度的地下水污染；</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②物料跑冒滴漏，钻井过程中物料管理不严格、化学品堆放不当、柴油泄漏等物料的跑冒滴漏不同程度的污染地下水；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③放喷池因防渗不到位</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出现</w:t>
      </w:r>
      <w:r>
        <w:rPr>
          <w:rFonts w:hint="default" w:ascii="Times New Roman" w:hAnsi="Times New Roman" w:cs="Times New Roman"/>
          <w:color w:val="000000" w:themeColor="text1"/>
          <w:szCs w:val="24"/>
          <w:highlight w:val="none"/>
          <w:lang w:val="en-US" w:eastAsia="zh-CN"/>
          <w14:textFill>
            <w14:solidFill>
              <w14:schemeClr w14:val="tx1"/>
            </w14:solidFill>
          </w14:textFill>
        </w:rPr>
        <w:t>池内收集暂存的</w:t>
      </w:r>
      <w:r>
        <w:rPr>
          <w:rFonts w:hint="default" w:ascii="Times New Roman" w:hAnsi="Times New Roman" w:cs="Times New Roman"/>
          <w:color w:val="000000" w:themeColor="text1"/>
          <w:szCs w:val="24"/>
          <w:highlight w:val="none"/>
          <w14:textFill>
            <w14:solidFill>
              <w14:schemeClr w14:val="tx1"/>
            </w14:solidFill>
          </w14:textFill>
        </w:rPr>
        <w:t>返排液渗漏，有可能造成不同程度的地下水污染；</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④井口作业区、泥浆循环系统区、泥浆不落地装置区散落的泥浆、废水进入井场未硬化地面入渗；</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⑤压裂过程井筒破裂，压裂液进入含水层。</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钻井施工过程中若出现上述几种非正常状况，则可能对区域地下水环境产生影响。本项目采取分区分级防渗：场地内方井、泥浆循环系统区域、泥浆不落地系统区域（含油桶堆放区）、泥浆储备罐区、循环罐区、柴油罐区、放喷池、油基岩屑暂存区、埋地管道等采取重点防渗措施；井架基础、发电机房、钻井固废暂存区、清水池、气源房、材料棚、雨、污分流区域以及厕所等区域采取一般防渗措施；其他区域等采取简单防渗措施。本项目除放喷池与清水池直接采用池体外，其他存放污水和泥浆装置均为罐体且安装于防渗地面上，能及时发现泄漏和收集处理，放喷池使用时间短且重点防渗，同时对跑冒滴漏等散落在井场的污染物及时收集，可有效避免地表污染物入渗。因此非正常情况下，对地下水可能造成的影响的主要是放喷池泄漏和压裂过程井筒破裂。</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2）源强分析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①废水泄漏</w:t>
      </w:r>
    </w:p>
    <w:p>
      <w:pPr>
        <w:ind w:firstLine="480"/>
        <w:rPr>
          <w:rFonts w:hint="default" w:ascii="Times New Roman" w:hAnsi="Times New Roman" w:cs="Times New Roman"/>
          <w:snapToGrid w:val="0"/>
          <w:color w:val="000000" w:themeColor="text1"/>
          <w:szCs w:val="24"/>
          <w:highlight w:val="none"/>
          <w14:textFill>
            <w14:solidFill>
              <w14:schemeClr w14:val="tx1"/>
            </w14:solidFill>
          </w14:textFill>
        </w:rPr>
      </w:pPr>
      <w:r>
        <w:rPr>
          <w:rFonts w:hint="default" w:ascii="Times New Roman" w:hAnsi="Times New Roman" w:cs="Times New Roman"/>
          <w:snapToGrid w:val="0"/>
          <w:color w:val="000000" w:themeColor="text1"/>
          <w:szCs w:val="24"/>
          <w:highlight w:val="none"/>
          <w14:textFill>
            <w14:solidFill>
              <w14:schemeClr w14:val="tx1"/>
            </w14:solidFill>
          </w14:textFill>
        </w:rPr>
        <w:t>本项目在井场界外修建有放喷池2座，设计容积300m</w:t>
      </w:r>
      <w:r>
        <w:rPr>
          <w:rFonts w:hint="default" w:ascii="Times New Roman" w:hAnsi="Times New Roman" w:cs="Times New Roman"/>
          <w:snapToGrid w:val="0"/>
          <w:color w:val="000000" w:themeColor="text1"/>
          <w:szCs w:val="24"/>
          <w:highlight w:val="none"/>
          <w:vertAlign w:val="superscript"/>
          <w14:textFill>
            <w14:solidFill>
              <w14:schemeClr w14:val="tx1"/>
            </w14:solidFill>
          </w14:textFill>
        </w:rPr>
        <w:t>3</w:t>
      </w:r>
      <w:r>
        <w:rPr>
          <w:rFonts w:hint="default" w:ascii="Times New Roman" w:hAnsi="Times New Roman" w:cs="Times New Roman"/>
          <w:snapToGrid w:val="0"/>
          <w:color w:val="000000" w:themeColor="text1"/>
          <w:szCs w:val="24"/>
          <w:highlight w:val="none"/>
          <w14:textFill>
            <w14:solidFill>
              <w14:schemeClr w14:val="tx1"/>
            </w14:solidFill>
          </w14:textFill>
        </w:rPr>
        <w:t>，尺寸为</w:t>
      </w:r>
      <w:r>
        <w:rPr>
          <w:rFonts w:hint="default" w:ascii="Times New Roman" w:hAnsi="Times New Roman" w:cs="Times New Roman"/>
          <w:color w:val="000000" w:themeColor="text1"/>
          <w:szCs w:val="24"/>
          <w:highlight w:val="none"/>
          <w14:textFill>
            <w14:solidFill>
              <w14:schemeClr w14:val="tx1"/>
            </w14:solidFill>
          </w14:textFill>
        </w:rPr>
        <w:t>20m×10m×1.5m</w:t>
      </w:r>
      <w:r>
        <w:rPr>
          <w:rFonts w:hint="default" w:ascii="Times New Roman" w:hAnsi="Times New Roman" w:cs="Times New Roman"/>
          <w:snapToGrid w:val="0"/>
          <w:color w:val="000000" w:themeColor="text1"/>
          <w:szCs w:val="24"/>
          <w:highlight w:val="none"/>
          <w14:textFill>
            <w14:solidFill>
              <w14:schemeClr w14:val="tx1"/>
            </w14:solidFill>
          </w14:textFill>
        </w:rPr>
        <w:t>，主要在压裂期间用于暂存压裂返排液，储存时间短，在返排液进入放喷池后应及时转运返排液，储存周期不超过10天</w:t>
      </w:r>
      <w:bookmarkStart w:id="302" w:name="_Hlk89072732"/>
      <w:r>
        <w:rPr>
          <w:rFonts w:hint="default" w:ascii="Times New Roman" w:hAnsi="Times New Roman" w:cs="Times New Roman"/>
          <w:snapToGrid w:val="0"/>
          <w:color w:val="000000" w:themeColor="text1"/>
          <w:szCs w:val="24"/>
          <w:highlight w:val="none"/>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本项目单井加砂压裂液的返排周期约3</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5d</w:t>
      </w:r>
      <w:r>
        <w:rPr>
          <w:rFonts w:hint="default" w:ascii="Times New Roman" w:hAnsi="Times New Roman" w:cs="Times New Roman"/>
          <w:snapToGrid w:val="0"/>
          <w:color w:val="000000" w:themeColor="text1"/>
          <w:szCs w:val="24"/>
          <w:highlight w:val="none"/>
          <w14:textFill>
            <w14:solidFill>
              <w14:schemeClr w14:val="tx1"/>
            </w14:solidFill>
          </w14:textFill>
        </w:rPr>
        <w:t>）</w:t>
      </w:r>
      <w:bookmarkEnd w:id="302"/>
      <w:r>
        <w:rPr>
          <w:rFonts w:hint="default" w:ascii="Times New Roman" w:hAnsi="Times New Roman" w:cs="Times New Roman"/>
          <w:snapToGrid w:val="0"/>
          <w:color w:val="000000" w:themeColor="text1"/>
          <w:szCs w:val="24"/>
          <w:highlight w:val="none"/>
          <w14:textFill>
            <w14:solidFill>
              <w14:schemeClr w14:val="tx1"/>
            </w14:solidFill>
          </w14:textFill>
        </w:rPr>
        <w:t>。假定放喷池池底产生裂缝，压裂返排液通过裂缝逐渐渗漏到地下含水层中，对地下水水质造成污染</w:t>
      </w:r>
      <w:r>
        <w:rPr>
          <w:rFonts w:hint="default" w:ascii="Times New Roman" w:hAnsi="Times New Roman" w:cs="Times New Roman"/>
          <w:snapToGrid w:val="0"/>
          <w:color w:val="000000" w:themeColor="text1"/>
          <w:szCs w:val="24"/>
          <w:highlight w:val="none"/>
          <w:lang w:eastAsia="zh-CN"/>
          <w14:textFill>
            <w14:solidFill>
              <w14:schemeClr w14:val="tx1"/>
            </w14:solidFill>
          </w14:textFill>
        </w:rPr>
        <w:t>，污</w:t>
      </w:r>
      <w:r>
        <w:rPr>
          <w:rFonts w:hint="default" w:ascii="Times New Roman" w:hAnsi="Times New Roman" w:cs="Times New Roman"/>
          <w:snapToGrid w:val="0"/>
          <w:color w:val="000000" w:themeColor="text1"/>
          <w:szCs w:val="24"/>
          <w:highlight w:val="none"/>
          <w14:textFill>
            <w14:solidFill>
              <w14:schemeClr w14:val="tx1"/>
            </w14:solidFill>
          </w14:textFill>
        </w:rPr>
        <w:t>染源类型为短时源强。根据放喷池对地下水的影响途径来设定主要污染源的分布位置，选定优先控制的污染物，预测事故工况下污染物在地下水中迁移过程，进一步分析污染物影响范围、超标范围和迁出场区后浓度变化。</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snapToGrid w:val="0"/>
          <w:color w:val="000000" w:themeColor="text1"/>
          <w:szCs w:val="24"/>
          <w:highlight w:val="none"/>
          <w14:textFill>
            <w14:solidFill>
              <w14:schemeClr w14:val="tx1"/>
            </w14:solidFill>
          </w14:textFill>
        </w:rPr>
        <w:t>根据类比防渗池体泄漏情况，一般泄漏面积因池子面积大小而不同，参考中石化、中石油放喷池检修过程中池子破损的面积统计数据，300m</w:t>
      </w:r>
      <w:r>
        <w:rPr>
          <w:rFonts w:hint="default" w:ascii="Times New Roman" w:hAnsi="Times New Roman" w:cs="Times New Roman"/>
          <w:snapToGrid w:val="0"/>
          <w:color w:val="000000" w:themeColor="text1"/>
          <w:szCs w:val="24"/>
          <w:highlight w:val="none"/>
          <w:vertAlign w:val="superscript"/>
          <w14:textFill>
            <w14:solidFill>
              <w14:schemeClr w14:val="tx1"/>
            </w14:solidFill>
          </w14:textFill>
        </w:rPr>
        <w:t>3</w:t>
      </w:r>
      <w:r>
        <w:rPr>
          <w:rFonts w:hint="default" w:ascii="Times New Roman" w:hAnsi="Times New Roman" w:cs="Times New Roman"/>
          <w:snapToGrid w:val="0"/>
          <w:color w:val="000000" w:themeColor="text1"/>
          <w:szCs w:val="24"/>
          <w:highlight w:val="none"/>
          <w14:textFill>
            <w14:solidFill>
              <w14:schemeClr w14:val="tx1"/>
            </w14:solidFill>
          </w14:textFill>
        </w:rPr>
        <w:t>放喷池破损面积在0~10%之间，大于10%的池体破损还未发现过。假定放喷池渗漏面积为池底总面积的10%（20m</w:t>
      </w:r>
      <w:r>
        <w:rPr>
          <w:rFonts w:hint="default" w:ascii="Times New Roman" w:hAnsi="Times New Roman" w:cs="Times New Roman"/>
          <w:snapToGrid w:val="0"/>
          <w:color w:val="000000" w:themeColor="text1"/>
          <w:szCs w:val="24"/>
          <w:highlight w:val="none"/>
          <w:vertAlign w:val="superscript"/>
          <w14:textFill>
            <w14:solidFill>
              <w14:schemeClr w14:val="tx1"/>
            </w14:solidFill>
          </w14:textFill>
        </w:rPr>
        <w:t>2</w:t>
      </w:r>
      <w:r>
        <w:rPr>
          <w:rFonts w:hint="default" w:ascii="Times New Roman" w:hAnsi="Times New Roman" w:cs="Times New Roman"/>
          <w:snapToGrid w:val="0"/>
          <w:color w:val="000000" w:themeColor="text1"/>
          <w:szCs w:val="24"/>
          <w:highlight w:val="none"/>
          <w14:textFill>
            <w14:solidFill>
              <w14:schemeClr w14:val="tx1"/>
            </w14:solidFill>
          </w14:textFill>
        </w:rPr>
        <w:t>），放喷池中存储有废水，废水进入地下属于有压渗透，按达西公式计算源强，公式如下：</w:t>
      </w:r>
    </w:p>
    <w:p>
      <w:pPr>
        <w:ind w:firstLine="480"/>
        <w:jc w:val="center"/>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drawing>
          <wp:inline distT="0" distB="0" distL="0" distR="0">
            <wp:extent cx="974090" cy="3797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974090" cy="379730"/>
                    </a:xfrm>
                    <a:prstGeom prst="rect">
                      <a:avLst/>
                    </a:prstGeom>
                    <a:noFill/>
                    <a:ln>
                      <a:noFill/>
                    </a:ln>
                  </pic:spPr>
                </pic:pic>
              </a:graphicData>
            </a:graphic>
          </wp:inline>
        </w:drawing>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式中：Q—渗入到地下水的污水量；</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 xml:space="preserve">            K—地面垂向渗透系数，0.0864m/d（取1.0×10</w:t>
      </w:r>
      <w:r>
        <w:rPr>
          <w:rFonts w:hint="default" w:ascii="Times New Roman" w:hAnsi="Times New Roman" w:cs="Times New Roman"/>
          <w:bCs/>
          <w:color w:val="000000" w:themeColor="text1"/>
          <w:szCs w:val="24"/>
          <w:highlight w:val="none"/>
          <w:vertAlign w:val="superscript"/>
          <w14:textFill>
            <w14:solidFill>
              <w14:schemeClr w14:val="tx1"/>
            </w14:solidFill>
          </w14:textFill>
        </w:rPr>
        <w:t>-4</w:t>
      </w:r>
      <w:r>
        <w:rPr>
          <w:rFonts w:hint="default" w:ascii="Times New Roman" w:hAnsi="Times New Roman" w:cs="Times New Roman"/>
          <w:bCs/>
          <w:color w:val="000000" w:themeColor="text1"/>
          <w:szCs w:val="24"/>
          <w:highlight w:val="none"/>
          <w14:textFill>
            <w14:solidFill>
              <w14:schemeClr w14:val="tx1"/>
            </w14:solidFill>
          </w14:textFill>
        </w:rPr>
        <w:t>cm/s）；</w:t>
      </w:r>
    </w:p>
    <w:p>
      <w:pPr>
        <w:ind w:firstLine="840" w:firstLineChars="35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 xml:space="preserve">      H—池内水深，按可能最大水深取1.5m；</w:t>
      </w:r>
    </w:p>
    <w:p>
      <w:pPr>
        <w:ind w:firstLine="840" w:firstLineChars="35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 xml:space="preserve">      D—地下水埋深，按最不利场地取30m；</w:t>
      </w:r>
    </w:p>
    <w:p>
      <w:pPr>
        <w:ind w:firstLine="840" w:firstLineChars="35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 xml:space="preserve">      A—池底泄漏面积（m</w:t>
      </w:r>
      <w:r>
        <w:rPr>
          <w:rFonts w:hint="default" w:ascii="Times New Roman" w:hAnsi="Times New Roman" w:cs="Times New Roman"/>
          <w:bCs/>
          <w:color w:val="000000" w:themeColor="text1"/>
          <w:szCs w:val="24"/>
          <w:highlight w:val="none"/>
          <w:vertAlign w:val="super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），取20m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根据计算，本项目泄漏量约为1.81m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w:t>
      </w:r>
      <w:r>
        <w:rPr>
          <w:rFonts w:hint="default" w:ascii="Times New Roman" w:hAnsi="Times New Roman" w:cs="Times New Roman"/>
          <w:snapToGrid w:val="0"/>
          <w:color w:val="000000" w:themeColor="text1"/>
          <w:szCs w:val="24"/>
          <w:highlight w:val="none"/>
          <w14:textFill>
            <w14:solidFill>
              <w14:schemeClr w14:val="tx1"/>
            </w14:solidFill>
          </w14:textFill>
        </w:rPr>
        <w:t>放喷池</w:t>
      </w:r>
      <w:r>
        <w:rPr>
          <w:rFonts w:hint="default" w:ascii="Times New Roman" w:hAnsi="Times New Roman" w:cs="Times New Roman"/>
          <w:bCs/>
          <w:color w:val="000000" w:themeColor="text1"/>
          <w:szCs w:val="24"/>
          <w:highlight w:val="none"/>
          <w14:textFill>
            <w14:solidFill>
              <w14:schemeClr w14:val="tx1"/>
            </w14:solidFill>
          </w14:textFill>
        </w:rPr>
        <w:t>储存周期最长为10天，即持续渗漏持续时间为10d，渗漏量为18.1m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②压裂过程井筒破裂</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事故工况下，压裂过程中导致井筒破裂，排放形式可概化为点源，排放规律可简化为非连续恒定排放，瞬时泄漏量按压裂液总用量（1960m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）用量的10%，</w:t>
      </w:r>
      <w:r>
        <w:rPr>
          <w:rFonts w:hint="default" w:ascii="Times New Roman" w:hAnsi="Times New Roman" w:cs="Times New Roman"/>
          <w:color w:val="000000" w:themeColor="text1"/>
          <w:szCs w:val="24"/>
          <w:highlight w:val="none"/>
          <w:lang w:eastAsia="zh-CN"/>
          <w14:textFill>
            <w14:solidFill>
              <w14:schemeClr w14:val="tx1"/>
            </w14:solidFill>
          </w14:textFill>
        </w:rPr>
        <w:t>泄漏</w:t>
      </w:r>
      <w:r>
        <w:rPr>
          <w:rFonts w:hint="default" w:ascii="Times New Roman" w:hAnsi="Times New Roman" w:cs="Times New Roman"/>
          <w:color w:val="000000" w:themeColor="text1"/>
          <w:szCs w:val="24"/>
          <w:highlight w:val="none"/>
          <w14:textFill>
            <w14:solidFill>
              <w14:schemeClr w14:val="tx1"/>
            </w14:solidFill>
          </w14:textFill>
        </w:rPr>
        <w:t>时间假定为10min，因此瞬时泄漏量为196m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，非正常情况下污染源强统计表见表5.3-1。</w:t>
      </w: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表5.3-1  非正常情况下污染源源强统计表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1369"/>
        <w:gridCol w:w="1541"/>
        <w:gridCol w:w="1370"/>
        <w:gridCol w:w="1371"/>
        <w:gridCol w:w="1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泄漏位置</w:t>
            </w:r>
          </w:p>
        </w:tc>
        <w:tc>
          <w:tcPr>
            <w:tcW w:w="1369"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特征污染物</w:t>
            </w:r>
          </w:p>
        </w:tc>
        <w:tc>
          <w:tcPr>
            <w:tcW w:w="1541"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浓度（mg/L）</w:t>
            </w:r>
          </w:p>
        </w:tc>
        <w:tc>
          <w:tcPr>
            <w:tcW w:w="1370"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泄漏量（kg）</w:t>
            </w:r>
          </w:p>
        </w:tc>
        <w:tc>
          <w:tcPr>
            <w:tcW w:w="1371"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泄漏时间</w:t>
            </w:r>
          </w:p>
        </w:tc>
        <w:tc>
          <w:tcPr>
            <w:tcW w:w="1371"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restart"/>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放喷池</w:t>
            </w: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破裂</w:t>
            </w:r>
          </w:p>
        </w:tc>
        <w:tc>
          <w:tcPr>
            <w:tcW w:w="1369"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COD</w:t>
            </w:r>
            <w:r>
              <w:rPr>
                <w:rFonts w:hint="default" w:ascii="Times New Roman" w:hAnsi="Times New Roman" w:cs="Times New Roman"/>
                <w:color w:val="000000" w:themeColor="text1"/>
                <w:kern w:val="0"/>
                <w:sz w:val="21"/>
                <w:szCs w:val="21"/>
                <w:highlight w:val="none"/>
                <w:vertAlign w:val="subscript"/>
                <w:lang w:eastAsia="en-US"/>
                <w14:textFill>
                  <w14:solidFill>
                    <w14:schemeClr w14:val="tx1"/>
                  </w14:solidFill>
                </w14:textFill>
              </w:rPr>
              <w:t>Cr</w:t>
            </w:r>
          </w:p>
        </w:tc>
        <w:tc>
          <w:tcPr>
            <w:tcW w:w="1541"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5000</w:t>
            </w:r>
          </w:p>
        </w:tc>
        <w:tc>
          <w:tcPr>
            <w:tcW w:w="1370" w:type="dxa"/>
            <w:vAlign w:val="bottom"/>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90.5</w:t>
            </w:r>
          </w:p>
        </w:tc>
        <w:tc>
          <w:tcPr>
            <w:tcW w:w="1371" w:type="dxa"/>
            <w:vMerge w:val="restart"/>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10d</w:t>
            </w:r>
          </w:p>
        </w:tc>
        <w:tc>
          <w:tcPr>
            <w:tcW w:w="1371"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369"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石油类</w:t>
            </w:r>
          </w:p>
        </w:tc>
        <w:tc>
          <w:tcPr>
            <w:tcW w:w="1541"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200</w:t>
            </w:r>
          </w:p>
        </w:tc>
        <w:tc>
          <w:tcPr>
            <w:tcW w:w="1370" w:type="dxa"/>
            <w:vAlign w:val="bottom"/>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3.62</w:t>
            </w:r>
          </w:p>
        </w:tc>
        <w:tc>
          <w:tcPr>
            <w:tcW w:w="1371" w:type="dxa"/>
            <w:vMerge w:val="continue"/>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371"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369"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氯化物</w:t>
            </w:r>
          </w:p>
        </w:tc>
        <w:tc>
          <w:tcPr>
            <w:tcW w:w="1541"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4000</w:t>
            </w:r>
          </w:p>
        </w:tc>
        <w:tc>
          <w:tcPr>
            <w:tcW w:w="1370" w:type="dxa"/>
            <w:vAlign w:val="bottom"/>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72.4</w:t>
            </w:r>
          </w:p>
        </w:tc>
        <w:tc>
          <w:tcPr>
            <w:tcW w:w="1371" w:type="dxa"/>
            <w:vMerge w:val="continue"/>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371"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restart"/>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压裂过程中井筒破裂</w:t>
            </w:r>
          </w:p>
        </w:tc>
        <w:tc>
          <w:tcPr>
            <w:tcW w:w="1369"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COD</w:t>
            </w:r>
            <w:r>
              <w:rPr>
                <w:rFonts w:hint="default" w:ascii="Times New Roman" w:hAnsi="Times New Roman" w:cs="Times New Roman"/>
                <w:snapToGrid w:val="0"/>
                <w:color w:val="000000" w:themeColor="text1"/>
                <w:kern w:val="0"/>
                <w:sz w:val="21"/>
                <w:szCs w:val="21"/>
                <w:highlight w:val="none"/>
                <w:vertAlign w:val="subscript"/>
                <w:lang w:eastAsia="en-US"/>
                <w14:textFill>
                  <w14:solidFill>
                    <w14:schemeClr w14:val="tx1"/>
                  </w14:solidFill>
                </w14:textFill>
              </w:rPr>
              <w:t>Cr</w:t>
            </w:r>
          </w:p>
        </w:tc>
        <w:tc>
          <w:tcPr>
            <w:tcW w:w="1541"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5000</w:t>
            </w:r>
          </w:p>
        </w:tc>
        <w:tc>
          <w:tcPr>
            <w:tcW w:w="1370" w:type="dxa"/>
            <w:vAlign w:val="bottom"/>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980</w:t>
            </w:r>
          </w:p>
        </w:tc>
        <w:tc>
          <w:tcPr>
            <w:tcW w:w="1371" w:type="dxa"/>
            <w:vMerge w:val="restart"/>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10min</w:t>
            </w:r>
          </w:p>
        </w:tc>
        <w:tc>
          <w:tcPr>
            <w:tcW w:w="1371"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369"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石油类</w:t>
            </w:r>
          </w:p>
        </w:tc>
        <w:tc>
          <w:tcPr>
            <w:tcW w:w="1541"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200</w:t>
            </w:r>
          </w:p>
        </w:tc>
        <w:tc>
          <w:tcPr>
            <w:tcW w:w="1370" w:type="dxa"/>
            <w:vAlign w:val="bottom"/>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39.2</w:t>
            </w:r>
          </w:p>
        </w:tc>
        <w:tc>
          <w:tcPr>
            <w:tcW w:w="1371" w:type="dxa"/>
            <w:vMerge w:val="continue"/>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371"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369"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氯化物</w:t>
            </w:r>
          </w:p>
        </w:tc>
        <w:tc>
          <w:tcPr>
            <w:tcW w:w="1541" w:type="dxa"/>
            <w:vAlign w:val="center"/>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4000</w:t>
            </w:r>
          </w:p>
        </w:tc>
        <w:tc>
          <w:tcPr>
            <w:tcW w:w="1370" w:type="dxa"/>
            <w:vAlign w:val="bottom"/>
          </w:tcPr>
          <w:p>
            <w:pPr>
              <w:widowControl/>
              <w:adjustRightInd/>
              <w:snapToGrid/>
              <w:spacing w:line="240" w:lineRule="auto"/>
              <w:ind w:firstLine="0" w:firstLineChars="0"/>
              <w:jc w:val="cente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lang w:eastAsia="en-US"/>
                <w14:textFill>
                  <w14:solidFill>
                    <w14:schemeClr w14:val="tx1"/>
                  </w14:solidFill>
                </w14:textFill>
              </w:rPr>
              <w:t>784</w:t>
            </w:r>
          </w:p>
        </w:tc>
        <w:tc>
          <w:tcPr>
            <w:tcW w:w="1371" w:type="dxa"/>
            <w:vMerge w:val="continue"/>
            <w:vAlign w:val="center"/>
          </w:tcPr>
          <w:p>
            <w:pPr>
              <w:widowControl/>
              <w:adjustRightInd/>
              <w:snapToGrid/>
              <w:spacing w:line="240" w:lineRule="auto"/>
              <w:ind w:firstLine="42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p>
        </w:tc>
        <w:tc>
          <w:tcPr>
            <w:tcW w:w="1371" w:type="dxa"/>
            <w:vAlign w:val="center"/>
          </w:tcPr>
          <w:p>
            <w:pPr>
              <w:widowControl/>
              <w:adjustRightInd/>
              <w:snapToGrid/>
              <w:spacing w:line="240" w:lineRule="auto"/>
              <w:ind w:firstLine="0" w:firstLineChars="0"/>
              <w:jc w:val="cente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cs="Times New Roman"/>
                <w:color w:val="000000" w:themeColor="text1"/>
                <w:kern w:val="0"/>
                <w:sz w:val="21"/>
                <w:szCs w:val="21"/>
                <w:highlight w:val="none"/>
                <w:lang w:eastAsia="en-US"/>
                <w14:textFill>
                  <w14:solidFill>
                    <w14:schemeClr w14:val="tx1"/>
                  </w14:solidFill>
                </w14:textFill>
              </w:rPr>
              <w:t>潜水</w:t>
            </w:r>
          </w:p>
        </w:tc>
      </w:tr>
    </w:tbl>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p>
    <w:bookmarkEnd w:id="301"/>
    <w:p>
      <w:pPr>
        <w:pStyle w:val="4"/>
        <w:spacing w:before="120"/>
        <w:ind w:left="480" w:leftChars="0" w:firstLine="480" w:firstLineChars="0"/>
        <w:jc w:val="both"/>
        <w:rPr>
          <w:rFonts w:hint="default" w:ascii="Times New Roman" w:hAnsi="Times New Roman" w:cs="Times New Roman"/>
          <w:b/>
          <w:color w:val="000000" w:themeColor="text1"/>
          <w:szCs w:val="24"/>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lang w:eastAsia="zh-CN"/>
          <w14:textFill>
            <w14:solidFill>
              <w14:schemeClr w14:val="tx1"/>
            </w14:solidFill>
          </w14:textFill>
        </w:rPr>
        <w:t>地下水环境影响预测及评价</w:t>
      </w:r>
    </w:p>
    <w:p>
      <w:pPr>
        <w:pStyle w:val="21"/>
        <w:spacing w:before="0"/>
        <w:ind w:left="0" w:firstLine="480"/>
        <w:jc w:val="both"/>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1、地下水环境影响预测原则</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预测遵循保护地下水资源与环境的原则、遵循环境安全性原则，预测范围、时段、内容和方法根据评价工作等级、工程特征与环境特征，结合当地环境功能和环保要求确定，以拟建项目对地下水资源量、水质的影响及由此而产生的主要环境水文地质问题为重点，预测为评价项目的环境安全和环境保护措施的合理性提供依据。</w:t>
      </w:r>
    </w:p>
    <w:p>
      <w:pPr>
        <w:pStyle w:val="21"/>
        <w:spacing w:before="0"/>
        <w:ind w:left="0" w:firstLine="480"/>
        <w:jc w:val="both"/>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2、模型概化及参数选取</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（1）模型概化</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含有污染物的废水将以入渗的方式进入含水层，从保守角度，本次计算忽略污染物在包气带的运移过程。建设场地地下水流向呈一维流动，地下水位动态稳定，因此污染物在浅层含水层中的迁移，可概化为瞬时注入示踪剂（平面瞬时点源）的一维稳定流动二维水动力弥散问题。本次评价采用《环境影响评价技术导则—地下水》（HJ610-2016）中的地下水一维稳定流二维水动力弥散瞬时注入模式，采用解析法进行估算。</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drawing>
          <wp:inline distT="0" distB="0" distL="0" distR="0">
            <wp:extent cx="2826385" cy="7245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826385" cy="724535"/>
                    </a:xfrm>
                    <a:prstGeom prst="rect">
                      <a:avLst/>
                    </a:prstGeom>
                    <a:noFill/>
                    <a:ln>
                      <a:noFill/>
                    </a:ln>
                  </pic:spPr>
                </pic:pic>
              </a:graphicData>
            </a:graphic>
          </wp:inline>
        </w:drawing>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式中：</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x，y—计算点处的位置坐标；</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t—时间，d；</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C（x，y，t）—t时刻点x，y处的示踪剂浓度，g/L；</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M—含水层的厚度，m；</w:t>
      </w:r>
    </w:p>
    <w:p>
      <w:pPr>
        <w:ind w:firstLine="480"/>
        <w:rPr>
          <w:rFonts w:hint="default" w:ascii="Times New Roman" w:hAnsi="Times New Roman" w:cs="Times New Roman"/>
          <w:color w:val="000000" w:themeColor="text1"/>
          <w:szCs w:val="24"/>
          <w:highlight w:val="none"/>
          <w14:textFill>
            <w14:solidFill>
              <w14:schemeClr w14:val="tx1"/>
            </w14:solidFill>
          </w14:textFill>
        </w:rPr>
      </w:pPr>
      <m:oMath>
        <m:sSub>
          <m:sSubPr>
            <m:ctrlPr>
              <w:rPr>
                <w:rFonts w:hint="default" w:ascii="Cambria Math" w:hAnsi="Cambria Math" w:cs="Times New Roman"/>
                <w:i/>
                <w:snapToGrid w:val="0"/>
                <w:color w:val="000000" w:themeColor="text1"/>
                <w:szCs w:val="24"/>
                <w:highlight w:val="none"/>
                <w14:textFill>
                  <w14:solidFill>
                    <w14:schemeClr w14:val="tx1"/>
                  </w14:solidFill>
                </w14:textFill>
              </w:rPr>
            </m:ctrlPr>
          </m:sSubPr>
          <m:e>
            <m:r>
              <m:rPr/>
              <w:rPr>
                <w:rFonts w:hint="default" w:ascii="Cambria Math" w:hAnsi="Cambria Math" w:cs="Times New Roman"/>
                <w:snapToGrid w:val="0"/>
                <w:color w:val="000000" w:themeColor="text1"/>
                <w:szCs w:val="24"/>
                <w:highlight w:val="none"/>
                <w14:textFill>
                  <w14:solidFill>
                    <w14:schemeClr w14:val="tx1"/>
                  </w14:solidFill>
                </w14:textFill>
              </w:rPr>
              <m:t>m</m:t>
            </m:r>
            <m:ctrlPr>
              <w:rPr>
                <w:rFonts w:hint="default" w:ascii="Cambria Math" w:hAnsi="Cambria Math" w:cs="Times New Roman"/>
                <w:i/>
                <w:snapToGrid w:val="0"/>
                <w:color w:val="000000" w:themeColor="text1"/>
                <w:szCs w:val="24"/>
                <w:highlight w:val="none"/>
                <w14:textFill>
                  <w14:solidFill>
                    <w14:schemeClr w14:val="tx1"/>
                  </w14:solidFill>
                </w14:textFill>
              </w:rPr>
            </m:ctrlPr>
          </m:e>
          <m:sub>
            <m:r>
              <m:rPr/>
              <w:rPr>
                <w:rFonts w:hint="default" w:ascii="Cambria Math" w:hAnsi="Cambria Math" w:cs="Times New Roman"/>
                <w:snapToGrid w:val="0"/>
                <w:color w:val="000000" w:themeColor="text1"/>
                <w:szCs w:val="24"/>
                <w:highlight w:val="none"/>
                <w14:textFill>
                  <w14:solidFill>
                    <w14:schemeClr w14:val="tx1"/>
                  </w14:solidFill>
                </w14:textFill>
              </w:rPr>
              <m:t>M</m:t>
            </m:r>
            <m:ctrlPr>
              <w:rPr>
                <w:rFonts w:hint="default" w:ascii="Cambria Math" w:hAnsi="Cambria Math" w:cs="Times New Roman"/>
                <w:i/>
                <w:snapToGrid w:val="0"/>
                <w:color w:val="000000" w:themeColor="text1"/>
                <w:szCs w:val="24"/>
                <w:highlight w:val="none"/>
                <w14:textFill>
                  <w14:solidFill>
                    <w14:schemeClr w14:val="tx1"/>
                  </w14:solidFill>
                </w14:textFill>
              </w:rPr>
            </m:ctrlPr>
          </m:sub>
        </m:sSub>
      </m:oMath>
      <w:r>
        <w:rPr>
          <w:rFonts w:hint="default" w:ascii="Times New Roman" w:hAnsi="Times New Roman" w:cs="Times New Roman"/>
          <w:color w:val="000000" w:themeColor="text1"/>
          <w:szCs w:val="24"/>
          <w:highlight w:val="none"/>
          <w14:textFill>
            <w14:solidFill>
              <w14:schemeClr w14:val="tx1"/>
            </w14:solidFill>
          </w14:textFill>
        </w:rPr>
        <w:t>—瞬时注入示踪剂的质量，kg；</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u—水流速度，m/d；</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n—有效孔隙度，无量纲；</w:t>
      </w:r>
    </w:p>
    <w:p>
      <w:pPr>
        <w:ind w:firstLine="480"/>
        <w:rPr>
          <w:rFonts w:hint="default" w:ascii="Times New Roman" w:hAnsi="Times New Roman" w:cs="Times New Roman"/>
          <w:color w:val="000000" w:themeColor="text1"/>
          <w:szCs w:val="24"/>
          <w:highlight w:val="none"/>
          <w14:textFill>
            <w14:solidFill>
              <w14:schemeClr w14:val="tx1"/>
            </w14:solidFill>
          </w14:textFill>
        </w:rPr>
      </w:pPr>
      <m:oMath>
        <m:sSub>
          <m:sSubPr>
            <m:ctrlPr>
              <w:rPr>
                <w:rFonts w:hint="default" w:ascii="Cambria Math" w:hAnsi="Cambria Math" w:cs="Times New Roman"/>
                <w:i/>
                <w:snapToGrid w:val="0"/>
                <w:color w:val="000000" w:themeColor="text1"/>
                <w:szCs w:val="24"/>
                <w:highlight w:val="none"/>
                <w14:textFill>
                  <w14:solidFill>
                    <w14:schemeClr w14:val="tx1"/>
                  </w14:solidFill>
                </w14:textFill>
              </w:rPr>
            </m:ctrlPr>
          </m:sSubPr>
          <m:e>
            <m:r>
              <m:rPr/>
              <w:rPr>
                <w:rFonts w:hint="default" w:ascii="Cambria Math" w:hAnsi="Cambria Math" w:cs="Times New Roman"/>
                <w:snapToGrid w:val="0"/>
                <w:color w:val="000000" w:themeColor="text1"/>
                <w:szCs w:val="24"/>
                <w:highlight w:val="none"/>
                <w14:textFill>
                  <w14:solidFill>
                    <w14:schemeClr w14:val="tx1"/>
                  </w14:solidFill>
                </w14:textFill>
              </w:rPr>
              <m:t>D</m:t>
            </m:r>
            <m:ctrlPr>
              <w:rPr>
                <w:rFonts w:hint="default" w:ascii="Cambria Math" w:hAnsi="Cambria Math" w:cs="Times New Roman"/>
                <w:i/>
                <w:snapToGrid w:val="0"/>
                <w:color w:val="000000" w:themeColor="text1"/>
                <w:szCs w:val="24"/>
                <w:highlight w:val="none"/>
                <w14:textFill>
                  <w14:solidFill>
                    <w14:schemeClr w14:val="tx1"/>
                  </w14:solidFill>
                </w14:textFill>
              </w:rPr>
            </m:ctrlPr>
          </m:e>
          <m:sub>
            <m:r>
              <m:rPr/>
              <w:rPr>
                <w:rFonts w:hint="default" w:ascii="Cambria Math" w:hAnsi="Cambria Math" w:cs="Times New Roman"/>
                <w:snapToGrid w:val="0"/>
                <w:color w:val="000000" w:themeColor="text1"/>
                <w:szCs w:val="24"/>
                <w:highlight w:val="none"/>
                <w14:textFill>
                  <w14:solidFill>
                    <w14:schemeClr w14:val="tx1"/>
                  </w14:solidFill>
                </w14:textFill>
              </w:rPr>
              <m:t>L</m:t>
            </m:r>
            <m:ctrlPr>
              <w:rPr>
                <w:rFonts w:hint="default" w:ascii="Cambria Math" w:hAnsi="Cambria Math" w:cs="Times New Roman"/>
                <w:i/>
                <w:snapToGrid w:val="0"/>
                <w:color w:val="000000" w:themeColor="text1"/>
                <w:szCs w:val="24"/>
                <w:highlight w:val="none"/>
                <w14:textFill>
                  <w14:solidFill>
                    <w14:schemeClr w14:val="tx1"/>
                  </w14:solidFill>
                </w14:textFill>
              </w:rPr>
            </m:ctrlPr>
          </m:sub>
        </m:sSub>
      </m:oMath>
      <w:r>
        <w:rPr>
          <w:rFonts w:hint="default" w:ascii="Times New Roman" w:hAnsi="Times New Roman" w:cs="Times New Roman"/>
          <w:color w:val="000000" w:themeColor="text1"/>
          <w:szCs w:val="24"/>
          <w:highlight w:val="none"/>
          <w14:textFill>
            <w14:solidFill>
              <w14:schemeClr w14:val="tx1"/>
            </w14:solidFill>
          </w14:textFill>
        </w:rPr>
        <w:t>—纵向弥散系数，m</w:t>
      </w:r>
      <w:r>
        <w:rPr>
          <w:rFonts w:hint="default" w:ascii="Times New Roman" w:hAnsi="Times New Roman" w:cs="Times New Roman"/>
          <w:color w:val="000000" w:themeColor="text1"/>
          <w:szCs w:val="24"/>
          <w:highlight w:val="none"/>
          <w:vertAlign w:val="super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/d；</w:t>
      </w:r>
    </w:p>
    <w:p>
      <w:pPr>
        <w:ind w:firstLine="480"/>
        <w:rPr>
          <w:rFonts w:hint="default" w:ascii="Times New Roman" w:hAnsi="Times New Roman" w:cs="Times New Roman"/>
          <w:color w:val="000000" w:themeColor="text1"/>
          <w:szCs w:val="24"/>
          <w:highlight w:val="none"/>
          <w14:textFill>
            <w14:solidFill>
              <w14:schemeClr w14:val="tx1"/>
            </w14:solidFill>
          </w14:textFill>
        </w:rPr>
      </w:pPr>
      <m:oMath>
        <m:sSub>
          <m:sSubPr>
            <m:ctrlPr>
              <w:rPr>
                <w:rFonts w:hint="default" w:ascii="Cambria Math" w:hAnsi="Cambria Math" w:cs="Times New Roman"/>
                <w:i/>
                <w:snapToGrid w:val="0"/>
                <w:color w:val="000000" w:themeColor="text1"/>
                <w:szCs w:val="24"/>
                <w:highlight w:val="none"/>
                <w14:textFill>
                  <w14:solidFill>
                    <w14:schemeClr w14:val="tx1"/>
                  </w14:solidFill>
                </w14:textFill>
              </w:rPr>
            </m:ctrlPr>
          </m:sSubPr>
          <m:e>
            <m:r>
              <m:rPr/>
              <w:rPr>
                <w:rFonts w:hint="default" w:ascii="Cambria Math" w:hAnsi="Cambria Math" w:cs="Times New Roman"/>
                <w:snapToGrid w:val="0"/>
                <w:color w:val="000000" w:themeColor="text1"/>
                <w:szCs w:val="24"/>
                <w:highlight w:val="none"/>
                <w14:textFill>
                  <w14:solidFill>
                    <w14:schemeClr w14:val="tx1"/>
                  </w14:solidFill>
                </w14:textFill>
              </w:rPr>
              <m:t>D</m:t>
            </m:r>
            <m:ctrlPr>
              <w:rPr>
                <w:rFonts w:hint="default" w:ascii="Cambria Math" w:hAnsi="Cambria Math" w:cs="Times New Roman"/>
                <w:i/>
                <w:snapToGrid w:val="0"/>
                <w:color w:val="000000" w:themeColor="text1"/>
                <w:szCs w:val="24"/>
                <w:highlight w:val="none"/>
                <w14:textFill>
                  <w14:solidFill>
                    <w14:schemeClr w14:val="tx1"/>
                  </w14:solidFill>
                </w14:textFill>
              </w:rPr>
            </m:ctrlPr>
          </m:e>
          <m:sub>
            <m:r>
              <m:rPr/>
              <w:rPr>
                <w:rFonts w:hint="default" w:ascii="Cambria Math" w:hAnsi="Cambria Math" w:cs="Times New Roman"/>
                <w:snapToGrid w:val="0"/>
                <w:color w:val="000000" w:themeColor="text1"/>
                <w:szCs w:val="24"/>
                <w:highlight w:val="none"/>
                <w14:textFill>
                  <w14:solidFill>
                    <w14:schemeClr w14:val="tx1"/>
                  </w14:solidFill>
                </w14:textFill>
              </w:rPr>
              <m:t>T</m:t>
            </m:r>
            <m:ctrlPr>
              <w:rPr>
                <w:rFonts w:hint="default" w:ascii="Cambria Math" w:hAnsi="Cambria Math" w:cs="Times New Roman"/>
                <w:i/>
                <w:snapToGrid w:val="0"/>
                <w:color w:val="000000" w:themeColor="text1"/>
                <w:szCs w:val="24"/>
                <w:highlight w:val="none"/>
                <w14:textFill>
                  <w14:solidFill>
                    <w14:schemeClr w14:val="tx1"/>
                  </w14:solidFill>
                </w14:textFill>
              </w:rPr>
            </m:ctrlPr>
          </m:sub>
        </m:sSub>
      </m:oMath>
      <w:r>
        <w:rPr>
          <w:rFonts w:hint="default" w:ascii="Times New Roman" w:hAnsi="Times New Roman" w:cs="Times New Roman"/>
          <w:color w:val="000000" w:themeColor="text1"/>
          <w:szCs w:val="24"/>
          <w:highlight w:val="none"/>
          <w14:textFill>
            <w14:solidFill>
              <w14:schemeClr w14:val="tx1"/>
            </w14:solidFill>
          </w14:textFill>
        </w:rPr>
        <w:t>—横向y方向的弥散系数，m</w:t>
      </w:r>
      <w:r>
        <w:rPr>
          <w:rFonts w:hint="default" w:ascii="Times New Roman" w:hAnsi="Times New Roman" w:cs="Times New Roman"/>
          <w:color w:val="000000" w:themeColor="text1"/>
          <w:szCs w:val="24"/>
          <w:highlight w:val="none"/>
          <w:vertAlign w:val="super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/d；</w:t>
      </w:r>
    </w:p>
    <w:p>
      <w:pPr>
        <w:ind w:firstLine="480"/>
        <w:rPr>
          <w:rFonts w:hint="default" w:ascii="Times New Roman" w:hAnsi="Times New Roman" w:cs="Times New Roman"/>
          <w:color w:val="000000" w:themeColor="text1"/>
          <w:szCs w:val="24"/>
          <w:highlight w:val="none"/>
          <w14:textFill>
            <w14:solidFill>
              <w14:schemeClr w14:val="tx1"/>
            </w14:solidFill>
          </w14:textFill>
        </w:rPr>
      </w:pPr>
      <m:oMath>
        <m:r>
          <m:rPr/>
          <w:rPr>
            <w:rFonts w:hint="default" w:ascii="Cambria Math" w:hAnsi="Cambria Math" w:cs="Times New Roman"/>
            <w:snapToGrid w:val="0"/>
            <w:color w:val="000000" w:themeColor="text1"/>
            <w:szCs w:val="24"/>
            <w:highlight w:val="none"/>
            <w14:textFill>
              <w14:solidFill>
                <w14:schemeClr w14:val="tx1"/>
              </w14:solidFill>
            </w14:textFill>
          </w:rPr>
          <m:t>π</m:t>
        </m:r>
      </m:oMath>
      <w:r>
        <w:rPr>
          <w:rFonts w:hint="default" w:ascii="Times New Roman" w:hAnsi="Times New Roman" w:cs="Times New Roman"/>
          <w:color w:val="000000" w:themeColor="text1"/>
          <w:szCs w:val="24"/>
          <w:highlight w:val="none"/>
          <w14:textFill>
            <w14:solidFill>
              <w14:schemeClr w14:val="tx1"/>
            </w14:solidFill>
          </w14:textFill>
        </w:rPr>
        <w:t>—圆周率。</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将本次预测所用模型转换形式后可得：</w:t>
      </w:r>
    </w:p>
    <w:p>
      <w:pPr>
        <w:ind w:firstLine="480"/>
        <w:rPr>
          <w:rFonts w:hint="default" w:ascii="Times New Roman" w:hAnsi="Times New Roman" w:cs="Times New Roman"/>
          <w:color w:val="000000" w:themeColor="text1"/>
          <w:szCs w:val="24"/>
          <w:highlight w:val="none"/>
          <w14:textFill>
            <w14:solidFill>
              <w14:schemeClr w14:val="tx1"/>
            </w14:solidFill>
          </w14:textFill>
        </w:rPr>
      </w:pPr>
      <m:oMathPara>
        <m:oMath>
          <m:f>
            <m:fPr>
              <m:ctrlPr>
                <w:rPr>
                  <w:rFonts w:hint="default" w:ascii="Cambria Math" w:hAnsi="Cambria Math" w:cs="Times New Roman"/>
                  <w:i/>
                  <w:color w:val="000000" w:themeColor="text1"/>
                  <w:szCs w:val="24"/>
                  <w:highlight w:val="none"/>
                  <w14:textFill>
                    <w14:solidFill>
                      <w14:schemeClr w14:val="tx1"/>
                    </w14:solidFill>
                  </w14:textFill>
                </w:rPr>
              </m:ctrlPr>
            </m:fPr>
            <m:num>
              <m:sSup>
                <m:sSupPr>
                  <m:ctrlPr>
                    <w:rPr>
                      <w:rFonts w:hint="default" w:ascii="Cambria Math" w:hAnsi="Cambria Math" w:cs="Times New Roman"/>
                      <w:i/>
                      <w:color w:val="000000" w:themeColor="text1"/>
                      <w:szCs w:val="24"/>
                      <w:highlight w:val="none"/>
                      <w14:textFill>
                        <w14:solidFill>
                          <w14:schemeClr w14:val="tx1"/>
                        </w14:solidFill>
                      </w14:textFill>
                    </w:rPr>
                  </m:ctrlPr>
                </m:sSupPr>
                <m:e>
                  <m:r>
                    <m:rPr/>
                    <w:rPr>
                      <w:rFonts w:hint="default" w:ascii="Cambria Math" w:hAnsi="Cambria Math" w:cs="Times New Roman"/>
                      <w:color w:val="000000" w:themeColor="text1"/>
                      <w:szCs w:val="24"/>
                      <w:highlight w:val="none"/>
                      <w14:textFill>
                        <w14:solidFill>
                          <w14:schemeClr w14:val="tx1"/>
                        </w14:solidFill>
                      </w14:textFill>
                    </w:rPr>
                    <m:t>(x−ut)</m:t>
                  </m:r>
                  <m:ctrlPr>
                    <w:rPr>
                      <w:rFonts w:hint="default" w:ascii="Cambria Math" w:hAnsi="Cambria Math" w:cs="Times New Roman"/>
                      <w:i/>
                      <w:color w:val="000000" w:themeColor="text1"/>
                      <w:szCs w:val="24"/>
                      <w:highlight w:val="none"/>
                      <w14:textFill>
                        <w14:solidFill>
                          <w14:schemeClr w14:val="tx1"/>
                        </w14:solidFill>
                      </w14:textFill>
                    </w:rPr>
                  </m:ctrlPr>
                </m:e>
                <m:sup>
                  <m:r>
                    <m:rPr/>
                    <w:rPr>
                      <w:rFonts w:hint="default" w:ascii="Cambria Math" w:hAnsi="Cambria Math" w:cs="Times New Roman"/>
                      <w:color w:val="000000" w:themeColor="text1"/>
                      <w:szCs w:val="24"/>
                      <w:highlight w:val="none"/>
                      <w14:textFill>
                        <w14:solidFill>
                          <w14:schemeClr w14:val="tx1"/>
                        </w14:solidFill>
                      </w14:textFill>
                    </w:rPr>
                    <m:t>2</m:t>
                  </m:r>
                  <m:ctrlPr>
                    <w:rPr>
                      <w:rFonts w:hint="default" w:ascii="Cambria Math" w:hAnsi="Cambria Math" w:cs="Times New Roman"/>
                      <w:i/>
                      <w:color w:val="000000" w:themeColor="text1"/>
                      <w:szCs w:val="24"/>
                      <w:highlight w:val="none"/>
                      <w14:textFill>
                        <w14:solidFill>
                          <w14:schemeClr w14:val="tx1"/>
                        </w14:solidFill>
                      </w14:textFill>
                    </w:rPr>
                  </m:ctrlPr>
                </m:sup>
              </m:sSup>
              <m:ctrlPr>
                <w:rPr>
                  <w:rFonts w:hint="default" w:ascii="Cambria Math" w:hAnsi="Cambria Math" w:cs="Times New Roman"/>
                  <w:i/>
                  <w:color w:val="000000" w:themeColor="text1"/>
                  <w:szCs w:val="24"/>
                  <w:highlight w:val="none"/>
                  <w14:textFill>
                    <w14:solidFill>
                      <w14:schemeClr w14:val="tx1"/>
                    </w14:solidFill>
                  </w14:textFill>
                </w:rPr>
              </m:ctrlPr>
            </m:num>
            <m:den>
              <m:r>
                <m:rPr/>
                <w:rPr>
                  <w:rFonts w:hint="default" w:ascii="Cambria Math" w:hAnsi="Cambria Math" w:cs="Times New Roman"/>
                  <w:color w:val="000000" w:themeColor="text1"/>
                  <w:szCs w:val="24"/>
                  <w:highlight w:val="none"/>
                  <w14:textFill>
                    <w14:solidFill>
                      <w14:schemeClr w14:val="tx1"/>
                    </w14:solidFill>
                  </w14:textFill>
                </w:rPr>
                <m:t>4</m:t>
              </m:r>
              <m:sSub>
                <m:sSubPr>
                  <m:ctrlPr>
                    <w:rPr>
                      <w:rFonts w:hint="default" w:ascii="Cambria Math" w:hAnsi="Cambria Math" w:cs="Times New Roman"/>
                      <w:i/>
                      <w:color w:val="000000" w:themeColor="text1"/>
                      <w:szCs w:val="24"/>
                      <w:highlight w:val="none"/>
                      <w14:textFill>
                        <w14:solidFill>
                          <w14:schemeClr w14:val="tx1"/>
                        </w14:solidFill>
                      </w14:textFill>
                    </w:rPr>
                  </m:ctrlPr>
                </m:sSubPr>
                <m:e>
                  <m:r>
                    <m:rPr/>
                    <w:rPr>
                      <w:rFonts w:hint="default" w:ascii="Cambria Math" w:hAnsi="Cambria Math" w:cs="Times New Roman"/>
                      <w:color w:val="000000" w:themeColor="text1"/>
                      <w:szCs w:val="24"/>
                      <w:highlight w:val="none"/>
                      <w14:textFill>
                        <w14:solidFill>
                          <w14:schemeClr w14:val="tx1"/>
                        </w14:solidFill>
                      </w14:textFill>
                    </w:rPr>
                    <m:t>D</m:t>
                  </m:r>
                  <m:ctrlPr>
                    <w:rPr>
                      <w:rFonts w:hint="default" w:ascii="Cambria Math" w:hAnsi="Cambria Math" w:cs="Times New Roman"/>
                      <w:i/>
                      <w:color w:val="000000" w:themeColor="text1"/>
                      <w:szCs w:val="24"/>
                      <w:highlight w:val="none"/>
                      <w14:textFill>
                        <w14:solidFill>
                          <w14:schemeClr w14:val="tx1"/>
                        </w14:solidFill>
                      </w14:textFill>
                    </w:rPr>
                  </m:ctrlPr>
                </m:e>
                <m:sub>
                  <m:r>
                    <m:rPr/>
                    <w:rPr>
                      <w:rFonts w:hint="default" w:ascii="Cambria Math" w:hAnsi="Cambria Math" w:cs="Times New Roman"/>
                      <w:color w:val="000000" w:themeColor="text1"/>
                      <w:szCs w:val="24"/>
                      <w:highlight w:val="none"/>
                      <w14:textFill>
                        <w14:solidFill>
                          <w14:schemeClr w14:val="tx1"/>
                        </w14:solidFill>
                      </w14:textFill>
                    </w:rPr>
                    <m:t>L</m:t>
                  </m:r>
                  <m:ctrlPr>
                    <w:rPr>
                      <w:rFonts w:hint="default" w:ascii="Cambria Math" w:hAnsi="Cambria Math" w:cs="Times New Roman"/>
                      <w:i/>
                      <w:color w:val="000000" w:themeColor="text1"/>
                      <w:szCs w:val="24"/>
                      <w:highlight w:val="none"/>
                      <w14:textFill>
                        <w14:solidFill>
                          <w14:schemeClr w14:val="tx1"/>
                        </w14:solidFill>
                      </w14:textFill>
                    </w:rPr>
                  </m:ctrlPr>
                </m:sub>
              </m:sSub>
              <m:r>
                <m:rPr/>
                <w:rPr>
                  <w:rFonts w:hint="default" w:ascii="Cambria Math" w:hAnsi="Cambria Math" w:cs="Times New Roman"/>
                  <w:color w:val="000000" w:themeColor="text1"/>
                  <w:szCs w:val="24"/>
                  <w:highlight w:val="none"/>
                  <w14:textFill>
                    <w14:solidFill>
                      <w14:schemeClr w14:val="tx1"/>
                    </w14:solidFill>
                  </w14:textFill>
                </w:rPr>
                <m:t>t</m:t>
              </m:r>
              <m:ctrlPr>
                <w:rPr>
                  <w:rFonts w:hint="default" w:ascii="Cambria Math" w:hAnsi="Cambria Math" w:cs="Times New Roman"/>
                  <w:i/>
                  <w:color w:val="000000" w:themeColor="text1"/>
                  <w:szCs w:val="24"/>
                  <w:highlight w:val="none"/>
                  <w14:textFill>
                    <w14:solidFill>
                      <w14:schemeClr w14:val="tx1"/>
                    </w14:solidFill>
                  </w14:textFill>
                </w:rPr>
              </m:ctrlPr>
            </m:den>
          </m:f>
          <m:r>
            <m:rPr/>
            <w:rPr>
              <w:rFonts w:hint="default" w:ascii="Cambria Math" w:hAnsi="Cambria Math" w:cs="Times New Roman"/>
              <w:color w:val="000000" w:themeColor="text1"/>
              <w:szCs w:val="24"/>
              <w:highlight w:val="none"/>
              <w14:textFill>
                <w14:solidFill>
                  <w14:schemeClr w14:val="tx1"/>
                </w14:solidFill>
              </w14:textFill>
            </w:rPr>
            <m:t>+</m:t>
          </m:r>
          <m:f>
            <m:fPr>
              <m:ctrlPr>
                <w:rPr>
                  <w:rFonts w:hint="default" w:ascii="Cambria Math" w:hAnsi="Cambria Math" w:cs="Times New Roman"/>
                  <w:i/>
                  <w:color w:val="000000" w:themeColor="text1"/>
                  <w:szCs w:val="24"/>
                  <w:highlight w:val="none"/>
                  <w14:textFill>
                    <w14:solidFill>
                      <w14:schemeClr w14:val="tx1"/>
                    </w14:solidFill>
                  </w14:textFill>
                </w:rPr>
              </m:ctrlPr>
            </m:fPr>
            <m:num>
              <m:sSup>
                <m:sSupPr>
                  <m:ctrlPr>
                    <w:rPr>
                      <w:rFonts w:hint="default" w:ascii="Cambria Math" w:hAnsi="Cambria Math" w:cs="Times New Roman"/>
                      <w:i/>
                      <w:color w:val="000000" w:themeColor="text1"/>
                      <w:szCs w:val="24"/>
                      <w:highlight w:val="none"/>
                      <w14:textFill>
                        <w14:solidFill>
                          <w14:schemeClr w14:val="tx1"/>
                        </w14:solidFill>
                      </w14:textFill>
                    </w:rPr>
                  </m:ctrlPr>
                </m:sSupPr>
                <m:e>
                  <m:r>
                    <m:rPr/>
                    <w:rPr>
                      <w:rFonts w:hint="default" w:ascii="Cambria Math" w:hAnsi="Cambria Math" w:cs="Times New Roman"/>
                      <w:color w:val="000000" w:themeColor="text1"/>
                      <w:szCs w:val="24"/>
                      <w:highlight w:val="none"/>
                      <w14:textFill>
                        <w14:solidFill>
                          <w14:schemeClr w14:val="tx1"/>
                        </w14:solidFill>
                      </w14:textFill>
                    </w:rPr>
                    <m:t>y</m:t>
                  </m:r>
                  <m:ctrlPr>
                    <w:rPr>
                      <w:rFonts w:hint="default" w:ascii="Cambria Math" w:hAnsi="Cambria Math" w:cs="Times New Roman"/>
                      <w:i/>
                      <w:color w:val="000000" w:themeColor="text1"/>
                      <w:szCs w:val="24"/>
                      <w:highlight w:val="none"/>
                      <w14:textFill>
                        <w14:solidFill>
                          <w14:schemeClr w14:val="tx1"/>
                        </w14:solidFill>
                      </w14:textFill>
                    </w:rPr>
                  </m:ctrlPr>
                </m:e>
                <m:sup>
                  <m:r>
                    <m:rPr/>
                    <w:rPr>
                      <w:rFonts w:hint="default" w:ascii="Cambria Math" w:hAnsi="Cambria Math" w:cs="Times New Roman"/>
                      <w:color w:val="000000" w:themeColor="text1"/>
                      <w:szCs w:val="24"/>
                      <w:highlight w:val="none"/>
                      <w14:textFill>
                        <w14:solidFill>
                          <w14:schemeClr w14:val="tx1"/>
                        </w14:solidFill>
                      </w14:textFill>
                    </w:rPr>
                    <m:t>2</m:t>
                  </m:r>
                  <m:ctrlPr>
                    <w:rPr>
                      <w:rFonts w:hint="default" w:ascii="Cambria Math" w:hAnsi="Cambria Math" w:cs="Times New Roman"/>
                      <w:i/>
                      <w:color w:val="000000" w:themeColor="text1"/>
                      <w:szCs w:val="24"/>
                      <w:highlight w:val="none"/>
                      <w14:textFill>
                        <w14:solidFill>
                          <w14:schemeClr w14:val="tx1"/>
                        </w14:solidFill>
                      </w14:textFill>
                    </w:rPr>
                  </m:ctrlPr>
                </m:sup>
              </m:sSup>
              <m:ctrlPr>
                <w:rPr>
                  <w:rFonts w:hint="default" w:ascii="Cambria Math" w:hAnsi="Cambria Math" w:cs="Times New Roman"/>
                  <w:i/>
                  <w:color w:val="000000" w:themeColor="text1"/>
                  <w:szCs w:val="24"/>
                  <w:highlight w:val="none"/>
                  <w14:textFill>
                    <w14:solidFill>
                      <w14:schemeClr w14:val="tx1"/>
                    </w14:solidFill>
                  </w14:textFill>
                </w:rPr>
              </m:ctrlPr>
            </m:num>
            <m:den>
              <m:r>
                <m:rPr/>
                <w:rPr>
                  <w:rFonts w:hint="default" w:ascii="Cambria Math" w:hAnsi="Cambria Math" w:cs="Times New Roman"/>
                  <w:color w:val="000000" w:themeColor="text1"/>
                  <w:szCs w:val="24"/>
                  <w:highlight w:val="none"/>
                  <w14:textFill>
                    <w14:solidFill>
                      <w14:schemeClr w14:val="tx1"/>
                    </w14:solidFill>
                  </w14:textFill>
                </w:rPr>
                <m:t>4</m:t>
              </m:r>
              <m:sSub>
                <m:sSubPr>
                  <m:ctrlPr>
                    <w:rPr>
                      <w:rFonts w:hint="default" w:ascii="Cambria Math" w:hAnsi="Cambria Math" w:cs="Times New Roman"/>
                      <w:i/>
                      <w:color w:val="000000" w:themeColor="text1"/>
                      <w:szCs w:val="24"/>
                      <w:highlight w:val="none"/>
                      <w14:textFill>
                        <w14:solidFill>
                          <w14:schemeClr w14:val="tx1"/>
                        </w14:solidFill>
                      </w14:textFill>
                    </w:rPr>
                  </m:ctrlPr>
                </m:sSubPr>
                <m:e>
                  <m:r>
                    <m:rPr/>
                    <w:rPr>
                      <w:rFonts w:hint="default" w:ascii="Cambria Math" w:hAnsi="Cambria Math" w:cs="Times New Roman"/>
                      <w:color w:val="000000" w:themeColor="text1"/>
                      <w:szCs w:val="24"/>
                      <w:highlight w:val="none"/>
                      <w14:textFill>
                        <w14:solidFill>
                          <w14:schemeClr w14:val="tx1"/>
                        </w14:solidFill>
                      </w14:textFill>
                    </w:rPr>
                    <m:t>D</m:t>
                  </m:r>
                  <m:ctrlPr>
                    <w:rPr>
                      <w:rFonts w:hint="default" w:ascii="Cambria Math" w:hAnsi="Cambria Math" w:cs="Times New Roman"/>
                      <w:i/>
                      <w:color w:val="000000" w:themeColor="text1"/>
                      <w:szCs w:val="24"/>
                      <w:highlight w:val="none"/>
                      <w14:textFill>
                        <w14:solidFill>
                          <w14:schemeClr w14:val="tx1"/>
                        </w14:solidFill>
                      </w14:textFill>
                    </w:rPr>
                  </m:ctrlPr>
                </m:e>
                <m:sub>
                  <m:r>
                    <m:rPr/>
                    <w:rPr>
                      <w:rFonts w:hint="default" w:ascii="Cambria Math" w:hAnsi="Cambria Math" w:cs="Times New Roman"/>
                      <w:color w:val="000000" w:themeColor="text1"/>
                      <w:szCs w:val="24"/>
                      <w:highlight w:val="none"/>
                      <w14:textFill>
                        <w14:solidFill>
                          <w14:schemeClr w14:val="tx1"/>
                        </w14:solidFill>
                      </w14:textFill>
                    </w:rPr>
                    <m:t>T</m:t>
                  </m:r>
                  <m:ctrlPr>
                    <w:rPr>
                      <w:rFonts w:hint="default" w:ascii="Cambria Math" w:hAnsi="Cambria Math" w:cs="Times New Roman"/>
                      <w:i/>
                      <w:color w:val="000000" w:themeColor="text1"/>
                      <w:szCs w:val="24"/>
                      <w:highlight w:val="none"/>
                      <w14:textFill>
                        <w14:solidFill>
                          <w14:schemeClr w14:val="tx1"/>
                        </w14:solidFill>
                      </w14:textFill>
                    </w:rPr>
                  </m:ctrlPr>
                </m:sub>
              </m:sSub>
              <m:r>
                <m:rPr/>
                <w:rPr>
                  <w:rFonts w:hint="default" w:ascii="Cambria Math" w:hAnsi="Cambria Math" w:cs="Times New Roman"/>
                  <w:color w:val="000000" w:themeColor="text1"/>
                  <w:szCs w:val="24"/>
                  <w:highlight w:val="none"/>
                  <w14:textFill>
                    <w14:solidFill>
                      <w14:schemeClr w14:val="tx1"/>
                    </w14:solidFill>
                  </w14:textFill>
                </w:rPr>
                <m:t>t</m:t>
              </m:r>
              <m:ctrlPr>
                <w:rPr>
                  <w:rFonts w:hint="default" w:ascii="Cambria Math" w:hAnsi="Cambria Math" w:cs="Times New Roman"/>
                  <w:i/>
                  <w:color w:val="000000" w:themeColor="text1"/>
                  <w:szCs w:val="24"/>
                  <w:highlight w:val="none"/>
                  <w14:textFill>
                    <w14:solidFill>
                      <w14:schemeClr w14:val="tx1"/>
                    </w14:solidFill>
                  </w14:textFill>
                </w:rPr>
              </m:ctrlPr>
            </m:den>
          </m:f>
          <m:r>
            <m:rPr/>
            <w:rPr>
              <w:rFonts w:hint="default" w:ascii="Cambria Math" w:hAnsi="Cambria Math" w:cs="Times New Roman"/>
              <w:color w:val="000000" w:themeColor="text1"/>
              <w:szCs w:val="24"/>
              <w:highlight w:val="none"/>
              <w14:textFill>
                <w14:solidFill>
                  <w14:schemeClr w14:val="tx1"/>
                </w14:solidFill>
              </w14:textFill>
            </w:rPr>
            <m:t>=</m:t>
          </m:r>
          <m:func>
            <m:funcPr>
              <m:ctrlPr>
                <w:rPr>
                  <w:rFonts w:hint="default" w:ascii="Cambria Math" w:hAnsi="Cambria Math" w:cs="Times New Roman"/>
                  <w:i/>
                  <w:color w:val="000000" w:themeColor="text1"/>
                  <w:szCs w:val="24"/>
                  <w:highlight w:val="none"/>
                  <w14:textFill>
                    <w14:solidFill>
                      <w14:schemeClr w14:val="tx1"/>
                    </w14:solidFill>
                  </w14:textFill>
                </w:rPr>
              </m:ctrlPr>
            </m:funcPr>
            <m:fName>
              <m:r>
                <m:rPr>
                  <m:sty m:val="p"/>
                </m:rPr>
                <w:rPr>
                  <w:rFonts w:hint="default" w:ascii="Cambria Math" w:hAnsi="Cambria Math" w:cs="Times New Roman"/>
                  <w:color w:val="000000" w:themeColor="text1"/>
                  <w:szCs w:val="24"/>
                  <w:highlight w:val="none"/>
                  <w14:textFill>
                    <w14:solidFill>
                      <w14:schemeClr w14:val="tx1"/>
                    </w14:solidFill>
                  </w14:textFill>
                </w:rPr>
                <m:t>ln</m:t>
              </m:r>
              <m:ctrlPr>
                <w:rPr>
                  <w:rFonts w:hint="default" w:ascii="Cambria Math" w:hAnsi="Cambria Math" w:cs="Times New Roman"/>
                  <w:i/>
                  <w:color w:val="000000" w:themeColor="text1"/>
                  <w:szCs w:val="24"/>
                  <w:highlight w:val="none"/>
                  <w14:textFill>
                    <w14:solidFill>
                      <w14:schemeClr w14:val="tx1"/>
                    </w14:solidFill>
                  </w14:textFill>
                </w:rPr>
              </m:ctrlPr>
            </m:fName>
            <m:e>
              <m:d>
                <m:dPr>
                  <m:begChr m:val="["/>
                  <m:endChr m:val="]"/>
                  <m:ctrlPr>
                    <w:rPr>
                      <w:rFonts w:hint="default" w:ascii="Cambria Math" w:hAnsi="Cambria Math" w:cs="Times New Roman"/>
                      <w:i/>
                      <w:color w:val="000000" w:themeColor="text1"/>
                      <w:szCs w:val="24"/>
                      <w:highlight w:val="none"/>
                      <w14:textFill>
                        <w14:solidFill>
                          <w14:schemeClr w14:val="tx1"/>
                        </w14:solidFill>
                      </w14:textFill>
                    </w:rPr>
                  </m:ctrlPr>
                </m:dPr>
                <m:e>
                  <m:f>
                    <m:fPr>
                      <m:ctrlPr>
                        <w:rPr>
                          <w:rFonts w:hint="default" w:ascii="Cambria Math" w:hAnsi="Cambria Math" w:cs="Times New Roman"/>
                          <w:i/>
                          <w:color w:val="000000" w:themeColor="text1"/>
                          <w:szCs w:val="24"/>
                          <w:highlight w:val="none"/>
                          <w14:textFill>
                            <w14:solidFill>
                              <w14:schemeClr w14:val="tx1"/>
                            </w14:solidFill>
                          </w14:textFill>
                        </w:rPr>
                      </m:ctrlPr>
                    </m:fPr>
                    <m:num>
                      <m:sSub>
                        <m:sSubPr>
                          <m:ctrlPr>
                            <w:rPr>
                              <w:rFonts w:hint="default" w:ascii="Cambria Math" w:hAnsi="Cambria Math" w:cs="Times New Roman"/>
                              <w:color w:val="000000" w:themeColor="text1"/>
                              <w:szCs w:val="24"/>
                              <w:highlight w:val="none"/>
                              <w14:textFill>
                                <w14:solidFill>
                                  <w14:schemeClr w14:val="tx1"/>
                                </w14:solidFill>
                              </w14:textFill>
                            </w:rPr>
                          </m:ctrlPr>
                        </m:sSubPr>
                        <m:e>
                          <m:r>
                            <m:rPr>
                              <m:sty m:val="p"/>
                            </m:rPr>
                            <w:rPr>
                              <w:rFonts w:hint="default" w:ascii="Cambria Math" w:hAnsi="Cambria Math" w:cs="Times New Roman"/>
                              <w:color w:val="000000" w:themeColor="text1"/>
                              <w:szCs w:val="24"/>
                              <w:highlight w:val="none"/>
                              <w14:textFill>
                                <w14:solidFill>
                                  <w14:schemeClr w14:val="tx1"/>
                                </w14:solidFill>
                              </w14:textFill>
                            </w:rPr>
                            <m:t>m</m:t>
                          </m:r>
                          <m:ctrlPr>
                            <w:rPr>
                              <w:rFonts w:hint="default" w:ascii="Cambria Math" w:hAnsi="Cambria Math" w:cs="Times New Roman"/>
                              <w:color w:val="000000" w:themeColor="text1"/>
                              <w:szCs w:val="24"/>
                              <w:highlight w:val="none"/>
                              <w14:textFill>
                                <w14:solidFill>
                                  <w14:schemeClr w14:val="tx1"/>
                                </w14:solidFill>
                              </w14:textFill>
                            </w:rPr>
                          </m:ctrlPr>
                        </m:e>
                        <m:sub>
                          <m:r>
                            <m:rPr/>
                            <w:rPr>
                              <w:rFonts w:hint="default" w:ascii="Cambria Math" w:hAnsi="Cambria Math" w:cs="Times New Roman"/>
                              <w:color w:val="000000" w:themeColor="text1"/>
                              <w:szCs w:val="24"/>
                              <w:highlight w:val="none"/>
                              <w14:textFill>
                                <w14:solidFill>
                                  <w14:schemeClr w14:val="tx1"/>
                                </w14:solidFill>
                              </w14:textFill>
                            </w:rPr>
                            <m:t>M</m:t>
                          </m:r>
                          <m:ctrlPr>
                            <w:rPr>
                              <w:rFonts w:hint="default" w:ascii="Cambria Math" w:hAnsi="Cambria Math" w:cs="Times New Roman"/>
                              <w:color w:val="000000" w:themeColor="text1"/>
                              <w:szCs w:val="24"/>
                              <w:highlight w:val="none"/>
                              <w14:textFill>
                                <w14:solidFill>
                                  <w14:schemeClr w14:val="tx1"/>
                                </w14:solidFill>
                              </w14:textFill>
                            </w:rPr>
                          </m:ctrlPr>
                        </m:sub>
                      </m:sSub>
                      <m:ctrlPr>
                        <w:rPr>
                          <w:rFonts w:hint="default" w:ascii="Cambria Math" w:hAnsi="Cambria Math" w:cs="Times New Roman"/>
                          <w:i/>
                          <w:color w:val="000000" w:themeColor="text1"/>
                          <w:szCs w:val="24"/>
                          <w:highlight w:val="none"/>
                          <w14:textFill>
                            <w14:solidFill>
                              <w14:schemeClr w14:val="tx1"/>
                            </w14:solidFill>
                          </w14:textFill>
                        </w:rPr>
                      </m:ctrlPr>
                    </m:num>
                    <m:den>
                      <m:r>
                        <m:rPr/>
                        <w:rPr>
                          <w:rFonts w:hint="default" w:ascii="Cambria Math" w:hAnsi="Cambria Math" w:cs="Times New Roman"/>
                          <w:color w:val="000000" w:themeColor="text1"/>
                          <w:szCs w:val="24"/>
                          <w:highlight w:val="none"/>
                          <w14:textFill>
                            <w14:solidFill>
                              <w14:schemeClr w14:val="tx1"/>
                            </w14:solidFill>
                          </w14:textFill>
                        </w:rPr>
                        <m:t>4πnM</m:t>
                      </m:r>
                      <m:r>
                        <m:rPr>
                          <m:sty m:val="p"/>
                        </m:rPr>
                        <w:rPr>
                          <w:rFonts w:hint="default" w:ascii="Cambria Math" w:hAnsi="Cambria Math" w:cs="Times New Roman"/>
                          <w:color w:val="000000" w:themeColor="text1"/>
                          <w:szCs w:val="24"/>
                          <w:highlight w:val="none"/>
                          <w14:textFill>
                            <w14:solidFill>
                              <w14:schemeClr w14:val="tx1"/>
                            </w14:solidFill>
                          </w14:textFill>
                        </w:rPr>
                        <m:t>C</m:t>
                      </m:r>
                      <m:d>
                        <m:dPr>
                          <m:begChr m:val="（"/>
                          <m:endChr m:val="）"/>
                          <m:ctrlPr>
                            <w:rPr>
                              <w:rFonts w:hint="default" w:ascii="Cambria Math" w:hAnsi="Cambria Math" w:cs="Times New Roman"/>
                              <w:color w:val="000000" w:themeColor="text1"/>
                              <w:szCs w:val="24"/>
                              <w:highlight w:val="none"/>
                              <w14:textFill>
                                <w14:solidFill>
                                  <w14:schemeClr w14:val="tx1"/>
                                </w14:solidFill>
                              </w14:textFill>
                            </w:rPr>
                          </m:ctrlPr>
                        </m:dPr>
                        <m:e>
                          <m:r>
                            <m:rPr/>
                            <w:rPr>
                              <w:rFonts w:hint="default" w:ascii="Cambria Math" w:hAnsi="Cambria Math" w:cs="Times New Roman"/>
                              <w:color w:val="000000" w:themeColor="text1"/>
                              <w:szCs w:val="24"/>
                              <w:highlight w:val="none"/>
                              <w14:textFill>
                                <w14:solidFill>
                                  <w14:schemeClr w14:val="tx1"/>
                                </w14:solidFill>
                              </w14:textFill>
                            </w:rPr>
                            <m:t>x，y，t</m:t>
                          </m:r>
                          <m:ctrlPr>
                            <w:rPr>
                              <w:rFonts w:hint="default" w:ascii="Cambria Math" w:hAnsi="Cambria Math" w:cs="Times New Roman"/>
                              <w:color w:val="000000" w:themeColor="text1"/>
                              <w:szCs w:val="24"/>
                              <w:highlight w:val="none"/>
                              <w14:textFill>
                                <w14:solidFill>
                                  <w14:schemeClr w14:val="tx1"/>
                                </w14:solidFill>
                              </w14:textFill>
                            </w:rPr>
                          </m:ctrlPr>
                        </m:e>
                      </m:d>
                      <m:rad>
                        <m:radPr>
                          <m:degHide m:val="1"/>
                          <m:ctrlPr>
                            <w:rPr>
                              <w:rFonts w:hint="default" w:ascii="Cambria Math" w:hAnsi="Cambria Math" w:cs="Times New Roman"/>
                              <w:i/>
                              <w:color w:val="000000" w:themeColor="text1"/>
                              <w:szCs w:val="24"/>
                              <w:highlight w:val="none"/>
                              <w14:textFill>
                                <w14:solidFill>
                                  <w14:schemeClr w14:val="tx1"/>
                                </w14:solidFill>
                              </w14:textFill>
                            </w:rPr>
                          </m:ctrlPr>
                        </m:radPr>
                        <m:deg>
                          <m:ctrlPr>
                            <w:rPr>
                              <w:rFonts w:hint="default" w:ascii="Cambria Math" w:hAnsi="Cambria Math" w:cs="Times New Roman"/>
                              <w:i/>
                              <w:color w:val="000000" w:themeColor="text1"/>
                              <w:szCs w:val="24"/>
                              <w:highlight w:val="none"/>
                              <w14:textFill>
                                <w14:solidFill>
                                  <w14:schemeClr w14:val="tx1"/>
                                </w14:solidFill>
                              </w14:textFill>
                            </w:rPr>
                          </m:ctrlPr>
                        </m:deg>
                        <m:e>
                          <m:sSub>
                            <m:sSubPr>
                              <m:ctrlPr>
                                <w:rPr>
                                  <w:rFonts w:hint="default" w:ascii="Cambria Math" w:hAnsi="Cambria Math" w:cs="Times New Roman"/>
                                  <w:i/>
                                  <w:color w:val="000000" w:themeColor="text1"/>
                                  <w:szCs w:val="24"/>
                                  <w:highlight w:val="none"/>
                                  <w14:textFill>
                                    <w14:solidFill>
                                      <w14:schemeClr w14:val="tx1"/>
                                    </w14:solidFill>
                                  </w14:textFill>
                                </w:rPr>
                              </m:ctrlPr>
                            </m:sSubPr>
                            <m:e>
                              <m:r>
                                <m:rPr/>
                                <w:rPr>
                                  <w:rFonts w:hint="default" w:ascii="Cambria Math" w:hAnsi="Cambria Math" w:cs="Times New Roman"/>
                                  <w:color w:val="000000" w:themeColor="text1"/>
                                  <w:szCs w:val="24"/>
                                  <w:highlight w:val="none"/>
                                  <w14:textFill>
                                    <w14:solidFill>
                                      <w14:schemeClr w14:val="tx1"/>
                                    </w14:solidFill>
                                  </w14:textFill>
                                </w:rPr>
                                <m:t>D</m:t>
                              </m:r>
                              <m:ctrlPr>
                                <w:rPr>
                                  <w:rFonts w:hint="default" w:ascii="Cambria Math" w:hAnsi="Cambria Math" w:cs="Times New Roman"/>
                                  <w:i/>
                                  <w:color w:val="000000" w:themeColor="text1"/>
                                  <w:szCs w:val="24"/>
                                  <w:highlight w:val="none"/>
                                  <w14:textFill>
                                    <w14:solidFill>
                                      <w14:schemeClr w14:val="tx1"/>
                                    </w14:solidFill>
                                  </w14:textFill>
                                </w:rPr>
                              </m:ctrlPr>
                            </m:e>
                            <m:sub>
                              <m:r>
                                <m:rPr/>
                                <w:rPr>
                                  <w:rFonts w:hint="default" w:ascii="Cambria Math" w:hAnsi="Cambria Math" w:cs="Times New Roman"/>
                                  <w:color w:val="000000" w:themeColor="text1"/>
                                  <w:szCs w:val="24"/>
                                  <w:highlight w:val="none"/>
                                  <w14:textFill>
                                    <w14:solidFill>
                                      <w14:schemeClr w14:val="tx1"/>
                                    </w14:solidFill>
                                  </w14:textFill>
                                </w:rPr>
                                <m:t>L</m:t>
                              </m:r>
                              <m:ctrlPr>
                                <w:rPr>
                                  <w:rFonts w:hint="default" w:ascii="Cambria Math" w:hAnsi="Cambria Math" w:cs="Times New Roman"/>
                                  <w:i/>
                                  <w:color w:val="000000" w:themeColor="text1"/>
                                  <w:szCs w:val="24"/>
                                  <w:highlight w:val="none"/>
                                  <w14:textFill>
                                    <w14:solidFill>
                                      <w14:schemeClr w14:val="tx1"/>
                                    </w14:solidFill>
                                  </w14:textFill>
                                </w:rPr>
                              </m:ctrlPr>
                            </m:sub>
                          </m:sSub>
                          <m:sSub>
                            <m:sSubPr>
                              <m:ctrlPr>
                                <w:rPr>
                                  <w:rFonts w:hint="default" w:ascii="Cambria Math" w:hAnsi="Cambria Math" w:cs="Times New Roman"/>
                                  <w:i/>
                                  <w:color w:val="000000" w:themeColor="text1"/>
                                  <w:szCs w:val="24"/>
                                  <w:highlight w:val="none"/>
                                  <w14:textFill>
                                    <w14:solidFill>
                                      <w14:schemeClr w14:val="tx1"/>
                                    </w14:solidFill>
                                  </w14:textFill>
                                </w:rPr>
                              </m:ctrlPr>
                            </m:sSubPr>
                            <m:e>
                              <m:r>
                                <m:rPr/>
                                <w:rPr>
                                  <w:rFonts w:hint="default" w:ascii="Cambria Math" w:hAnsi="Cambria Math" w:cs="Times New Roman"/>
                                  <w:color w:val="000000" w:themeColor="text1"/>
                                  <w:szCs w:val="24"/>
                                  <w:highlight w:val="none"/>
                                  <w14:textFill>
                                    <w14:solidFill>
                                      <w14:schemeClr w14:val="tx1"/>
                                    </w14:solidFill>
                                  </w14:textFill>
                                </w:rPr>
                                <m:t>D</m:t>
                              </m:r>
                              <m:ctrlPr>
                                <w:rPr>
                                  <w:rFonts w:hint="default" w:ascii="Cambria Math" w:hAnsi="Cambria Math" w:cs="Times New Roman"/>
                                  <w:i/>
                                  <w:color w:val="000000" w:themeColor="text1"/>
                                  <w:szCs w:val="24"/>
                                  <w:highlight w:val="none"/>
                                  <w14:textFill>
                                    <w14:solidFill>
                                      <w14:schemeClr w14:val="tx1"/>
                                    </w14:solidFill>
                                  </w14:textFill>
                                </w:rPr>
                              </m:ctrlPr>
                            </m:e>
                            <m:sub>
                              <m:r>
                                <m:rPr/>
                                <w:rPr>
                                  <w:rFonts w:hint="default" w:ascii="Cambria Math" w:hAnsi="Cambria Math" w:cs="Times New Roman"/>
                                  <w:color w:val="000000" w:themeColor="text1"/>
                                  <w:szCs w:val="24"/>
                                  <w:highlight w:val="none"/>
                                  <w14:textFill>
                                    <w14:solidFill>
                                      <w14:schemeClr w14:val="tx1"/>
                                    </w14:solidFill>
                                  </w14:textFill>
                                </w:rPr>
                                <m:t>T</m:t>
                              </m:r>
                              <m:ctrlPr>
                                <w:rPr>
                                  <w:rFonts w:hint="default" w:ascii="Cambria Math" w:hAnsi="Cambria Math" w:cs="Times New Roman"/>
                                  <w:i/>
                                  <w:color w:val="000000" w:themeColor="text1"/>
                                  <w:szCs w:val="24"/>
                                  <w:highlight w:val="none"/>
                                  <w14:textFill>
                                    <w14:solidFill>
                                      <w14:schemeClr w14:val="tx1"/>
                                    </w14:solidFill>
                                  </w14:textFill>
                                </w:rPr>
                              </m:ctrlPr>
                            </m:sub>
                          </m:sSub>
                          <m:ctrlPr>
                            <w:rPr>
                              <w:rFonts w:hint="default" w:ascii="Cambria Math" w:hAnsi="Cambria Math" w:cs="Times New Roman"/>
                              <w:i/>
                              <w:color w:val="000000" w:themeColor="text1"/>
                              <w:szCs w:val="24"/>
                              <w:highlight w:val="none"/>
                              <w14:textFill>
                                <w14:solidFill>
                                  <w14:schemeClr w14:val="tx1"/>
                                </w14:solidFill>
                              </w14:textFill>
                            </w:rPr>
                          </m:ctrlPr>
                        </m:e>
                      </m:rad>
                      <m:r>
                        <m:rPr/>
                        <w:rPr>
                          <w:rFonts w:hint="default" w:ascii="Cambria Math" w:hAnsi="Cambria Math" w:cs="Times New Roman"/>
                          <w:color w:val="000000" w:themeColor="text1"/>
                          <w:szCs w:val="24"/>
                          <w:highlight w:val="none"/>
                          <w14:textFill>
                            <w14:solidFill>
                              <w14:schemeClr w14:val="tx1"/>
                            </w14:solidFill>
                          </w14:textFill>
                        </w:rPr>
                        <m:t>t</m:t>
                      </m:r>
                      <m:ctrlPr>
                        <w:rPr>
                          <w:rFonts w:hint="default" w:ascii="Cambria Math" w:hAnsi="Cambria Math" w:cs="Times New Roman"/>
                          <w:i/>
                          <w:color w:val="000000" w:themeColor="text1"/>
                          <w:szCs w:val="24"/>
                          <w:highlight w:val="none"/>
                          <w14:textFill>
                            <w14:solidFill>
                              <w14:schemeClr w14:val="tx1"/>
                            </w14:solidFill>
                          </w14:textFill>
                        </w:rPr>
                      </m:ctrlPr>
                    </m:den>
                  </m:f>
                  <m:ctrlPr>
                    <w:rPr>
                      <w:rFonts w:hint="default" w:ascii="Cambria Math" w:hAnsi="Cambria Math" w:cs="Times New Roman"/>
                      <w:i/>
                      <w:color w:val="000000" w:themeColor="text1"/>
                      <w:szCs w:val="24"/>
                      <w:highlight w:val="none"/>
                      <w14:textFill>
                        <w14:solidFill>
                          <w14:schemeClr w14:val="tx1"/>
                        </w14:solidFill>
                      </w14:textFill>
                    </w:rPr>
                  </m:ctrlPr>
                </m:e>
              </m:d>
              <m:ctrlPr>
                <w:rPr>
                  <w:rFonts w:hint="default" w:ascii="Cambria Math" w:hAnsi="Cambria Math" w:cs="Times New Roman"/>
                  <w:i/>
                  <w:color w:val="000000" w:themeColor="text1"/>
                  <w:szCs w:val="24"/>
                  <w:highlight w:val="none"/>
                  <w14:textFill>
                    <w14:solidFill>
                      <w14:schemeClr w14:val="tx1"/>
                    </w14:solidFill>
                  </w14:textFill>
                </w:rPr>
              </m:ctrlPr>
            </m:e>
          </m:func>
        </m:oMath>
      </m:oMathPara>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从上式可以看出，当污染物排放量一定，排放时间一定时，同一浓度等值线为一椭圆。同时从该式可知，仅当右式大于0时，该式才有意义。</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本次预测所用模型需要的参数有：含水层厚度M；外泄污染物质量m</w:t>
      </w:r>
      <w:r>
        <w:rPr>
          <w:rFonts w:hint="default" w:ascii="Times New Roman" w:hAnsi="Times New Roman" w:cs="Times New Roman"/>
          <w:color w:val="000000" w:themeColor="text1"/>
          <w:szCs w:val="24"/>
          <w:highlight w:val="none"/>
          <w:vertAlign w:val="subscript"/>
          <w14:textFill>
            <w14:solidFill>
              <w14:schemeClr w14:val="tx1"/>
            </w14:solidFill>
          </w14:textFill>
        </w:rPr>
        <w:t>M</w:t>
      </w:r>
      <w:r>
        <w:rPr>
          <w:rFonts w:hint="default" w:ascii="Times New Roman" w:hAnsi="Times New Roman" w:cs="Times New Roman"/>
          <w:color w:val="000000" w:themeColor="text1"/>
          <w:szCs w:val="24"/>
          <w:highlight w:val="none"/>
          <w14:textFill>
            <w14:solidFill>
              <w14:schemeClr w14:val="tx1"/>
            </w14:solidFill>
          </w14:textFill>
        </w:rPr>
        <w:t>；岩层的有效孔隙度n；水流速度u；污染物纵向弥散系数D</w:t>
      </w:r>
      <w:r>
        <w:rPr>
          <w:rFonts w:hint="default" w:ascii="Times New Roman" w:hAnsi="Times New Roman" w:cs="Times New Roman"/>
          <w:color w:val="000000" w:themeColor="text1"/>
          <w:szCs w:val="24"/>
          <w:highlight w:val="none"/>
          <w:vertAlign w:val="subscript"/>
          <w14:textFill>
            <w14:solidFill>
              <w14:schemeClr w14:val="tx1"/>
            </w14:solidFill>
          </w14:textFill>
        </w:rPr>
        <w:t>L</w:t>
      </w:r>
      <w:r>
        <w:rPr>
          <w:rFonts w:hint="default" w:ascii="Times New Roman" w:hAnsi="Times New Roman" w:cs="Times New Roman"/>
          <w:color w:val="000000" w:themeColor="text1"/>
          <w:szCs w:val="24"/>
          <w:highlight w:val="none"/>
          <w14:textFill>
            <w14:solidFill>
              <w14:schemeClr w14:val="tx1"/>
            </w14:solidFill>
          </w14:textFill>
        </w:rPr>
        <w:t>；污染物横向弥散系数D</w:t>
      </w:r>
      <w:r>
        <w:rPr>
          <w:rFonts w:hint="default" w:ascii="Times New Roman" w:hAnsi="Times New Roman" w:cs="Times New Roman"/>
          <w:color w:val="000000" w:themeColor="text1"/>
          <w:szCs w:val="24"/>
          <w:highlight w:val="none"/>
          <w:vertAlign w:val="subscript"/>
          <w14:textFill>
            <w14:solidFill>
              <w14:schemeClr w14:val="tx1"/>
            </w14:solidFill>
          </w14:textFill>
        </w:rPr>
        <w:t>T</w:t>
      </w:r>
      <w:r>
        <w:rPr>
          <w:rFonts w:hint="default" w:ascii="Times New Roman" w:hAnsi="Times New Roman" w:cs="Times New Roman"/>
          <w:color w:val="000000" w:themeColor="text1"/>
          <w:szCs w:val="24"/>
          <w:highlight w:val="none"/>
          <w14:textFill>
            <w14:solidFill>
              <w14:schemeClr w14:val="tx1"/>
            </w14:solidFill>
          </w14:textFill>
        </w:rPr>
        <w:t>。这些参数主要由本次工作的调查资料以及类比区最新的勘察成果资料来确定。</w:t>
      </w:r>
    </w:p>
    <w:p>
      <w:pPr>
        <w:ind w:firstLine="482"/>
        <w:rPr>
          <w:rFonts w:hint="default" w:ascii="Times New Roman" w:hAnsi="Times New Roman" w:cs="Times New Roman"/>
          <w:b/>
          <w:bCs/>
          <w:snapToGrid w:val="0"/>
          <w:color w:val="000000" w:themeColor="text1"/>
          <w:szCs w:val="24"/>
          <w:highlight w:val="none"/>
          <w14:textFill>
            <w14:solidFill>
              <w14:schemeClr w14:val="tx1"/>
            </w14:solidFill>
          </w14:textFill>
        </w:rPr>
      </w:pPr>
      <w:r>
        <w:rPr>
          <w:rFonts w:hint="default" w:ascii="Times New Roman" w:hAnsi="Times New Roman" w:cs="Times New Roman"/>
          <w:b/>
          <w:bCs/>
          <w:snapToGrid w:val="0"/>
          <w:color w:val="000000" w:themeColor="text1"/>
          <w:szCs w:val="24"/>
          <w:highlight w:val="none"/>
          <w14:textFill>
            <w14:solidFill>
              <w14:schemeClr w14:val="tx1"/>
            </w14:solidFill>
          </w14:textFill>
        </w:rPr>
        <w:t>（2）模型参数选取</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①含水层厚度M：本区域含水层厚度为20～30m，本次取25m。</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②瞬时注入的示踪剂质量m</w:t>
      </w:r>
      <w:r>
        <w:rPr>
          <w:rFonts w:hint="default" w:ascii="Times New Roman" w:hAnsi="Times New Roman" w:cs="Times New Roman"/>
          <w:color w:val="000000" w:themeColor="text1"/>
          <w:szCs w:val="24"/>
          <w:highlight w:val="none"/>
          <w:vertAlign w:val="subscript"/>
          <w14:textFill>
            <w14:solidFill>
              <w14:schemeClr w14:val="tx1"/>
            </w14:solidFill>
          </w14:textFill>
        </w:rPr>
        <w:t>M</w:t>
      </w:r>
      <w:r>
        <w:rPr>
          <w:rFonts w:hint="default" w:ascii="Times New Roman" w:hAnsi="Times New Roman" w:cs="Times New Roman"/>
          <w:color w:val="000000" w:themeColor="text1"/>
          <w:szCs w:val="24"/>
          <w:highlight w:val="none"/>
          <w14:textFill>
            <w14:solidFill>
              <w14:schemeClr w14:val="tx1"/>
            </w14:solidFill>
          </w14:textFill>
        </w:rPr>
        <w:t>：项目在压裂过程井筒破裂发生渗透性漏失、放喷池泄漏，最大漏失量进行最不利计算，选取污染物特征因子石油类、COD</w:t>
      </w:r>
      <w:r>
        <w:rPr>
          <w:rFonts w:hint="default" w:ascii="Times New Roman" w:hAnsi="Times New Roman" w:cs="Times New Roman"/>
          <w:color w:val="000000" w:themeColor="text1"/>
          <w:szCs w:val="24"/>
          <w:highlight w:val="none"/>
          <w:vertAlign w:val="subscript"/>
          <w14:textFill>
            <w14:solidFill>
              <w14:schemeClr w14:val="tx1"/>
            </w14:solidFill>
          </w14:textFill>
        </w:rPr>
        <w:t>Mn</w:t>
      </w:r>
      <w:r>
        <w:rPr>
          <w:rFonts w:hint="default" w:ascii="Times New Roman" w:hAnsi="Times New Roman" w:cs="Times New Roman"/>
          <w:color w:val="000000" w:themeColor="text1"/>
          <w:szCs w:val="24"/>
          <w:highlight w:val="none"/>
          <w14:textFill>
            <w14:solidFill>
              <w14:schemeClr w14:val="tx1"/>
            </w14:solidFill>
          </w14:textFill>
        </w:rPr>
        <w:t>、氯化物。</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③含水层的平均有效孔隙度n：地下水含水层岩性以紫红色泥岩、粉砂质泥岩与厚至块状细粒长石石英砂岩互层为主，参考弗里泽孔隙度与岩石粒度近似关系范围并适当修正，有效孔隙度取0.1。</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④水流速度u：评价区地下水含水层岩性为砂砾岩，本评价渗透系数取值0.1028m/d，水力坡度约为0.17，因此地下水的渗流速度v=KI=0.017m/d，水流速度取实际流速u=v/n=0.17m/d。</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⑤纵向x方向的弥散系数D</w:t>
      </w:r>
      <w:r>
        <w:rPr>
          <w:rFonts w:hint="default" w:ascii="Times New Roman" w:hAnsi="Times New Roman" w:cs="Times New Roman"/>
          <w:color w:val="000000" w:themeColor="text1"/>
          <w:szCs w:val="24"/>
          <w:highlight w:val="none"/>
          <w:vertAlign w:val="subscript"/>
          <w14:textFill>
            <w14:solidFill>
              <w14:schemeClr w14:val="tx1"/>
            </w14:solidFill>
          </w14:textFill>
        </w:rPr>
        <w:t>L</w:t>
      </w:r>
      <w:r>
        <w:rPr>
          <w:rFonts w:hint="default" w:ascii="Times New Roman" w:hAnsi="Times New Roman" w:cs="Times New Roman"/>
          <w:color w:val="000000" w:themeColor="text1"/>
          <w:szCs w:val="24"/>
          <w:highlight w:val="none"/>
          <w14:textFill>
            <w14:solidFill>
              <w14:schemeClr w14:val="tx1"/>
            </w14:solidFill>
          </w14:textFill>
        </w:rPr>
        <w:t>：参考Gelhar等人关于纵向弥散度与观测尺度关系的理论，根据本次污染场地的研究尺度，模型计算中纵向弥散度选用10.0m。由此计算评估区含水层中的纵向弥散系数：D</w:t>
      </w:r>
      <w:r>
        <w:rPr>
          <w:rFonts w:hint="default" w:ascii="Times New Roman" w:hAnsi="Times New Roman" w:cs="Times New Roman"/>
          <w:color w:val="000000" w:themeColor="text1"/>
          <w:szCs w:val="24"/>
          <w:highlight w:val="none"/>
          <w:vertAlign w:val="subscript"/>
          <w14:textFill>
            <w14:solidFill>
              <w14:schemeClr w14:val="tx1"/>
            </w14:solidFill>
          </w14:textFill>
        </w:rPr>
        <w:t>L</w:t>
      </w:r>
      <w:r>
        <w:rPr>
          <w:rFonts w:hint="default" w:ascii="Times New Roman" w:hAnsi="Times New Roman" w:cs="Times New Roman"/>
          <w:color w:val="000000" w:themeColor="text1"/>
          <w:szCs w:val="24"/>
          <w:highlight w:val="none"/>
          <w14:textFill>
            <w14:solidFill>
              <w14:schemeClr w14:val="tx1"/>
            </w14:solidFill>
          </w14:textFill>
        </w:rPr>
        <w:t>=α</w:t>
      </w:r>
      <w:r>
        <w:rPr>
          <w:rFonts w:hint="default" w:ascii="Times New Roman" w:hAnsi="Times New Roman" w:cs="Times New Roman"/>
          <w:color w:val="000000" w:themeColor="text1"/>
          <w:szCs w:val="24"/>
          <w:highlight w:val="none"/>
          <w:vertAlign w:val="subscript"/>
          <w14:textFill>
            <w14:solidFill>
              <w14:schemeClr w14:val="tx1"/>
            </w14:solidFill>
          </w14:textFill>
        </w:rPr>
        <w:t>L</w:t>
      </w:r>
      <w:r>
        <w:rPr>
          <w:rFonts w:hint="default" w:ascii="Times New Roman" w:hAnsi="Times New Roman" w:cs="Times New Roman"/>
          <w:color w:val="000000" w:themeColor="text1"/>
          <w:szCs w:val="24"/>
          <w:highlight w:val="none"/>
          <w14:textFill>
            <w14:solidFill>
              <w14:schemeClr w14:val="tx1"/>
            </w14:solidFill>
          </w14:textFill>
        </w:rPr>
        <w:t>×u=1.7m</w:t>
      </w:r>
      <w:r>
        <w:rPr>
          <w:rFonts w:hint="default" w:ascii="Times New Roman" w:hAnsi="Times New Roman" w:cs="Times New Roman"/>
          <w:color w:val="000000" w:themeColor="text1"/>
          <w:szCs w:val="24"/>
          <w:highlight w:val="none"/>
          <w:vertAlign w:val="super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/d。</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⑥横向y方向的弥散系数D</w:t>
      </w:r>
      <w:r>
        <w:rPr>
          <w:rFonts w:hint="default" w:ascii="Times New Roman" w:hAnsi="Times New Roman" w:cs="Times New Roman"/>
          <w:color w:val="000000" w:themeColor="text1"/>
          <w:szCs w:val="24"/>
          <w:highlight w:val="none"/>
          <w:vertAlign w:val="subscript"/>
          <w14:textFill>
            <w14:solidFill>
              <w14:schemeClr w14:val="tx1"/>
            </w14:solidFill>
          </w14:textFill>
        </w:rPr>
        <w:t>T</w:t>
      </w:r>
      <w:r>
        <w:rPr>
          <w:rFonts w:hint="default" w:ascii="Times New Roman" w:hAnsi="Times New Roman" w:cs="Times New Roman"/>
          <w:color w:val="000000" w:themeColor="text1"/>
          <w:szCs w:val="24"/>
          <w:highlight w:val="none"/>
          <w14:textFill>
            <w14:solidFill>
              <w14:schemeClr w14:val="tx1"/>
            </w14:solidFill>
          </w14:textFill>
        </w:rPr>
        <w:t>：根据经验一般D</w:t>
      </w:r>
      <w:r>
        <w:rPr>
          <w:rFonts w:hint="default" w:ascii="Times New Roman" w:hAnsi="Times New Roman" w:cs="Times New Roman"/>
          <w:color w:val="000000" w:themeColor="text1"/>
          <w:szCs w:val="24"/>
          <w:highlight w:val="none"/>
          <w:vertAlign w:val="subscript"/>
          <w14:textFill>
            <w14:solidFill>
              <w14:schemeClr w14:val="tx1"/>
            </w14:solidFill>
          </w14:textFill>
        </w:rPr>
        <w:t>T</w:t>
      </w:r>
      <w:r>
        <w:rPr>
          <w:rFonts w:hint="default" w:ascii="Times New Roman" w:hAnsi="Times New Roman" w:cs="Times New Roman"/>
          <w:color w:val="000000" w:themeColor="text1"/>
          <w:szCs w:val="24"/>
          <w:highlight w:val="none"/>
          <w14:textFill>
            <w14:solidFill>
              <w14:schemeClr w14:val="tx1"/>
            </w14:solidFill>
          </w14:textFill>
        </w:rPr>
        <w:t>:D</w:t>
      </w:r>
      <w:r>
        <w:rPr>
          <w:rFonts w:hint="default" w:ascii="Times New Roman" w:hAnsi="Times New Roman" w:cs="Times New Roman"/>
          <w:color w:val="000000" w:themeColor="text1"/>
          <w:szCs w:val="24"/>
          <w:highlight w:val="none"/>
          <w:vertAlign w:val="subscript"/>
          <w14:textFill>
            <w14:solidFill>
              <w14:schemeClr w14:val="tx1"/>
            </w14:solidFill>
          </w14:textFill>
        </w:rPr>
        <w:t>L</w:t>
      </w:r>
      <w:r>
        <w:rPr>
          <w:rFonts w:hint="default" w:ascii="Times New Roman" w:hAnsi="Times New Roman" w:cs="Times New Roman"/>
          <w:color w:val="000000" w:themeColor="text1"/>
          <w:szCs w:val="24"/>
          <w:highlight w:val="none"/>
          <w14:textFill>
            <w14:solidFill>
              <w14:schemeClr w14:val="tx1"/>
            </w14:solidFill>
          </w14:textFill>
        </w:rPr>
        <w:t>=0.1，因此D</w:t>
      </w:r>
      <w:r>
        <w:rPr>
          <w:rFonts w:hint="default" w:ascii="Times New Roman" w:hAnsi="Times New Roman" w:cs="Times New Roman"/>
          <w:color w:val="000000" w:themeColor="text1"/>
          <w:szCs w:val="24"/>
          <w:highlight w:val="none"/>
          <w:vertAlign w:val="subscript"/>
          <w14:textFill>
            <w14:solidFill>
              <w14:schemeClr w14:val="tx1"/>
            </w14:solidFill>
          </w14:textFill>
        </w:rPr>
        <w:t>T</w:t>
      </w:r>
      <w:r>
        <w:rPr>
          <w:rFonts w:hint="default" w:ascii="Times New Roman" w:hAnsi="Times New Roman" w:cs="Times New Roman"/>
          <w:color w:val="000000" w:themeColor="text1"/>
          <w:szCs w:val="24"/>
          <w:highlight w:val="none"/>
          <w14:textFill>
            <w14:solidFill>
              <w14:schemeClr w14:val="tx1"/>
            </w14:solidFill>
          </w14:textFill>
        </w:rPr>
        <w:t>取值0.17m</w:t>
      </w:r>
      <w:r>
        <w:rPr>
          <w:rFonts w:hint="default" w:ascii="Times New Roman" w:hAnsi="Times New Roman" w:cs="Times New Roman"/>
          <w:color w:val="000000" w:themeColor="text1"/>
          <w:szCs w:val="24"/>
          <w:highlight w:val="none"/>
          <w:vertAlign w:val="super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/d。</w:t>
      </w:r>
    </w:p>
    <w:p>
      <w:pPr>
        <w:pStyle w:val="21"/>
        <w:spacing w:before="0"/>
        <w:ind w:left="0" w:firstLine="480"/>
        <w:jc w:val="both"/>
        <w:rPr>
          <w:rFonts w:hint="default" w:ascii="Times New Roman" w:hAnsi="Times New Roman" w:eastAsia="黑体" w:cs="Times New Roman"/>
          <w:bCs/>
          <w:color w:val="000000" w:themeColor="text1"/>
          <w:kern w:val="2"/>
          <w:highlight w:val="none"/>
          <w:lang w:eastAsia="zh-CN"/>
          <w14:textFill>
            <w14:solidFill>
              <w14:schemeClr w14:val="tx1"/>
            </w14:solidFill>
          </w14:textFill>
        </w:rPr>
      </w:pPr>
      <w:r>
        <w:rPr>
          <w:rFonts w:hint="default" w:ascii="Times New Roman" w:hAnsi="Times New Roman" w:eastAsia="黑体" w:cs="Times New Roman"/>
          <w:bCs/>
          <w:color w:val="000000" w:themeColor="text1"/>
          <w:kern w:val="2"/>
          <w:highlight w:val="none"/>
          <w:lang w:eastAsia="zh-CN"/>
          <w14:textFill>
            <w14:solidFill>
              <w14:schemeClr w14:val="tx1"/>
            </w14:solidFill>
          </w14:textFill>
        </w:rPr>
        <w:t>3、影响预测</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（1）预测方法</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地下水水文地质条件相对简单，污染物排放对地下水流场无影响，且基本的水位地质参数在项目建设至服务期满的过程中变化不大，同时该项目的地下水环境影响评价较难采用类比和趋势外延等经验方法，因此本次评价采用解析法进行预测。</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污染物在地下水系统中的迁移转化过程十分复杂，本次污染物模拟预测过程不考虑污染物在含水层中的吸附、挥发、生物化学反应，模型中各项参数予以保守性考虑。由于污染物预测主要针对非正常状况下污染物运移情况，因此模型预测不考虑包气带对污染物的截留作用，假设污染物可以直接通过包气带进入地下水体，最大限度地考虑污染物对研究区水体的影响。</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地下水环境影响预测范围与调查评价范围一致，预测层位以潜水含水层为主。</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（2）预测时段</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地下水环境影响预测时段应选取可能产生地下水污染的关键时段，至少包括污染发生后100d、1000d，服务年限或能反应特征因子迁移规律的其他重要时间节点。本项目为油气开发井钻采项目，对地下水的影响主要在项目的施工期，生产运行和服务期满后两个阶段对地下水的影响极小。</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因此，根据《环境影响评价技术导则—地下水环境》（HJ610-2016）和项目施工期时长，将地下水环境影响预测时限定为100天、365天、1000天和3650天。</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（3）预测因子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根据《环境影响评价技术导则</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地下水环境》(HJ610-2016)，建设项目预测因子选取重点应包括：</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1）改、扩建项目已经排放的及将要产生的主要污染物；</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2）难降解、易生物蓄积、长期接触对人体和生物产生危害作用的污染物，应特别关注持久性有机污染物；</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3）国家或地方要求控制的污染物；</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4）反映地下水循环特征和水质成因类型的常规项目或超标项目。</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预测因子识别应对项目污染物进行分类后（重金属、持久性污染物和其他类别进行分类），对每一类中各项因子采用标准指数法进行排序，分别取标准指数最大的因子作为预测因子；如该项目属于改扩建项目，将选择技改后继续产生的特征因子，改扩建后新增加的特征因子作为预测因子；污染场地已经查明的主要污染物作为预测因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监测资料，本项目附近潜水含水层地下水水质良好，现状监测指标基本能满足《地下水质量标准》（GB14848-2017）中III类水质标准限值要求。基于本项目废水的水质特征，一方面考虑预测的可行性，同时考虑预测因子的代表性，并以各污染物最高浓度为源强进行预测，选择无机离子中等标污染负荷最大的氯离子，持久性污染物中等标污染负荷最大的COD</w:t>
      </w:r>
      <w:r>
        <w:rPr>
          <w:rFonts w:hint="default" w:ascii="Times New Roman" w:hAnsi="Times New Roman" w:cs="Times New Roman"/>
          <w:bCs/>
          <w:color w:val="000000" w:themeColor="text1"/>
          <w:szCs w:val="24"/>
          <w:highlight w:val="none"/>
          <w:vertAlign w:val="subscript"/>
          <w14:textFill>
            <w14:solidFill>
              <w14:schemeClr w14:val="tx1"/>
            </w14:solidFill>
          </w14:textFill>
        </w:rPr>
        <w:t>Cr</w:t>
      </w:r>
      <w:r>
        <w:rPr>
          <w:rFonts w:hint="default" w:ascii="Times New Roman" w:hAnsi="Times New Roman" w:cs="Times New Roman"/>
          <w:bCs/>
          <w:color w:val="000000" w:themeColor="text1"/>
          <w:szCs w:val="24"/>
          <w:highlight w:val="none"/>
          <w14:textFill>
            <w14:solidFill>
              <w14:schemeClr w14:val="tx1"/>
            </w14:solidFill>
          </w14:textFill>
        </w:rPr>
        <w:t>，特征污染因子石油类作为本次评价的预测因子。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w:t>
      </w:r>
      <w:r>
        <w:rPr>
          <w:rFonts w:hint="default" w:ascii="Times New Roman" w:hAnsi="Times New Roman" w:cs="Times New Roman"/>
          <w:bCs/>
          <w:color w:val="000000" w:themeColor="text1"/>
          <w:szCs w:val="24"/>
          <w:highlight w:val="none"/>
          <w:lang w:eastAsia="zh-CN"/>
          <w14:textFill>
            <w14:solidFill>
              <w14:schemeClr w14:val="tx1"/>
            </w14:solidFill>
          </w14:textFill>
        </w:rPr>
        <w:t>现场勘查</w:t>
      </w:r>
      <w:r>
        <w:rPr>
          <w:rFonts w:hint="default" w:ascii="Times New Roman" w:hAnsi="Times New Roman" w:cs="Times New Roman"/>
          <w:bCs/>
          <w:color w:val="000000" w:themeColor="text1"/>
          <w:szCs w:val="24"/>
          <w:highlight w:val="none"/>
          <w14:textFill>
            <w14:solidFill>
              <w14:schemeClr w14:val="tx1"/>
            </w14:solidFill>
          </w14:textFill>
        </w:rPr>
        <w:t>本项目区域地下水自北东向南西径流，地下水评价范围内地下水流向下游有居民水井分布，因此评价对地下水流向下游最近的居民水井处预测在事故发生后不同时间段的污染物浓度变化情况。</w:t>
      </w:r>
    </w:p>
    <w:p>
      <w:pPr>
        <w:ind w:firstLine="482"/>
        <w:rPr>
          <w:rFonts w:hint="default" w:ascii="Times New Roman" w:hAnsi="Times New Roman" w:cs="Times New Roman"/>
          <w:b/>
          <w:color w:val="000000" w:themeColor="text1"/>
          <w:szCs w:val="24"/>
          <w:highlight w:val="none"/>
          <w14:textFill>
            <w14:solidFill>
              <w14:schemeClr w14:val="tx1"/>
            </w14:solidFill>
          </w14:textFill>
        </w:rPr>
      </w:pPr>
      <w:bookmarkStart w:id="303" w:name="_Toc14702837"/>
      <w:r>
        <w:rPr>
          <w:rFonts w:hint="default" w:ascii="Times New Roman" w:hAnsi="Times New Roman" w:cs="Times New Roman"/>
          <w:b/>
          <w:color w:val="000000" w:themeColor="text1"/>
          <w:szCs w:val="24"/>
          <w:highlight w:val="none"/>
          <w14:textFill>
            <w14:solidFill>
              <w14:schemeClr w14:val="tx1"/>
            </w14:solidFill>
          </w14:textFill>
        </w:rPr>
        <w:t>（4）预测结果</w:t>
      </w:r>
      <w:bookmarkEnd w:id="303"/>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次预测，各特征因子浓度超过标准限值即为超标，影响浓度定义为各指标的检出下限，当预测结果小于影响浓度（检出限或标准值的十分之一+背景值）时则视同对地下水环境几乎没有影响。背景值根据本次监测结果取最大值，其中COD</w:t>
      </w:r>
      <w:r>
        <w:rPr>
          <w:rFonts w:hint="default" w:ascii="Times New Roman" w:hAnsi="Times New Roman" w:cs="Times New Roman"/>
          <w:color w:val="000000" w:themeColor="text1"/>
          <w:szCs w:val="24"/>
          <w:highlight w:val="none"/>
          <w:vertAlign w:val="subscript"/>
          <w14:textFill>
            <w14:solidFill>
              <w14:schemeClr w14:val="tx1"/>
            </w14:solidFill>
          </w14:textFill>
        </w:rPr>
        <w:t>Mn</w:t>
      </w:r>
      <w:r>
        <w:rPr>
          <w:rFonts w:hint="default" w:ascii="Times New Roman" w:hAnsi="Times New Roman" w:cs="Times New Roman"/>
          <w:color w:val="000000" w:themeColor="text1"/>
          <w:szCs w:val="24"/>
          <w:highlight w:val="none"/>
          <w14:textFill>
            <w14:solidFill>
              <w14:schemeClr w14:val="tx1"/>
            </w14:solidFill>
          </w14:textFill>
        </w:rPr>
        <w:t>取值为2.2mg/L，石油类未检出取值为0.03mg/L，氯离子取值20.9mg/L。根据《地下水质量标准》（GB/T14848-2017）及项目执行的环保标准，该项目所在区域地下水属Ⅲ类水质，因此，COD</w:t>
      </w:r>
      <w:r>
        <w:rPr>
          <w:rFonts w:hint="default" w:ascii="Times New Roman" w:hAnsi="Times New Roman" w:cs="Times New Roman"/>
          <w:color w:val="000000" w:themeColor="text1"/>
          <w:szCs w:val="24"/>
          <w:highlight w:val="none"/>
          <w:vertAlign w:val="subscript"/>
          <w14:textFill>
            <w14:solidFill>
              <w14:schemeClr w14:val="tx1"/>
            </w14:solidFill>
          </w14:textFill>
        </w:rPr>
        <w:t>Mn</w:t>
      </w:r>
      <w:r>
        <w:rPr>
          <w:rFonts w:hint="default" w:ascii="Times New Roman" w:hAnsi="Times New Roman" w:cs="Times New Roman"/>
          <w:color w:val="000000" w:themeColor="text1"/>
          <w:szCs w:val="24"/>
          <w:highlight w:val="none"/>
          <w14:textFill>
            <w14:solidFill>
              <w14:schemeClr w14:val="tx1"/>
            </w14:solidFill>
          </w14:textFill>
        </w:rPr>
        <w:t>、Cl</w:t>
      </w:r>
      <w:r>
        <w:rPr>
          <w:rFonts w:hint="default" w:ascii="Times New Roman" w:hAnsi="Times New Roman" w:cs="Times New Roman"/>
          <w:color w:val="000000" w:themeColor="text1"/>
          <w:szCs w:val="24"/>
          <w:highlight w:val="none"/>
          <w:vertAlign w:val="superscript"/>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标准限值参照《地下水质量标准》（GB/T14848-2017）Ⅲ类标准，COD</w:t>
      </w:r>
      <w:r>
        <w:rPr>
          <w:rFonts w:hint="default" w:ascii="Times New Roman" w:hAnsi="Times New Roman" w:cs="Times New Roman"/>
          <w:color w:val="000000" w:themeColor="text1"/>
          <w:szCs w:val="24"/>
          <w:highlight w:val="none"/>
          <w:vertAlign w:val="subscript"/>
          <w14:textFill>
            <w14:solidFill>
              <w14:schemeClr w14:val="tx1"/>
            </w14:solidFill>
          </w14:textFill>
        </w:rPr>
        <w:t>Mn</w:t>
      </w:r>
      <w:r>
        <w:rPr>
          <w:rFonts w:hint="default" w:ascii="Times New Roman" w:hAnsi="Times New Roman" w:cs="Times New Roman"/>
          <w:color w:val="000000" w:themeColor="text1"/>
          <w:szCs w:val="24"/>
          <w:highlight w:val="none"/>
          <w14:textFill>
            <w14:solidFill>
              <w14:schemeClr w14:val="tx1"/>
            </w14:solidFill>
          </w14:textFill>
        </w:rPr>
        <w:t>为3mg/L、Cl</w:t>
      </w:r>
      <w:r>
        <w:rPr>
          <w:rFonts w:hint="default" w:ascii="Times New Roman" w:hAnsi="Times New Roman" w:cs="Times New Roman"/>
          <w:color w:val="000000" w:themeColor="text1"/>
          <w:szCs w:val="24"/>
          <w:highlight w:val="none"/>
          <w:vertAlign w:val="superscript"/>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为250mg/L；石油类标准限值参照《地表水环境质量标准GB3838-2002》Ⅲ类标准，为0.005mg/L；COD</w:t>
      </w:r>
      <w:r>
        <w:rPr>
          <w:rFonts w:hint="default" w:ascii="Times New Roman" w:hAnsi="Times New Roman" w:cs="Times New Roman"/>
          <w:color w:val="000000" w:themeColor="text1"/>
          <w:szCs w:val="24"/>
          <w:highlight w:val="none"/>
          <w:vertAlign w:val="subscript"/>
          <w14:textFill>
            <w14:solidFill>
              <w14:schemeClr w14:val="tx1"/>
            </w14:solidFill>
          </w14:textFill>
        </w:rPr>
        <w:t>Mn</w:t>
      </w:r>
      <w:r>
        <w:rPr>
          <w:rFonts w:hint="default" w:ascii="Times New Roman" w:hAnsi="Times New Roman" w:cs="Times New Roman"/>
          <w:color w:val="000000" w:themeColor="text1"/>
          <w:szCs w:val="24"/>
          <w:highlight w:val="none"/>
          <w14:textFill>
            <w14:solidFill>
              <w14:schemeClr w14:val="tx1"/>
            </w14:solidFill>
          </w14:textFill>
        </w:rPr>
        <w:t>影响浓度为2.16mg/L（检出限+背景值），石油类影响浓度为0.01mg/L（检出限+背景值），Cl</w:t>
      </w:r>
      <w:r>
        <w:rPr>
          <w:rFonts w:hint="default" w:ascii="Times New Roman" w:hAnsi="Times New Roman" w:cs="Times New Roman"/>
          <w:color w:val="000000" w:themeColor="text1"/>
          <w:szCs w:val="24"/>
          <w:highlight w:val="none"/>
          <w:vertAlign w:val="superscript"/>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影响浓度为38.6mg/L（标准值的十分之一+背景值），见表5.3-2。</w:t>
      </w: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表5.3-2  预测指标标准限值及影响浓度一览表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2056"/>
        <w:gridCol w:w="2055"/>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w:t>
            </w:r>
          </w:p>
        </w:tc>
        <w:tc>
          <w:tcPr>
            <w:tcW w:w="2129" w:type="dxa"/>
            <w:vAlign w:val="center"/>
          </w:tcPr>
          <w:p>
            <w:pPr>
              <w:spacing w:line="240" w:lineRule="auto"/>
              <w:ind w:firstLine="199" w:firstLineChars="9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Mn</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氯化物</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背景值</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2.2</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20.9</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标准限值（mg/L）</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250</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检出限（mg/L）</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0.007</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影响浓度（mg/L）</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2.7</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45.9</w:t>
            </w:r>
          </w:p>
        </w:tc>
        <w:tc>
          <w:tcPr>
            <w:tcW w:w="2129"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0.04</w:t>
            </w:r>
          </w:p>
        </w:tc>
      </w:tr>
    </w:tbl>
    <w:p>
      <w:pPr>
        <w:spacing w:before="120" w:beforeLines="50"/>
        <w:ind w:firstLine="480"/>
        <w:rPr>
          <w:rFonts w:hint="default" w:ascii="Times New Roman" w:hAnsi="Times New Roman" w:cs="Times New Roman"/>
          <w:color w:val="000000" w:themeColor="text1"/>
          <w:szCs w:val="24"/>
          <w:highlight w:val="none"/>
          <w14:textFill>
            <w14:solidFill>
              <w14:schemeClr w14:val="tx1"/>
            </w14:solidFill>
          </w14:textFill>
        </w:rPr>
      </w:pPr>
    </w:p>
    <w:p>
      <w:pPr>
        <w:spacing w:before="120" w:beforeLines="50"/>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1）放喷池泄漏</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①地下水中COD</w:t>
      </w:r>
      <w:r>
        <w:rPr>
          <w:rFonts w:hint="default" w:ascii="Times New Roman" w:hAnsi="Times New Roman" w:cs="Times New Roman"/>
          <w:color w:val="000000" w:themeColor="text1"/>
          <w:szCs w:val="24"/>
          <w:highlight w:val="none"/>
          <w:vertAlign w:val="subscript"/>
          <w14:textFill>
            <w14:solidFill>
              <w14:schemeClr w14:val="tx1"/>
            </w14:solidFill>
          </w14:textFill>
        </w:rPr>
        <w:t>Mn</w:t>
      </w:r>
      <w:r>
        <w:rPr>
          <w:rFonts w:hint="default" w:ascii="Times New Roman" w:hAnsi="Times New Roman" w:cs="Times New Roman"/>
          <w:color w:val="000000" w:themeColor="text1"/>
          <w:szCs w:val="24"/>
          <w:highlight w:val="none"/>
          <w14:textFill>
            <w14:solidFill>
              <w14:schemeClr w14:val="tx1"/>
            </w14:solidFill>
          </w14:textFill>
        </w:rPr>
        <w:t>的超标及影响距离计算结果见表5.3-3及图5.3-1。</w:t>
      </w: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表5.3-3  放喷池泄漏地下水中COD</w:t>
      </w:r>
      <w:r>
        <w:rPr>
          <w:rFonts w:hint="default" w:ascii="Times New Roman" w:hAnsi="Times New Roman" w:eastAsia="黑体" w:cs="Times New Roman"/>
          <w:color w:val="000000" w:themeColor="text1"/>
          <w:sz w:val="21"/>
          <w:szCs w:val="21"/>
          <w:highlight w:val="none"/>
          <w:vertAlign w:val="subscript"/>
          <w:lang w:eastAsia="zh-CN"/>
          <w14:textFill>
            <w14:solidFill>
              <w14:schemeClr w14:val="tx1"/>
            </w14:solidFill>
          </w14:textFill>
        </w:rPr>
        <w:t>Mn</w:t>
      </w: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超标及影响距离</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20"/>
        <w:gridCol w:w="1496"/>
        <w:gridCol w:w="1498"/>
        <w:gridCol w:w="1498"/>
        <w:gridCol w:w="1332"/>
        <w:gridCol w:w="1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污染时间</w:t>
            </w:r>
          </w:p>
        </w:tc>
        <w:tc>
          <w:tcPr>
            <w:tcW w:w="899"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中心点迁移距离（m）</w:t>
            </w:r>
          </w:p>
        </w:tc>
        <w:tc>
          <w:tcPr>
            <w:tcW w:w="9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中心点处浓度（mg/L）</w:t>
            </w:r>
          </w:p>
        </w:tc>
        <w:tc>
          <w:tcPr>
            <w:tcW w:w="9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叠加后浓度（mg/L）</w:t>
            </w:r>
          </w:p>
        </w:tc>
        <w:tc>
          <w:tcPr>
            <w:tcW w:w="8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最远超标距离（m）</w:t>
            </w:r>
          </w:p>
        </w:tc>
        <w:tc>
          <w:tcPr>
            <w:tcW w:w="827"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53.58</w:t>
            </w:r>
          </w:p>
        </w:tc>
        <w:tc>
          <w:tcPr>
            <w:tcW w:w="900" w:type="pct"/>
            <w:vAlign w:val="bottom"/>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55.78</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61</w:t>
            </w:r>
          </w:p>
        </w:tc>
        <w:tc>
          <w:tcPr>
            <w:tcW w:w="827"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14.68</w:t>
            </w:r>
          </w:p>
        </w:tc>
        <w:tc>
          <w:tcPr>
            <w:tcW w:w="900" w:type="pct"/>
            <w:vAlign w:val="bottom"/>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16.88</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134</w:t>
            </w:r>
          </w:p>
        </w:tc>
        <w:tc>
          <w:tcPr>
            <w:tcW w:w="827"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170</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5.36</w:t>
            </w:r>
          </w:p>
        </w:tc>
        <w:tc>
          <w:tcPr>
            <w:tcW w:w="900" w:type="pct"/>
            <w:vAlign w:val="bottom"/>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7.56</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232</w:t>
            </w:r>
          </w:p>
        </w:tc>
        <w:tc>
          <w:tcPr>
            <w:tcW w:w="827"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spacing w:line="240" w:lineRule="auto"/>
              <w:ind w:firstLine="199" w:firstLineChars="95"/>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3650d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620.5</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1.46</w:t>
            </w:r>
          </w:p>
        </w:tc>
        <w:tc>
          <w:tcPr>
            <w:tcW w:w="900" w:type="pct"/>
            <w:vAlign w:val="bottom"/>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3.66</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741</w:t>
            </w:r>
          </w:p>
        </w:tc>
        <w:tc>
          <w:tcPr>
            <w:tcW w:w="827"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756</w:t>
            </w:r>
          </w:p>
        </w:tc>
      </w:tr>
    </w:tbl>
    <w:p>
      <w:pPr>
        <w:ind w:firstLine="0" w:firstLineChars="0"/>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560320" cy="1557020"/>
            <wp:effectExtent l="0" t="0" r="0" b="5080"/>
            <wp:docPr id="9725636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63668" name="图片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565495" cy="1560599"/>
                    </a:xfrm>
                    <a:prstGeom prst="rect">
                      <a:avLst/>
                    </a:prstGeom>
                    <a:noFill/>
                    <a:ln>
                      <a:noFill/>
                    </a:ln>
                  </pic:spPr>
                </pic:pic>
              </a:graphicData>
            </a:graphic>
          </wp:inline>
        </w:drawing>
      </w: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647950" cy="1582420"/>
            <wp:effectExtent l="0" t="0" r="0" b="0"/>
            <wp:docPr id="17707561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756191" name="图片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651233" cy="1584678"/>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                                                                      365d</w:t>
      </w: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570480" cy="1574800"/>
            <wp:effectExtent l="0" t="0" r="1270" b="6350"/>
            <wp:docPr id="16827405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740574" name="图片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578015" cy="1580004"/>
                    </a:xfrm>
                    <a:prstGeom prst="rect">
                      <a:avLst/>
                    </a:prstGeom>
                    <a:noFill/>
                    <a:ln>
                      <a:noFill/>
                    </a:ln>
                  </pic:spPr>
                </pic:pic>
              </a:graphicData>
            </a:graphic>
          </wp:inline>
        </w:drawing>
      </w: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687320" cy="1619885"/>
            <wp:effectExtent l="0" t="0" r="0" b="0"/>
            <wp:docPr id="2834794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79446" name="图片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2687602" cy="1620000"/>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                                                                      3650d</w:t>
      </w:r>
    </w:p>
    <w:p>
      <w:pPr>
        <w:ind w:firstLine="420"/>
        <w:jc w:val="center"/>
        <w:rPr>
          <w:rFonts w:hint="default" w:ascii="Times New Roman" w:hAnsi="Times New Roman" w:eastAsia="黑体" w:cs="Times New Roman"/>
          <w:color w:val="000000" w:themeColor="text1"/>
          <w:sz w:val="21"/>
          <w:szCs w:val="21"/>
          <w:highlight w:val="none"/>
          <w14:textFill>
            <w14:solidFill>
              <w14:schemeClr w14:val="tx1"/>
            </w14:solidFill>
          </w14:textFill>
        </w:rPr>
      </w:pPr>
      <w:r>
        <w:rPr>
          <w:rFonts w:hint="default" w:ascii="Times New Roman" w:hAnsi="Times New Roman" w:eastAsia="黑体" w:cs="Times New Roman"/>
          <w:color w:val="000000" w:themeColor="text1"/>
          <w:sz w:val="21"/>
          <w:szCs w:val="21"/>
          <w:highlight w:val="none"/>
          <w14:textFill>
            <w14:solidFill>
              <w14:schemeClr w14:val="tx1"/>
            </w14:solidFill>
          </w14:textFill>
        </w:rPr>
        <w:t>图5.3-1 放喷池泄漏不同预测时间COD</w:t>
      </w:r>
      <w:r>
        <w:rPr>
          <w:rFonts w:hint="default" w:ascii="Times New Roman" w:hAnsi="Times New Roman" w:eastAsia="黑体" w:cs="Times New Roman"/>
          <w:color w:val="000000" w:themeColor="text1"/>
          <w:sz w:val="21"/>
          <w:szCs w:val="21"/>
          <w:highlight w:val="none"/>
          <w:vertAlign w:val="subscript"/>
          <w14:textFill>
            <w14:solidFill>
              <w14:schemeClr w14:val="tx1"/>
            </w14:solidFill>
          </w14:textFill>
        </w:rPr>
        <w:t>Mn</w:t>
      </w:r>
      <w:r>
        <w:rPr>
          <w:rFonts w:hint="default" w:ascii="Times New Roman" w:hAnsi="Times New Roman" w:eastAsia="黑体" w:cs="Times New Roman"/>
          <w:color w:val="000000" w:themeColor="text1"/>
          <w:sz w:val="21"/>
          <w:szCs w:val="21"/>
          <w:highlight w:val="none"/>
          <w14:textFill>
            <w14:solidFill>
              <w14:schemeClr w14:val="tx1"/>
            </w14:solidFill>
          </w14:textFill>
        </w:rPr>
        <w:t>贡献值与距离浓度关系图</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②地下水中石油类的超标及影响距离计算结果见表5.3-4及图5.3-2。</w:t>
      </w: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表5.3-4  放喷池泄漏地下水中石油类超标及影响距离</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19"/>
        <w:gridCol w:w="1496"/>
        <w:gridCol w:w="1498"/>
        <w:gridCol w:w="1498"/>
        <w:gridCol w:w="1331"/>
        <w:gridCol w:w="1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0" w:hRule="atLeast"/>
          <w:jc w:val="center"/>
        </w:trPr>
        <w:tc>
          <w:tcPr>
            <w:tcW w:w="673"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污染时间</w:t>
            </w:r>
          </w:p>
        </w:tc>
        <w:tc>
          <w:tcPr>
            <w:tcW w:w="899"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中心点迁移距离（m）</w:t>
            </w:r>
          </w:p>
        </w:tc>
        <w:tc>
          <w:tcPr>
            <w:tcW w:w="9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中心点处浓度（mg/L）</w:t>
            </w:r>
          </w:p>
        </w:tc>
        <w:tc>
          <w:tcPr>
            <w:tcW w:w="9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叠加后浓度（mg/L）</w:t>
            </w:r>
          </w:p>
        </w:tc>
        <w:tc>
          <w:tcPr>
            <w:tcW w:w="8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最远超标距离（m）</w:t>
            </w:r>
          </w:p>
        </w:tc>
        <w:tc>
          <w:tcPr>
            <w:tcW w:w="828"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2.14</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2.17</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71</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8" w:hRule="atLeast"/>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0.58</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0.61</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152</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170</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0.21</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0.25</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293</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8" w:hRule="atLeast"/>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3650d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620.5</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0.058</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0.088</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910</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921</w:t>
            </w:r>
          </w:p>
        </w:tc>
      </w:tr>
    </w:tbl>
    <w:p>
      <w:pPr>
        <w:ind w:firstLine="0" w:firstLineChars="0"/>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643505" cy="1583690"/>
            <wp:effectExtent l="0" t="0" r="4445" b="0"/>
            <wp:docPr id="4112352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35267" name="图片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643712" cy="1584000"/>
                    </a:xfrm>
                    <a:prstGeom prst="rect">
                      <a:avLst/>
                    </a:prstGeom>
                    <a:noFill/>
                    <a:ln>
                      <a:noFill/>
                    </a:ln>
                  </pic:spPr>
                </pic:pic>
              </a:graphicData>
            </a:graphic>
          </wp:inline>
        </w:drawing>
      </w:r>
      <w:r>
        <w:rPr>
          <w:rFonts w:hint="default" w:ascii="Times New Roman" w:hAnsi="Times New Roman" w:cs="Times New Roman"/>
          <w:bCs/>
          <w:color w:val="000000" w:themeColor="text1"/>
          <w:sz w:val="21"/>
          <w:szCs w:val="21"/>
          <w:highlight w:val="none"/>
          <w14:textFill>
            <w14:solidFill>
              <w14:schemeClr w14:val="tx1"/>
            </w14:solidFill>
          </w14:textFill>
        </w:rPr>
        <w:t xml:space="preserve">   </w:t>
      </w: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518410" cy="1546225"/>
            <wp:effectExtent l="0" t="0" r="0" b="0"/>
            <wp:docPr id="9438078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07829" name="图片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528610" cy="1552766"/>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                                                                   365d</w:t>
      </w:r>
    </w:p>
    <w:p>
      <w:pPr>
        <w:pStyle w:val="27"/>
        <w:ind w:firstLine="199" w:firstLineChars="83"/>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496820" cy="1536700"/>
            <wp:effectExtent l="0" t="0" r="0" b="6350"/>
            <wp:docPr id="2501315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31509" name="图片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498799" cy="1538069"/>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t xml:space="preserve">   </w:t>
      </w:r>
      <w:r>
        <w:rPr>
          <w:rFonts w:hint="default" w:ascii="Times New Roman" w:hAnsi="Times New Roman" w:cs="Times New Roman"/>
          <w:bCs/>
          <w:color w:val="000000" w:themeColor="text1"/>
          <w:sz w:val="21"/>
          <w:szCs w:val="21"/>
          <w:highlight w:val="none"/>
          <w14:textFill>
            <w14:solidFill>
              <w14:schemeClr w14:val="tx1"/>
            </w14:solidFill>
          </w14:textFill>
        </w:rPr>
        <w:t xml:space="preserve"> </w:t>
      </w: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419350" cy="1458595"/>
            <wp:effectExtent l="0" t="0" r="0" b="8255"/>
            <wp:docPr id="1925138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3817" name="图片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430296" cy="1465488"/>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                                                               3650d</w:t>
      </w:r>
    </w:p>
    <w:p>
      <w:pPr>
        <w:ind w:firstLine="420"/>
        <w:jc w:val="center"/>
        <w:rPr>
          <w:rFonts w:hint="default" w:ascii="Times New Roman" w:hAnsi="Times New Roman" w:eastAsia="黑体" w:cs="Times New Roman"/>
          <w:color w:val="000000" w:themeColor="text1"/>
          <w:sz w:val="21"/>
          <w:szCs w:val="21"/>
          <w:highlight w:val="none"/>
          <w14:textFill>
            <w14:solidFill>
              <w14:schemeClr w14:val="tx1"/>
            </w14:solidFill>
          </w14:textFill>
        </w:rPr>
      </w:pPr>
      <w:r>
        <w:rPr>
          <w:rFonts w:hint="default" w:ascii="Times New Roman" w:hAnsi="Times New Roman" w:eastAsia="黑体" w:cs="Times New Roman"/>
          <w:color w:val="000000" w:themeColor="text1"/>
          <w:sz w:val="21"/>
          <w:szCs w:val="21"/>
          <w:highlight w:val="none"/>
          <w14:textFill>
            <w14:solidFill>
              <w14:schemeClr w14:val="tx1"/>
            </w14:solidFill>
          </w14:textFill>
        </w:rPr>
        <w:t>图5.3-2 放喷池泄漏不同预测时间石油类贡献值与距离浓度关系图</w:t>
      </w:r>
    </w:p>
    <w:p>
      <w:pPr>
        <w:ind w:firstLine="480"/>
        <w:rPr>
          <w:rFonts w:hint="default" w:ascii="Times New Roman" w:hAnsi="Times New Roman" w:cs="Times New Roman"/>
          <w:color w:val="000000" w:themeColor="text1"/>
          <w:szCs w:val="24"/>
          <w:highlight w:val="none"/>
          <w14:textFill>
            <w14:solidFill>
              <w14:schemeClr w14:val="tx1"/>
            </w14:solidFill>
          </w14:textFill>
        </w:rPr>
      </w:pPr>
      <w:bookmarkStart w:id="304" w:name="_Toc449394636"/>
      <w:bookmarkStart w:id="305" w:name="_Toc449942877"/>
      <w:r>
        <w:rPr>
          <w:rFonts w:hint="default" w:ascii="Times New Roman" w:hAnsi="Times New Roman" w:cs="Times New Roman"/>
          <w:color w:val="000000" w:themeColor="text1"/>
          <w:szCs w:val="24"/>
          <w:highlight w:val="none"/>
          <w14:textFill>
            <w14:solidFill>
              <w14:schemeClr w14:val="tx1"/>
            </w14:solidFill>
          </w14:textFill>
        </w:rPr>
        <w:t>③地下水中氯离子的超标及影响距离计算结果见表5.3-5及图5.3-3。</w:t>
      </w: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表5.3-5  放喷池泄漏地下水中氯离子超标及影响距离</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58"/>
        <w:gridCol w:w="1506"/>
        <w:gridCol w:w="1672"/>
        <w:gridCol w:w="1339"/>
        <w:gridCol w:w="1506"/>
        <w:gridCol w:w="1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trPr>
        <w:tc>
          <w:tcPr>
            <w:tcW w:w="573"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污染时间</w:t>
            </w:r>
          </w:p>
        </w:tc>
        <w:tc>
          <w:tcPr>
            <w:tcW w:w="9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中心点迁移距离（m）</w:t>
            </w:r>
          </w:p>
        </w:tc>
        <w:tc>
          <w:tcPr>
            <w:tcW w:w="999"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中心点处浓度（mg/L）</w:t>
            </w:r>
          </w:p>
        </w:tc>
        <w:tc>
          <w:tcPr>
            <w:tcW w:w="8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叠加后浓度（mg/L）</w:t>
            </w:r>
          </w:p>
        </w:tc>
        <w:tc>
          <w:tcPr>
            <w:tcW w:w="9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最远超标距离（m）</w:t>
            </w:r>
          </w:p>
        </w:tc>
        <w:tc>
          <w:tcPr>
            <w:tcW w:w="828"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5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w:t>
            </w:r>
          </w:p>
        </w:tc>
        <w:tc>
          <w:tcPr>
            <w:tcW w:w="9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42.86</w:t>
            </w:r>
          </w:p>
        </w:tc>
        <w:tc>
          <w:tcPr>
            <w:tcW w:w="800" w:type="pct"/>
            <w:vAlign w:val="bottom"/>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63.76</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trPr>
        <w:tc>
          <w:tcPr>
            <w:tcW w:w="5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365d</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w:t>
            </w:r>
          </w:p>
        </w:tc>
        <w:tc>
          <w:tcPr>
            <w:tcW w:w="9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11.74</w:t>
            </w:r>
          </w:p>
        </w:tc>
        <w:tc>
          <w:tcPr>
            <w:tcW w:w="800" w:type="pct"/>
            <w:vAlign w:val="bottom"/>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32.64</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5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170</w:t>
            </w:r>
          </w:p>
        </w:tc>
        <w:tc>
          <w:tcPr>
            <w:tcW w:w="9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4.28</w:t>
            </w:r>
          </w:p>
        </w:tc>
        <w:tc>
          <w:tcPr>
            <w:tcW w:w="800" w:type="pct"/>
            <w:vAlign w:val="bottom"/>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25.18</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trPr>
        <w:tc>
          <w:tcPr>
            <w:tcW w:w="5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3650d</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620.5</w:t>
            </w:r>
          </w:p>
        </w:tc>
        <w:tc>
          <w:tcPr>
            <w:tcW w:w="9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800" w:type="pct"/>
            <w:vAlign w:val="bottom"/>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r>
    </w:tbl>
    <w:p>
      <w:pPr>
        <w:ind w:firstLine="0" w:firstLineChars="0"/>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461260" cy="1530985"/>
            <wp:effectExtent l="0" t="0" r="0" b="0"/>
            <wp:docPr id="11413154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315462" name="图片 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481770" cy="154341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563495" cy="1561465"/>
            <wp:effectExtent l="0" t="0" r="8255" b="635"/>
            <wp:docPr id="17828653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65372" name="图片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579935" cy="1571246"/>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                                                                 365d</w:t>
      </w:r>
    </w:p>
    <w:p>
      <w:pPr>
        <w:pStyle w:val="27"/>
        <w:ind w:firstLine="0" w:firstLineChars="0"/>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557780" cy="1583690"/>
            <wp:effectExtent l="0" t="0" r="0" b="0"/>
            <wp:docPr id="5553913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91317" name="图片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558414" cy="158400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531745" cy="1517015"/>
            <wp:effectExtent l="0" t="0" r="1905" b="6985"/>
            <wp:docPr id="20987270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727052" name="图片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2534428" cy="1518826"/>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                                                                       3650d</w:t>
      </w:r>
    </w:p>
    <w:p>
      <w:pPr>
        <w:ind w:firstLine="420"/>
        <w:jc w:val="center"/>
        <w:rPr>
          <w:rFonts w:hint="default" w:ascii="Times New Roman" w:hAnsi="Times New Roman" w:eastAsia="黑体" w:cs="Times New Roman"/>
          <w:color w:val="000000" w:themeColor="text1"/>
          <w:sz w:val="21"/>
          <w:szCs w:val="21"/>
          <w:highlight w:val="none"/>
          <w14:textFill>
            <w14:solidFill>
              <w14:schemeClr w14:val="tx1"/>
            </w14:solidFill>
          </w14:textFill>
        </w:rPr>
      </w:pPr>
      <w:r>
        <w:rPr>
          <w:rFonts w:hint="default" w:ascii="Times New Roman" w:hAnsi="Times New Roman" w:eastAsia="黑体" w:cs="Times New Roman"/>
          <w:color w:val="000000" w:themeColor="text1"/>
          <w:sz w:val="21"/>
          <w:szCs w:val="21"/>
          <w:highlight w:val="none"/>
          <w14:textFill>
            <w14:solidFill>
              <w14:schemeClr w14:val="tx1"/>
            </w14:solidFill>
          </w14:textFill>
        </w:rPr>
        <w:t>图5.3-3  放喷池泄漏不同预测时间氯离子贡献值与距离浓度关系图</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2）压裂过程中井筒破裂</w:t>
      </w:r>
    </w:p>
    <w:p>
      <w:pPr>
        <w:ind w:firstLine="480"/>
        <w:rPr>
          <w:rFonts w:hint="default" w:ascii="Times New Roman" w:hAnsi="Times New Roman" w:cs="Times New Roman"/>
          <w:color w:val="000000" w:themeColor="text1"/>
          <w:szCs w:val="24"/>
          <w:highlight w:val="none"/>
          <w14:textFill>
            <w14:solidFill>
              <w14:schemeClr w14:val="tx1"/>
            </w14:solidFill>
          </w14:textFill>
        </w:rPr>
      </w:pPr>
      <w:bookmarkStart w:id="306" w:name="_Toc7285"/>
      <w:r>
        <w:rPr>
          <w:rFonts w:hint="default" w:ascii="Times New Roman" w:hAnsi="Times New Roman" w:cs="Times New Roman"/>
          <w:color w:val="000000" w:themeColor="text1"/>
          <w:szCs w:val="24"/>
          <w:highlight w:val="none"/>
          <w14:textFill>
            <w14:solidFill>
              <w14:schemeClr w14:val="tx1"/>
            </w14:solidFill>
          </w14:textFill>
        </w:rPr>
        <w:t>①地下水中COD</w:t>
      </w:r>
      <w:r>
        <w:rPr>
          <w:rFonts w:hint="default" w:ascii="Times New Roman" w:hAnsi="Times New Roman" w:cs="Times New Roman"/>
          <w:color w:val="000000" w:themeColor="text1"/>
          <w:szCs w:val="24"/>
          <w:highlight w:val="none"/>
          <w:vertAlign w:val="subscript"/>
          <w14:textFill>
            <w14:solidFill>
              <w14:schemeClr w14:val="tx1"/>
            </w14:solidFill>
          </w14:textFill>
        </w:rPr>
        <w:t>Mn</w:t>
      </w:r>
      <w:r>
        <w:rPr>
          <w:rFonts w:hint="default" w:ascii="Times New Roman" w:hAnsi="Times New Roman" w:cs="Times New Roman"/>
          <w:color w:val="000000" w:themeColor="text1"/>
          <w:szCs w:val="24"/>
          <w:highlight w:val="none"/>
          <w14:textFill>
            <w14:solidFill>
              <w14:schemeClr w14:val="tx1"/>
            </w14:solidFill>
          </w14:textFill>
        </w:rPr>
        <w:t>的超标及影响距离计算结果见表5.3-6及图5.3-4。</w:t>
      </w: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表5.3-6  压裂过程中井筒破裂地下水中COD</w:t>
      </w:r>
      <w:r>
        <w:rPr>
          <w:rFonts w:hint="default" w:ascii="Times New Roman" w:hAnsi="Times New Roman" w:eastAsia="黑体" w:cs="Times New Roman"/>
          <w:color w:val="000000" w:themeColor="text1"/>
          <w:sz w:val="21"/>
          <w:szCs w:val="21"/>
          <w:highlight w:val="none"/>
          <w:vertAlign w:val="subscript"/>
          <w:lang w:eastAsia="zh-CN"/>
          <w14:textFill>
            <w14:solidFill>
              <w14:schemeClr w14:val="tx1"/>
            </w14:solidFill>
          </w14:textFill>
        </w:rPr>
        <w:t>Cr</w:t>
      </w: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超标及影响距离</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26"/>
        <w:gridCol w:w="1504"/>
        <w:gridCol w:w="1506"/>
        <w:gridCol w:w="1506"/>
        <w:gridCol w:w="1339"/>
        <w:gridCol w:w="1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jc w:val="center"/>
        </w:trPr>
        <w:tc>
          <w:tcPr>
            <w:tcW w:w="673"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污染时间</w:t>
            </w:r>
          </w:p>
        </w:tc>
        <w:tc>
          <w:tcPr>
            <w:tcW w:w="899"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中心点迁移距离（m）</w:t>
            </w:r>
          </w:p>
        </w:tc>
        <w:tc>
          <w:tcPr>
            <w:tcW w:w="9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中心点处浓度（mg/L）</w:t>
            </w:r>
          </w:p>
        </w:tc>
        <w:tc>
          <w:tcPr>
            <w:tcW w:w="9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叠加后浓度（mg/L）</w:t>
            </w:r>
          </w:p>
        </w:tc>
        <w:tc>
          <w:tcPr>
            <w:tcW w:w="8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最远超标距离（m）</w:t>
            </w:r>
          </w:p>
        </w:tc>
        <w:tc>
          <w:tcPr>
            <w:tcW w:w="828"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580.26</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582.46</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74</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158.97</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161.17</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165</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170</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58.02</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60.22</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312</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673"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3650d</w:t>
            </w:r>
          </w:p>
        </w:tc>
        <w:tc>
          <w:tcPr>
            <w:tcW w:w="899"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620.5</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15.9</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18.1</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885</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892</w:t>
            </w:r>
          </w:p>
        </w:tc>
      </w:tr>
    </w:tbl>
    <w:p>
      <w:pPr>
        <w:ind w:firstLine="0" w:firstLineChars="0"/>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560320" cy="1583690"/>
            <wp:effectExtent l="0" t="0" r="0" b="0"/>
            <wp:docPr id="13924004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00484" name="图片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2560405" cy="158400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546985" cy="1583690"/>
            <wp:effectExtent l="0" t="0" r="5715" b="0"/>
            <wp:docPr id="2801452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5261" name="图片 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2547521" cy="1584000"/>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                                                                 365d</w:t>
      </w:r>
    </w:p>
    <w:p>
      <w:pPr>
        <w:pStyle w:val="27"/>
        <w:ind w:firstLine="0" w:firstLineChars="0"/>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611120" cy="1583690"/>
            <wp:effectExtent l="0" t="0" r="0" b="0"/>
            <wp:docPr id="15125689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68969" name="图片 1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2611196" cy="158400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t xml:space="preserve">  </w: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566035" cy="1583690"/>
            <wp:effectExtent l="0" t="0" r="5715" b="0"/>
            <wp:docPr id="4865222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22208" name="图片 1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2566395" cy="1584000"/>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                                                                       3650d</w:t>
      </w:r>
    </w:p>
    <w:p>
      <w:pPr>
        <w:ind w:firstLine="420"/>
        <w:jc w:val="center"/>
        <w:rPr>
          <w:rFonts w:hint="default" w:ascii="Times New Roman" w:hAnsi="Times New Roman" w:eastAsia="黑体" w:cs="Times New Roman"/>
          <w:color w:val="000000" w:themeColor="text1"/>
          <w:sz w:val="21"/>
          <w:szCs w:val="21"/>
          <w:highlight w:val="none"/>
          <w14:textFill>
            <w14:solidFill>
              <w14:schemeClr w14:val="tx1"/>
            </w14:solidFill>
          </w14:textFill>
        </w:rPr>
      </w:pPr>
      <w:r>
        <w:rPr>
          <w:rFonts w:hint="default" w:ascii="Times New Roman" w:hAnsi="Times New Roman" w:eastAsia="黑体" w:cs="Times New Roman"/>
          <w:color w:val="000000" w:themeColor="text1"/>
          <w:sz w:val="21"/>
          <w:szCs w:val="21"/>
          <w:highlight w:val="none"/>
          <w14:textFill>
            <w14:solidFill>
              <w14:schemeClr w14:val="tx1"/>
            </w14:solidFill>
          </w14:textFill>
        </w:rPr>
        <w:t>图5.3-4  井筒破裂不同预测时间COD</w:t>
      </w:r>
      <w:r>
        <w:rPr>
          <w:rFonts w:hint="default" w:ascii="Times New Roman" w:hAnsi="Times New Roman" w:eastAsia="黑体" w:cs="Times New Roman"/>
          <w:color w:val="000000" w:themeColor="text1"/>
          <w:sz w:val="21"/>
          <w:szCs w:val="21"/>
          <w:highlight w:val="none"/>
          <w:vertAlign w:val="subscript"/>
          <w14:textFill>
            <w14:solidFill>
              <w14:schemeClr w14:val="tx1"/>
            </w14:solidFill>
          </w14:textFill>
        </w:rPr>
        <w:t>Mn</w:t>
      </w:r>
      <w:r>
        <w:rPr>
          <w:rFonts w:hint="default" w:ascii="Times New Roman" w:hAnsi="Times New Roman" w:eastAsia="黑体" w:cs="Times New Roman"/>
          <w:color w:val="000000" w:themeColor="text1"/>
          <w:sz w:val="21"/>
          <w:szCs w:val="21"/>
          <w:highlight w:val="none"/>
          <w14:textFill>
            <w14:solidFill>
              <w14:schemeClr w14:val="tx1"/>
            </w14:solidFill>
          </w14:textFill>
        </w:rPr>
        <w:t>贡献值与距离浓度关系图</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②地下水中石油类的超标及影响距离计算结果见表5.3-7及图5.3-5。</w:t>
      </w: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表5.3-7  压裂过程中井筒破裂地下水中石油类超标及影响距离</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39"/>
        <w:gridCol w:w="1491"/>
        <w:gridCol w:w="1506"/>
        <w:gridCol w:w="1506"/>
        <w:gridCol w:w="1339"/>
        <w:gridCol w:w="1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trPr>
        <w:tc>
          <w:tcPr>
            <w:tcW w:w="681"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污染时间</w:t>
            </w:r>
          </w:p>
        </w:tc>
        <w:tc>
          <w:tcPr>
            <w:tcW w:w="891"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中心点迁移距离（m）</w:t>
            </w:r>
          </w:p>
        </w:tc>
        <w:tc>
          <w:tcPr>
            <w:tcW w:w="9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中心点处浓度（mg/L）</w:t>
            </w:r>
          </w:p>
        </w:tc>
        <w:tc>
          <w:tcPr>
            <w:tcW w:w="9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叠加后浓度（mg/L）</w:t>
            </w:r>
          </w:p>
        </w:tc>
        <w:tc>
          <w:tcPr>
            <w:tcW w:w="800"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最远超标距离（m）</w:t>
            </w:r>
          </w:p>
        </w:tc>
        <w:tc>
          <w:tcPr>
            <w:tcW w:w="828"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681"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w:t>
            </w:r>
          </w:p>
        </w:tc>
        <w:tc>
          <w:tcPr>
            <w:tcW w:w="891"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23.21</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23.24</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85</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trPr>
        <w:tc>
          <w:tcPr>
            <w:tcW w:w="681"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365d</w:t>
            </w:r>
          </w:p>
        </w:tc>
        <w:tc>
          <w:tcPr>
            <w:tcW w:w="891"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6.35</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6.38</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171</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rPr>
        <w:tc>
          <w:tcPr>
            <w:tcW w:w="681"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w:t>
            </w:r>
          </w:p>
        </w:tc>
        <w:tc>
          <w:tcPr>
            <w:tcW w:w="891"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170</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2.32</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2.35</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332</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trPr>
        <w:tc>
          <w:tcPr>
            <w:tcW w:w="681"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3650d</w:t>
            </w:r>
          </w:p>
        </w:tc>
        <w:tc>
          <w:tcPr>
            <w:tcW w:w="891"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620.5</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0.63</w:t>
            </w:r>
          </w:p>
        </w:tc>
        <w:tc>
          <w:tcPr>
            <w:tcW w:w="9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0.66</w:t>
            </w:r>
          </w:p>
        </w:tc>
        <w:tc>
          <w:tcPr>
            <w:tcW w:w="800"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866</w:t>
            </w:r>
          </w:p>
        </w:tc>
        <w:tc>
          <w:tcPr>
            <w:tcW w:w="82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872</w:t>
            </w:r>
          </w:p>
        </w:tc>
      </w:tr>
    </w:tbl>
    <w:p>
      <w:pPr>
        <w:ind w:firstLine="0" w:firstLineChars="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drawing>
          <wp:inline distT="0" distB="0" distL="0" distR="0">
            <wp:extent cx="2612390" cy="1539875"/>
            <wp:effectExtent l="0" t="0" r="0" b="3175"/>
            <wp:docPr id="197753418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534184" name="图片 1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2614223" cy="1541479"/>
                    </a:xfrm>
                    <a:prstGeom prst="rect">
                      <a:avLst/>
                    </a:prstGeom>
                    <a:noFill/>
                    <a:ln>
                      <a:noFill/>
                    </a:ln>
                  </pic:spPr>
                </pic:pic>
              </a:graphicData>
            </a:graphic>
          </wp:inline>
        </w:drawing>
      </w:r>
      <w:r>
        <w:rPr>
          <w:rFonts w:hint="default" w:ascii="Times New Roman" w:hAnsi="Times New Roman" w:eastAsia="黑体" w:cs="Times New Roman"/>
          <w:color w:val="000000" w:themeColor="text1"/>
          <w:szCs w:val="24"/>
          <w:highlight w:val="none"/>
          <w14:textFill>
            <w14:solidFill>
              <w14:schemeClr w14:val="tx1"/>
            </w14:solidFill>
          </w14:textFill>
        </w:rPr>
        <w:t xml:space="preserve">   </w:t>
      </w:r>
      <w:r>
        <w:rPr>
          <w:rFonts w:hint="default" w:ascii="Times New Roman" w:hAnsi="Times New Roman" w:eastAsia="黑体" w:cs="Times New Roman"/>
          <w:color w:val="000000" w:themeColor="text1"/>
          <w:szCs w:val="24"/>
          <w:highlight w:val="none"/>
          <w14:textFill>
            <w14:solidFill>
              <w14:schemeClr w14:val="tx1"/>
            </w14:solidFill>
          </w14:textFill>
        </w:rPr>
        <w:drawing>
          <wp:inline distT="0" distB="0" distL="0" distR="0">
            <wp:extent cx="2362835" cy="1415415"/>
            <wp:effectExtent l="0" t="0" r="0" b="0"/>
            <wp:docPr id="18429239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923983" name="图片 1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2379234" cy="1424962"/>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                                                                 365d</w:t>
      </w:r>
    </w:p>
    <w:p>
      <w:pPr>
        <w:pStyle w:val="27"/>
        <w:ind w:firstLine="0" w:firstLineChars="0"/>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566670" cy="1583690"/>
            <wp:effectExtent l="0" t="0" r="5080" b="0"/>
            <wp:docPr id="8313949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9498" name="图片 1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566895" cy="1584000"/>
                    </a:xfrm>
                    <a:prstGeom prst="rect">
                      <a:avLst/>
                    </a:prstGeom>
                    <a:noFill/>
                    <a:ln>
                      <a:noFill/>
                    </a:ln>
                  </pic:spPr>
                </pic:pic>
              </a:graphicData>
            </a:graphic>
          </wp:inline>
        </w:drawing>
      </w:r>
      <w:r>
        <w:rPr>
          <w:rFonts w:hint="default" w:ascii="Times New Roman" w:hAnsi="Times New Roman" w:cs="Times New Roman"/>
          <w:bCs/>
          <w:color w:val="000000" w:themeColor="text1"/>
          <w:sz w:val="21"/>
          <w:szCs w:val="21"/>
          <w:highlight w:val="none"/>
          <w14:textFill>
            <w14:solidFill>
              <w14:schemeClr w14:val="tx1"/>
            </w14:solidFill>
          </w14:textFill>
        </w:rPr>
        <w:t xml:space="preserve">   </w:t>
      </w: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557145" cy="1583690"/>
            <wp:effectExtent l="0" t="0" r="0" b="0"/>
            <wp:docPr id="141098477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84778" name="图片 2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2557420" cy="1584000"/>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                                                                       3650d</w:t>
      </w:r>
    </w:p>
    <w:p>
      <w:pPr>
        <w:ind w:firstLine="420"/>
        <w:jc w:val="center"/>
        <w:rPr>
          <w:rFonts w:hint="default" w:ascii="Times New Roman" w:hAnsi="Times New Roman" w:eastAsia="黑体" w:cs="Times New Roman"/>
          <w:color w:val="000000" w:themeColor="text1"/>
          <w:sz w:val="21"/>
          <w:szCs w:val="21"/>
          <w:highlight w:val="none"/>
          <w14:textFill>
            <w14:solidFill>
              <w14:schemeClr w14:val="tx1"/>
            </w14:solidFill>
          </w14:textFill>
        </w:rPr>
      </w:pPr>
      <w:r>
        <w:rPr>
          <w:rFonts w:hint="default" w:ascii="Times New Roman" w:hAnsi="Times New Roman" w:eastAsia="黑体" w:cs="Times New Roman"/>
          <w:color w:val="000000" w:themeColor="text1"/>
          <w:sz w:val="21"/>
          <w:szCs w:val="21"/>
          <w:highlight w:val="none"/>
          <w14:textFill>
            <w14:solidFill>
              <w14:schemeClr w14:val="tx1"/>
            </w14:solidFill>
          </w14:textFill>
        </w:rPr>
        <w:t>图5.3-5  压裂过程中井筒破裂不同预测时间石油类贡献值与距离浓度关系图</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③地下水中氯离子的超标及影响距离计算结果见表5.3-8及图5.3-6。</w:t>
      </w: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表5.3-8  压裂过程中井筒破裂地下水中氯离子超标及影响距离</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77"/>
        <w:gridCol w:w="1536"/>
        <w:gridCol w:w="1536"/>
        <w:gridCol w:w="1536"/>
        <w:gridCol w:w="1365"/>
        <w:gridCol w:w="1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jc w:val="center"/>
        </w:trPr>
        <w:tc>
          <w:tcPr>
            <w:tcW w:w="584"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污染时间</w:t>
            </w:r>
          </w:p>
        </w:tc>
        <w:tc>
          <w:tcPr>
            <w:tcW w:w="918"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中心点迁移距离（m）</w:t>
            </w:r>
          </w:p>
        </w:tc>
        <w:tc>
          <w:tcPr>
            <w:tcW w:w="918"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中心点处浓度（mg/L）</w:t>
            </w:r>
          </w:p>
        </w:tc>
        <w:tc>
          <w:tcPr>
            <w:tcW w:w="918"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叠加后浓度（mg/L）</w:t>
            </w:r>
          </w:p>
        </w:tc>
        <w:tc>
          <w:tcPr>
            <w:tcW w:w="816"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最远超标距离（m）</w:t>
            </w:r>
          </w:p>
        </w:tc>
        <w:tc>
          <w:tcPr>
            <w:tcW w:w="846" w:type="pct"/>
            <w:vAlign w:val="center"/>
          </w:tcPr>
          <w:p>
            <w:pPr>
              <w:spacing w:line="240" w:lineRule="auto"/>
              <w:ind w:firstLine="0" w:firstLineChars="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584"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464.21</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466.41</w:t>
            </w:r>
          </w:p>
        </w:tc>
        <w:tc>
          <w:tcPr>
            <w:tcW w:w="816"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38</w:t>
            </w:r>
          </w:p>
        </w:tc>
        <w:tc>
          <w:tcPr>
            <w:tcW w:w="846"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584"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365d</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127.18</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129.38</w:t>
            </w:r>
          </w:p>
        </w:tc>
        <w:tc>
          <w:tcPr>
            <w:tcW w:w="816"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846"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584"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1000d</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170</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46.4</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48.6</w:t>
            </w:r>
          </w:p>
        </w:tc>
        <w:tc>
          <w:tcPr>
            <w:tcW w:w="816"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846"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584"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3650d</w:t>
            </w:r>
          </w:p>
        </w:tc>
        <w:tc>
          <w:tcPr>
            <w:tcW w:w="918" w:type="pct"/>
            <w:vAlign w:val="center"/>
          </w:tcPr>
          <w:p>
            <w:pPr>
              <w:spacing w:line="240" w:lineRule="auto"/>
              <w:ind w:firstLine="199" w:firstLineChars="95"/>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620.5</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12.7</w:t>
            </w:r>
          </w:p>
        </w:tc>
        <w:tc>
          <w:tcPr>
            <w:tcW w:w="918"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eastAsia="等线" w:cs="Times New Roman"/>
                <w:color w:val="000000" w:themeColor="text1"/>
                <w:sz w:val="21"/>
                <w:szCs w:val="21"/>
                <w:highlight w:val="none"/>
                <w14:textFill>
                  <w14:solidFill>
                    <w14:schemeClr w14:val="tx1"/>
                  </w14:solidFill>
                </w14:textFill>
              </w:rPr>
              <w:t>14.9</w:t>
            </w:r>
          </w:p>
        </w:tc>
        <w:tc>
          <w:tcPr>
            <w:tcW w:w="816"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c>
          <w:tcPr>
            <w:tcW w:w="846" w:type="pc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w:t>
            </w:r>
          </w:p>
        </w:tc>
      </w:tr>
    </w:tbl>
    <w:p>
      <w:pPr>
        <w:ind w:firstLine="0" w:firstLineChars="0"/>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664460" cy="1583690"/>
            <wp:effectExtent l="0" t="0" r="2540" b="0"/>
            <wp:docPr id="7906777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7779" name="图片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664583" cy="1584000"/>
                    </a:xfrm>
                    <a:prstGeom prst="rect">
                      <a:avLst/>
                    </a:prstGeom>
                    <a:noFill/>
                    <a:ln>
                      <a:noFill/>
                    </a:ln>
                  </pic:spPr>
                </pic:pic>
              </a:graphicData>
            </a:graphic>
          </wp:inline>
        </w:drawing>
      </w:r>
      <w:r>
        <w:rPr>
          <w:rFonts w:hint="default" w:ascii="Times New Roman" w:hAnsi="Times New Roman" w:cs="Times New Roman"/>
          <w:bCs/>
          <w:color w:val="000000" w:themeColor="text1"/>
          <w:sz w:val="21"/>
          <w:szCs w:val="21"/>
          <w:highlight w:val="none"/>
          <w14:textFill>
            <w14:solidFill>
              <w14:schemeClr w14:val="tx1"/>
            </w14:solidFill>
          </w14:textFill>
        </w:rPr>
        <w:t xml:space="preserve">  </w:t>
      </w:r>
      <w:r>
        <w:rPr>
          <w:rFonts w:hint="default" w:ascii="Times New Roman" w:hAnsi="Times New Roman" w:cs="Times New Roman"/>
          <w:bCs/>
          <w:color w:val="000000" w:themeColor="text1"/>
          <w:sz w:val="21"/>
          <w:szCs w:val="21"/>
          <w:highlight w:val="none"/>
          <w14:textFill>
            <w14:solidFill>
              <w14:schemeClr w14:val="tx1"/>
            </w14:solidFill>
          </w14:textFill>
        </w:rPr>
        <w:drawing>
          <wp:inline distT="0" distB="0" distL="0" distR="0">
            <wp:extent cx="2510790" cy="1507490"/>
            <wp:effectExtent l="0" t="0" r="3810" b="0"/>
            <wp:docPr id="7241376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37656" name="图片 2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512732" cy="1508848"/>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100d                                                                 365d</w:t>
      </w:r>
    </w:p>
    <w:p>
      <w:pPr>
        <w:ind w:firstLine="199" w:firstLineChars="8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594610" cy="1583690"/>
            <wp:effectExtent l="0" t="0" r="0" b="0"/>
            <wp:docPr id="65020138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201380" name="图片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594725" cy="158400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2475865" cy="1531620"/>
            <wp:effectExtent l="0" t="0" r="635" b="0"/>
            <wp:docPr id="17763818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81834" name="图片 2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477721" cy="1532847"/>
                    </a:xfrm>
                    <a:prstGeom prst="rect">
                      <a:avLst/>
                    </a:prstGeom>
                    <a:noFill/>
                    <a:ln>
                      <a:noFill/>
                    </a:ln>
                  </pic:spPr>
                </pic:pic>
              </a:graphicData>
            </a:graphic>
          </wp:inline>
        </w:drawing>
      </w:r>
    </w:p>
    <w:p>
      <w:pPr>
        <w:pStyle w:val="27"/>
        <w:ind w:firstLine="42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 xml:space="preserve">  1000d                                                                       3650d</w:t>
      </w:r>
    </w:p>
    <w:p>
      <w:pPr>
        <w:ind w:firstLine="420"/>
        <w:jc w:val="center"/>
        <w:rPr>
          <w:rFonts w:hint="default" w:ascii="Times New Roman" w:hAnsi="Times New Roman" w:eastAsia="黑体" w:cs="Times New Roman"/>
          <w:color w:val="000000" w:themeColor="text1"/>
          <w:sz w:val="21"/>
          <w:szCs w:val="21"/>
          <w:highlight w:val="none"/>
          <w14:textFill>
            <w14:solidFill>
              <w14:schemeClr w14:val="tx1"/>
            </w14:solidFill>
          </w14:textFill>
        </w:rPr>
      </w:pPr>
      <w:r>
        <w:rPr>
          <w:rFonts w:hint="default" w:ascii="Times New Roman" w:hAnsi="Times New Roman" w:eastAsia="黑体" w:cs="Times New Roman"/>
          <w:color w:val="000000" w:themeColor="text1"/>
          <w:sz w:val="21"/>
          <w:szCs w:val="21"/>
          <w:highlight w:val="none"/>
          <w14:textFill>
            <w14:solidFill>
              <w14:schemeClr w14:val="tx1"/>
            </w14:solidFill>
          </w14:textFill>
        </w:rPr>
        <w:t>图5.3-6  井筒破裂不同预测时间氯离子贡献值与距离大小关系图</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bookmarkStart w:id="307" w:name="_Toc78877615"/>
      <w:r>
        <w:rPr>
          <w:rFonts w:hint="default" w:ascii="Times New Roman" w:hAnsi="Times New Roman" w:cs="Times New Roman"/>
          <w:b/>
          <w:bCs/>
          <w:color w:val="000000" w:themeColor="text1"/>
          <w:szCs w:val="24"/>
          <w:highlight w:val="none"/>
          <w14:textFill>
            <w14:solidFill>
              <w14:schemeClr w14:val="tx1"/>
            </w14:solidFill>
          </w14:textFill>
        </w:rPr>
        <w:t>（5）地下水影响评价</w:t>
      </w:r>
      <w:bookmarkEnd w:id="307"/>
    </w:p>
    <w:bookmarkEnd w:id="304"/>
    <w:bookmarkEnd w:id="305"/>
    <w:bookmarkEnd w:id="306"/>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1）放</w:t>
      </w:r>
      <w:r>
        <w:rPr>
          <w:rFonts w:hint="default" w:ascii="Times New Roman" w:hAnsi="Times New Roman" w:cs="Times New Roman"/>
          <w:color w:val="000000" w:themeColor="text1"/>
          <w:szCs w:val="24"/>
          <w:highlight w:val="none"/>
          <w:lang w:eastAsia="zh-CN"/>
          <w14:textFill>
            <w14:solidFill>
              <w14:schemeClr w14:val="tx1"/>
            </w14:solidFill>
          </w14:textFill>
        </w:rPr>
        <w:t>喷池</w:t>
      </w:r>
      <w:r>
        <w:rPr>
          <w:rFonts w:hint="default" w:ascii="Times New Roman" w:hAnsi="Times New Roman" w:cs="Times New Roman"/>
          <w:color w:val="000000" w:themeColor="text1"/>
          <w:szCs w:val="24"/>
          <w:highlight w:val="none"/>
          <w14:textFill>
            <w14:solidFill>
              <w14:schemeClr w14:val="tx1"/>
            </w14:solidFill>
          </w14:textFill>
        </w:rPr>
        <w:t>体破裂</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①COD</w:t>
      </w:r>
      <w:r>
        <w:rPr>
          <w:rFonts w:hint="default" w:ascii="Times New Roman" w:hAnsi="Times New Roman" w:cs="Times New Roman"/>
          <w:color w:val="000000" w:themeColor="text1"/>
          <w:szCs w:val="24"/>
          <w:highlight w:val="none"/>
          <w:vertAlign w:val="subscript"/>
          <w14:textFill>
            <w14:solidFill>
              <w14:schemeClr w14:val="tx1"/>
            </w14:solidFill>
          </w14:textFill>
        </w:rPr>
        <w:t>Mn</w:t>
      </w:r>
      <w:r>
        <w:rPr>
          <w:rFonts w:hint="default" w:ascii="Times New Roman" w:hAnsi="Times New Roman" w:cs="Times New Roman"/>
          <w:color w:val="000000" w:themeColor="text1"/>
          <w:szCs w:val="24"/>
          <w:highlight w:val="none"/>
          <w14:textFill>
            <w14:solidFill>
              <w14:schemeClr w14:val="tx1"/>
            </w14:solidFill>
          </w14:textFill>
        </w:rPr>
        <w:t>在放</w:t>
      </w:r>
      <w:r>
        <w:rPr>
          <w:rFonts w:hint="default" w:ascii="Times New Roman" w:hAnsi="Times New Roman" w:cs="Times New Roman"/>
          <w:color w:val="000000" w:themeColor="text1"/>
          <w:szCs w:val="24"/>
          <w:highlight w:val="none"/>
          <w:lang w:eastAsia="zh-CN"/>
          <w14:textFill>
            <w14:solidFill>
              <w14:schemeClr w14:val="tx1"/>
            </w14:solidFill>
          </w14:textFill>
        </w:rPr>
        <w:t>喷池</w:t>
      </w:r>
      <w:r>
        <w:rPr>
          <w:rFonts w:hint="default" w:ascii="Times New Roman" w:hAnsi="Times New Roman" w:cs="Times New Roman"/>
          <w:color w:val="000000" w:themeColor="text1"/>
          <w:szCs w:val="24"/>
          <w:highlight w:val="none"/>
          <w14:textFill>
            <w14:solidFill>
              <w14:schemeClr w14:val="tx1"/>
            </w14:solidFill>
          </w14:textFill>
        </w:rPr>
        <w:t>体破裂3650d时最远超标距离为下游741m，最高浓度为</w:t>
      </w:r>
      <w:r>
        <w:rPr>
          <w:rFonts w:hint="default" w:ascii="Times New Roman" w:hAnsi="Times New Roman" w:cs="Times New Roman"/>
          <w:bCs/>
          <w:color w:val="000000" w:themeColor="text1"/>
          <w:szCs w:val="24"/>
          <w:highlight w:val="none"/>
          <w14:textFill>
            <w14:solidFill>
              <w14:schemeClr w14:val="tx1"/>
            </w14:solidFill>
          </w14:textFill>
        </w:rPr>
        <w:t>3.66</w:t>
      </w:r>
      <w:r>
        <w:rPr>
          <w:rFonts w:hint="default" w:ascii="Times New Roman" w:hAnsi="Times New Roman" w:cs="Times New Roman"/>
          <w:color w:val="000000" w:themeColor="text1"/>
          <w:szCs w:val="24"/>
          <w:highlight w:val="none"/>
          <w14:textFill>
            <w14:solidFill>
              <w14:schemeClr w14:val="tx1"/>
            </w14:solidFill>
          </w14:textFill>
        </w:rPr>
        <w:t>mg/L。</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②石油类在放</w:t>
      </w:r>
      <w:r>
        <w:rPr>
          <w:rFonts w:hint="default" w:ascii="Times New Roman" w:hAnsi="Times New Roman" w:cs="Times New Roman"/>
          <w:color w:val="000000" w:themeColor="text1"/>
          <w:szCs w:val="24"/>
          <w:highlight w:val="none"/>
          <w:lang w:eastAsia="zh-CN"/>
          <w14:textFill>
            <w14:solidFill>
              <w14:schemeClr w14:val="tx1"/>
            </w14:solidFill>
          </w14:textFill>
        </w:rPr>
        <w:t>喷池</w:t>
      </w:r>
      <w:r>
        <w:rPr>
          <w:rFonts w:hint="default" w:ascii="Times New Roman" w:hAnsi="Times New Roman" w:cs="Times New Roman"/>
          <w:color w:val="000000" w:themeColor="text1"/>
          <w:szCs w:val="24"/>
          <w:highlight w:val="none"/>
          <w14:textFill>
            <w14:solidFill>
              <w14:schemeClr w14:val="tx1"/>
            </w14:solidFill>
          </w14:textFill>
        </w:rPr>
        <w:t>体破裂3650d时最远超标距离为下游910m，最高浓度为</w:t>
      </w:r>
      <w:r>
        <w:rPr>
          <w:rFonts w:hint="default" w:ascii="Times New Roman" w:hAnsi="Times New Roman" w:cs="Times New Roman"/>
          <w:bCs/>
          <w:color w:val="000000" w:themeColor="text1"/>
          <w:szCs w:val="24"/>
          <w:highlight w:val="none"/>
          <w14:textFill>
            <w14:solidFill>
              <w14:schemeClr w14:val="tx1"/>
            </w14:solidFill>
          </w14:textFill>
        </w:rPr>
        <w:t>0.088</w:t>
      </w:r>
      <w:r>
        <w:rPr>
          <w:rFonts w:hint="default" w:ascii="Times New Roman" w:hAnsi="Times New Roman" w:cs="Times New Roman"/>
          <w:color w:val="000000" w:themeColor="text1"/>
          <w:szCs w:val="24"/>
          <w:highlight w:val="none"/>
          <w14:textFill>
            <w14:solidFill>
              <w14:schemeClr w14:val="tx1"/>
            </w14:solidFill>
          </w14:textFill>
        </w:rPr>
        <w:t>mg/L。</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③氯化物在放喷池破裂整个工况下中心点处均未出现超标现象，最远影响距离为36m。</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2）压裂过程井筒破裂</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①COD</w:t>
      </w:r>
      <w:r>
        <w:rPr>
          <w:rFonts w:hint="default" w:ascii="Times New Roman" w:hAnsi="Times New Roman" w:cs="Times New Roman"/>
          <w:color w:val="000000" w:themeColor="text1"/>
          <w:szCs w:val="24"/>
          <w:highlight w:val="none"/>
          <w:vertAlign w:val="subscript"/>
          <w14:textFill>
            <w14:solidFill>
              <w14:schemeClr w14:val="tx1"/>
            </w14:solidFill>
          </w14:textFill>
        </w:rPr>
        <w:t>Mn</w:t>
      </w:r>
      <w:r>
        <w:rPr>
          <w:rFonts w:hint="default" w:ascii="Times New Roman" w:hAnsi="Times New Roman" w:cs="Times New Roman"/>
          <w:color w:val="000000" w:themeColor="text1"/>
          <w:szCs w:val="24"/>
          <w:highlight w:val="none"/>
          <w14:textFill>
            <w14:solidFill>
              <w14:schemeClr w14:val="tx1"/>
            </w14:solidFill>
          </w14:textFill>
        </w:rPr>
        <w:t>在井筒破裂3650d时最远超标距离为下游885m，最高浓度为</w:t>
      </w:r>
      <w:r>
        <w:rPr>
          <w:rFonts w:hint="default" w:ascii="Times New Roman" w:hAnsi="Times New Roman" w:cs="Times New Roman"/>
          <w:bCs/>
          <w:color w:val="000000" w:themeColor="text1"/>
          <w:szCs w:val="24"/>
          <w:highlight w:val="none"/>
          <w14:textFill>
            <w14:solidFill>
              <w14:schemeClr w14:val="tx1"/>
            </w14:solidFill>
          </w14:textFill>
        </w:rPr>
        <w:t>18.1</w:t>
      </w:r>
      <w:r>
        <w:rPr>
          <w:rFonts w:hint="default" w:ascii="Times New Roman" w:hAnsi="Times New Roman" w:cs="Times New Roman"/>
          <w:color w:val="000000" w:themeColor="text1"/>
          <w:szCs w:val="24"/>
          <w:highlight w:val="none"/>
          <w14:textFill>
            <w14:solidFill>
              <w14:schemeClr w14:val="tx1"/>
            </w14:solidFill>
          </w14:textFill>
        </w:rPr>
        <w:t>mg/L。</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②石油类在井筒破裂3650d时最远超标距离为下游866m，最高浓度为</w:t>
      </w:r>
      <w:r>
        <w:rPr>
          <w:rFonts w:hint="default" w:ascii="Times New Roman" w:hAnsi="Times New Roman" w:cs="Times New Roman"/>
          <w:bCs/>
          <w:color w:val="000000" w:themeColor="text1"/>
          <w:szCs w:val="24"/>
          <w:highlight w:val="none"/>
          <w14:textFill>
            <w14:solidFill>
              <w14:schemeClr w14:val="tx1"/>
            </w14:solidFill>
          </w14:textFill>
        </w:rPr>
        <w:t>0.66</w:t>
      </w:r>
      <w:r>
        <w:rPr>
          <w:rFonts w:hint="default" w:ascii="Times New Roman" w:hAnsi="Times New Roman" w:cs="Times New Roman"/>
          <w:color w:val="000000" w:themeColor="text1"/>
          <w:szCs w:val="24"/>
          <w:highlight w:val="none"/>
          <w14:textFill>
            <w14:solidFill>
              <w14:schemeClr w14:val="tx1"/>
            </w14:solidFill>
          </w14:textFill>
        </w:rPr>
        <w:t>mg/L。</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③氯化物在井筒破裂100d时最远超标距离为下游38m，最高浓度为</w:t>
      </w:r>
      <w:r>
        <w:rPr>
          <w:rFonts w:hint="default" w:ascii="Times New Roman" w:hAnsi="Times New Roman" w:cs="Times New Roman"/>
          <w:bCs/>
          <w:color w:val="000000" w:themeColor="text1"/>
          <w:szCs w:val="24"/>
          <w:highlight w:val="none"/>
          <w14:textFill>
            <w14:solidFill>
              <w14:schemeClr w14:val="tx1"/>
            </w14:solidFill>
          </w14:textFill>
        </w:rPr>
        <w:t>466.41</w:t>
      </w:r>
      <w:r>
        <w:rPr>
          <w:rFonts w:hint="default" w:ascii="Times New Roman" w:hAnsi="Times New Roman" w:cs="Times New Roman"/>
          <w:color w:val="000000" w:themeColor="text1"/>
          <w:szCs w:val="24"/>
          <w:highlight w:val="none"/>
          <w14:textFill>
            <w14:solidFill>
              <w14:schemeClr w14:val="tx1"/>
            </w14:solidFill>
          </w14:textFill>
        </w:rPr>
        <w:t>mg/L，在365d时，已无超标范围，最远影响距离为236m。</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snapToGrid w:val="0"/>
          <w:color w:val="000000" w:themeColor="text1"/>
          <w:szCs w:val="24"/>
          <w:highlight w:val="none"/>
          <w14:textFill>
            <w14:solidFill>
              <w14:schemeClr w14:val="tx1"/>
            </w14:solidFill>
          </w14:textFill>
        </w:rPr>
        <w:t>综上所述，不同预测情景对地下水保护目标的预测结果见表5.3-9。</w:t>
      </w:r>
    </w:p>
    <w:p>
      <w:pPr>
        <w:pStyle w:val="21"/>
        <w:tabs>
          <w:tab w:val="left" w:pos="863"/>
        </w:tabs>
        <w:spacing w:before="0"/>
        <w:ind w:left="0" w:firstLine="420"/>
        <w:jc w:val="cente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eastAsia="zh-CN"/>
          <w14:textFill>
            <w14:solidFill>
              <w14:schemeClr w14:val="tx1"/>
            </w14:solidFill>
          </w14:textFill>
        </w:rPr>
        <w:t>表5.3-9  非正常状况对地下水保护目标的影响预测结果</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701"/>
        <w:gridCol w:w="1679"/>
        <w:gridCol w:w="2148"/>
        <w:gridCol w:w="2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70"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编号</w:t>
            </w:r>
          </w:p>
        </w:tc>
        <w:tc>
          <w:tcPr>
            <w:tcW w:w="1701"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非正常状况</w:t>
            </w:r>
          </w:p>
        </w:tc>
        <w:tc>
          <w:tcPr>
            <w:tcW w:w="1679" w:type="dxa"/>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方位</w:t>
            </w:r>
          </w:p>
        </w:tc>
        <w:tc>
          <w:tcPr>
            <w:tcW w:w="2148"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最大可能超标泉水点</w:t>
            </w:r>
          </w:p>
        </w:tc>
        <w:tc>
          <w:tcPr>
            <w:tcW w:w="2024"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670"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701"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压裂井筒破裂</w:t>
            </w:r>
          </w:p>
        </w:tc>
        <w:tc>
          <w:tcPr>
            <w:tcW w:w="1679" w:type="dxa"/>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东侧、南侧</w:t>
            </w:r>
          </w:p>
        </w:tc>
        <w:tc>
          <w:tcPr>
            <w:tcW w:w="2148"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4处井泉</w:t>
            </w:r>
          </w:p>
        </w:tc>
        <w:tc>
          <w:tcPr>
            <w:tcW w:w="2024" w:type="dxa"/>
            <w:vMerge w:val="restart"/>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按最不利估算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670"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1701" w:type="dxa"/>
            <w:vAlign w:val="center"/>
          </w:tcPr>
          <w:p>
            <w:pPr>
              <w:spacing w:line="240" w:lineRule="auto"/>
              <w:ind w:firstLine="199" w:firstLineChars="9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放喷池泄漏</w:t>
            </w:r>
          </w:p>
        </w:tc>
        <w:tc>
          <w:tcPr>
            <w:tcW w:w="1679" w:type="dxa"/>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东侧、南侧</w:t>
            </w:r>
          </w:p>
        </w:tc>
        <w:tc>
          <w:tcPr>
            <w:tcW w:w="2148" w:type="dxa"/>
            <w:vAlign w:val="center"/>
          </w:tcPr>
          <w:p>
            <w:pPr>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4处井泉</w:t>
            </w:r>
          </w:p>
        </w:tc>
        <w:tc>
          <w:tcPr>
            <w:tcW w:w="2024" w:type="dxa"/>
            <w:vMerge w:val="continue"/>
            <w:vAlign w:val="center"/>
          </w:tcPr>
          <w:p>
            <w:pPr>
              <w:spacing w:line="240" w:lineRule="auto"/>
              <w:ind w:firstLine="42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bl>
    <w:p>
      <w:pPr>
        <w:ind w:firstLine="480"/>
        <w:rPr>
          <w:rFonts w:hint="default" w:ascii="Times New Roman" w:hAnsi="Times New Roman" w:cs="Times New Roman"/>
          <w:color w:val="000000" w:themeColor="text1"/>
          <w:szCs w:val="24"/>
          <w:highlight w:val="none"/>
          <w14:textFill>
            <w14:solidFill>
              <w14:schemeClr w14:val="tx1"/>
            </w14:solidFill>
          </w14:textFill>
        </w:rPr>
      </w:pPr>
      <w:bookmarkStart w:id="308" w:name="_Hlk89072087"/>
      <w:bookmarkStart w:id="309" w:name="_Toc10566"/>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w:t>
      </w:r>
      <w:bookmarkEnd w:id="308"/>
      <w:r>
        <w:rPr>
          <w:rFonts w:hint="default" w:ascii="Times New Roman" w:hAnsi="Times New Roman" w:cs="Times New Roman"/>
          <w:color w:val="000000" w:themeColor="text1"/>
          <w:szCs w:val="24"/>
          <w:highlight w:val="none"/>
          <w14:textFill>
            <w14:solidFill>
              <w14:schemeClr w14:val="tx1"/>
            </w14:solidFill>
          </w14:textFill>
        </w:rPr>
        <w:t>发生事故后会对地下水流向下游的居民饮用泉水点造成污染影响，最大可能超标居民饮用泉水点4处。</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由于项目所在区域水文地质条件简单，为潜水含水层，地下水径流速度一般，含水层有效孔隙度小，污染物扩散速度较慢，发生事故时可利用下游民井监控，因此可以有足够的时间来处理，控制污染影响范围。在此需要说明的是，根据中石化川东北地区多年来压裂测试情况，由于井筒质量和固井质量较好，井筒破裂的情况还未发生过，压裂过程处于全程监控，实际上发生井筒破裂的情况微乎其微。同时压裂在目的层进行，浅层套管破裂的可能性远远小于深层套管破裂，浅层含水层经过了多次固井，含水层以下有多层封隔层，压返液因深层井筒破裂进入浅层含水层是很难发生的；池体修建均采用高标准要求，防渗达到设计要求，发生垮塌泄漏的可能性非常小，因此由于井筒破裂事故和池体渗漏造成的地下水不利影响是极难发生的。</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项目井场布置和周边居民水井分布情况，本项目在井筒破裂和放喷池风险泄漏初期除小范围地区地下水水质超标外，超标范围较小，超标范围内约4处泉水点分布，超标范围内无集中式饮用水源取水点，其余地区地下水水质均满足《地下水质量标准》（GB/T14848-2017）中的Ⅲ类标准，随着时间的推移，污染物在整个评价范围内超标现象逐渐消失。</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鉴于模拟的两种情况的污染物超标范围会随着时间的增加逐渐扩大。本环评建议：在钻井作业中加强生产管理，严密监控压裂液及放喷池、放喷池的运行状况，发现井管破裂后应立即停止压裂作业并启动应急预案，按要求在下游设置的监控水井加密监控，采取有效措施控制污染物扩散范围，降低环境影响。且对超标范围内的居民采取水罐车运水等方式，解决居民用水，直到居民水井水质恢复为止。</w:t>
      </w:r>
    </w:p>
    <w:p>
      <w:pPr>
        <w:autoSpaceDE w:val="0"/>
        <w:autoSpaceDN w:val="0"/>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在对下游居民水井加强监控后，项目建设对周围居民水井的影响较小，也不会对地下水环境造成明显不利影响，项目建设对地下水的影响是可接受的。</w:t>
      </w:r>
    </w:p>
    <w:bookmarkEnd w:id="309"/>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bookmarkStart w:id="310" w:name="_Toc78877616"/>
      <w:r>
        <w:rPr>
          <w:rFonts w:hint="default" w:ascii="Times New Roman" w:hAnsi="Times New Roman" w:eastAsia="黑体" w:cs="Times New Roman"/>
          <w:color w:val="000000" w:themeColor="text1"/>
          <w:szCs w:val="24"/>
          <w:highlight w:val="none"/>
          <w14:textFill>
            <w14:solidFill>
              <w14:schemeClr w14:val="tx1"/>
            </w14:solidFill>
          </w14:textFill>
        </w:rPr>
        <w:t>4、试采期地下水影响预测分析</w:t>
      </w:r>
      <w:bookmarkEnd w:id="310"/>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本项目为油气试采项目，对地下水的影响主要在项目的施工期，试采阶段对地下水的影响极小。</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试采期无生产固废产生和堆放；</w:t>
      </w:r>
      <w:r>
        <w:rPr>
          <w:rFonts w:hint="default" w:ascii="Times New Roman" w:hAnsi="Times New Roman" w:cs="Times New Roman"/>
          <w:color w:val="000000" w:themeColor="text1"/>
          <w:szCs w:val="24"/>
          <w:highlight w:val="none"/>
          <w:lang w:eastAsia="zh-CN"/>
          <w14:textFill>
            <w14:solidFill>
              <w14:schemeClr w14:val="tx1"/>
            </w14:solidFill>
          </w14:textFill>
        </w:rPr>
        <w:t>气田水（含初期压裂返排液）</w:t>
      </w:r>
      <w:r>
        <w:rPr>
          <w:rFonts w:hint="default" w:ascii="Times New Roman" w:hAnsi="Times New Roman" w:cs="Times New Roman"/>
          <w:color w:val="000000" w:themeColor="text1"/>
          <w:szCs w:val="24"/>
          <w:highlight w:val="none"/>
          <w14:textFill>
            <w14:solidFill>
              <w14:schemeClr w14:val="tx1"/>
            </w14:solidFill>
          </w14:textFill>
        </w:rPr>
        <w:t>暂存于火炬分液罐，密闭罐车拉运至赵家坝污水处理站达标后管输至普光11井回注站回注，不外排。试采期既有值守人员生活污水经站场化粪池（依托P106集气站内设施）处理后定期由密闭罐车拉运至周边生活污水处理厂处理。火炬分液罐区采取了围堰并重点防渗，火炬分液罐暂存地层水及时转运，污水发生</w:t>
      </w:r>
      <w:r>
        <w:rPr>
          <w:rFonts w:hint="default" w:ascii="Times New Roman" w:hAnsi="Times New Roman" w:cs="Times New Roman"/>
          <w:color w:val="000000" w:themeColor="text1"/>
          <w:szCs w:val="24"/>
          <w:highlight w:val="none"/>
          <w:lang w:eastAsia="zh-CN"/>
          <w14:textFill>
            <w14:solidFill>
              <w14:schemeClr w14:val="tx1"/>
            </w14:solidFill>
          </w14:textFill>
        </w:rPr>
        <w:t>泄漏</w:t>
      </w:r>
      <w:r>
        <w:rPr>
          <w:rFonts w:hint="default" w:ascii="Times New Roman" w:hAnsi="Times New Roman" w:cs="Times New Roman"/>
          <w:color w:val="000000" w:themeColor="text1"/>
          <w:szCs w:val="24"/>
          <w:highlight w:val="none"/>
          <w14:textFill>
            <w14:solidFill>
              <w14:schemeClr w14:val="tx1"/>
            </w14:solidFill>
          </w14:textFill>
        </w:rPr>
        <w:t>进入地下水环境可能性基本不存在，在加强对监控井在试采期内例行监测后，试采期不会对地下水环境造成不利影响。</w:t>
      </w:r>
    </w:p>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bookmarkStart w:id="311" w:name="_Toc78877617"/>
      <w:r>
        <w:rPr>
          <w:rFonts w:hint="default" w:ascii="Times New Roman" w:hAnsi="Times New Roman" w:eastAsia="黑体" w:cs="Times New Roman"/>
          <w:color w:val="000000" w:themeColor="text1"/>
          <w:szCs w:val="24"/>
          <w:highlight w:val="none"/>
          <w14:textFill>
            <w14:solidFill>
              <w14:schemeClr w14:val="tx1"/>
            </w14:solidFill>
          </w14:textFill>
        </w:rPr>
        <w:t>5、地下水环境影响预测小结</w:t>
      </w:r>
      <w:bookmarkEnd w:id="311"/>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预测结果，本项目发生事故后会对地下水流向下游的居民饮用泉水点造成污染影响，最大可能超标居民饮用泉水点4处，超标范围内有居民饮用泉水点分布，在事故发生后采取替代用水措施，因此对项目附近地下水水源影响很小。在对下游居民水井加强监控后，项目建设不会对周围居民饮用泉水点或用水产生不利影响，也不会对地下水环境造成明显不利影响，项目建设对地下水的影响是可接受的。</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p>
    <w:p>
      <w:pPr>
        <w:ind w:firstLine="480"/>
        <w:rPr>
          <w:rFonts w:hint="default" w:ascii="Times New Roman" w:hAnsi="Times New Roman" w:cs="Times New Roman"/>
          <w:bCs/>
          <w:color w:val="000000" w:themeColor="text1"/>
          <w:szCs w:val="24"/>
          <w:highlight w:val="none"/>
          <w14:textFill>
            <w14:solidFill>
              <w14:schemeClr w14:val="tx1"/>
            </w14:solidFill>
          </w14:textFill>
        </w:rPr>
      </w:pPr>
    </w:p>
    <w:p>
      <w:pPr>
        <w:pStyle w:val="2"/>
        <w:spacing w:before="480" w:beforeLines="200" w:after="0" w:line="480" w:lineRule="auto"/>
        <w:ind w:firstLine="480"/>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bookmarkStart w:id="312" w:name="5.2.5营运期固体废弃物对环境的影响"/>
      <w:bookmarkEnd w:id="312"/>
      <w:bookmarkStart w:id="313" w:name="5.2.4营运期声环境影响分析"/>
      <w:bookmarkEnd w:id="313"/>
      <w:bookmarkStart w:id="314" w:name="第六章__环境保护措施及其可行性论证"/>
      <w:bookmarkEnd w:id="314"/>
      <w:bookmarkStart w:id="315" w:name="_bookmark31"/>
      <w:bookmarkEnd w:id="315"/>
      <w:bookmarkStart w:id="316" w:name="5.3环境风险分析"/>
      <w:bookmarkEnd w:id="316"/>
      <w:bookmarkStart w:id="317" w:name="_bookmark30"/>
      <w:bookmarkEnd w:id="317"/>
    </w:p>
    <w:p>
      <w:pPr>
        <w:pStyle w:val="2"/>
        <w:rPr>
          <w:rFonts w:hint="default" w:ascii="Times New Roman" w:hAnsi="Times New Roman" w:cs="Times New Roman"/>
          <w:b/>
          <w:color w:val="000000" w:themeColor="text1"/>
          <w:highlight w:val="none"/>
          <w:lang w:eastAsia="zh-CN"/>
          <w14:textFill>
            <w14:solidFill>
              <w14:schemeClr w14:val="tx1"/>
            </w14:solidFill>
          </w14:textFill>
        </w:rPr>
      </w:pPr>
      <w:bookmarkStart w:id="318" w:name="_Toc12465"/>
      <w:r>
        <w:rPr>
          <w:rFonts w:hint="default" w:ascii="Times New Roman" w:hAnsi="Times New Roman" w:cs="Times New Roman"/>
          <w:color w:val="000000" w:themeColor="text1"/>
          <w:highlight w:val="none"/>
          <w:lang w:eastAsia="zh-CN"/>
          <w14:textFill>
            <w14:solidFill>
              <w14:schemeClr w14:val="tx1"/>
            </w14:solidFill>
          </w14:textFill>
        </w:rPr>
        <w:t>环境风险分析</w:t>
      </w:r>
      <w:bookmarkEnd w:id="318"/>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环境风险评价是分析和预测该项目在钻井、压裂测试过程中存在的潜在危险、有害因素，该项目在建设期间可能发生的突发性事件或事故（不包括人为破坏或自然灾害），引起平台内可燃气体、液体泄漏，所造成的人身安全、环境影响的损害程度，提出合理可行的防范、应急与减缓措施，以使建设项目事故率、损失和环境风险影响达到可接受水平。</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根据《建设项目环境风险评价技术导则》（HJ169-2018）导则要求，本次环境风险评价关注点为环境风险事故状态下对厂（场）界外环境的影响，同时关注生产放喷池</w:t>
      </w:r>
      <w:r>
        <w:rPr>
          <w:rFonts w:hint="eastAsia" w:ascii="Times New Roman" w:hAnsi="Times New Roman" w:cs="Times New Roman"/>
          <w:bCs/>
          <w:color w:val="000000" w:themeColor="text1"/>
          <w:kern w:val="2"/>
          <w:highlight w:val="none"/>
          <w:lang w:val="en-US" w:eastAsia="zh-CN"/>
          <w14:textFill>
            <w14:solidFill>
              <w14:schemeClr w14:val="tx1"/>
            </w14:solidFill>
          </w14:textFill>
        </w:rPr>
        <w:t>内污水</w:t>
      </w:r>
      <w:r>
        <w:rPr>
          <w:rFonts w:hint="default" w:ascii="Times New Roman" w:hAnsi="Times New Roman" w:cs="Times New Roman"/>
          <w:bCs/>
          <w:color w:val="000000" w:themeColor="text1"/>
          <w:kern w:val="2"/>
          <w:highlight w:val="none"/>
          <w:lang w:eastAsia="zh-CN"/>
          <w14:textFill>
            <w14:solidFill>
              <w14:schemeClr w14:val="tx1"/>
            </w14:solidFill>
          </w14:textFill>
        </w:rPr>
        <w:t>泄漏等对当地耕地、水体的环境风险影响。</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319" w:name="5.3.1评价依据"/>
      <w:bookmarkEnd w:id="319"/>
      <w:bookmarkStart w:id="320" w:name="_Toc11057"/>
      <w:r>
        <w:rPr>
          <w:rFonts w:hint="default" w:ascii="Times New Roman" w:hAnsi="Times New Roman" w:cs="Times New Roman"/>
          <w:color w:val="000000" w:themeColor="text1"/>
          <w:highlight w:val="none"/>
          <w:lang w:eastAsia="zh-CN"/>
          <w14:textFill>
            <w14:solidFill>
              <w14:schemeClr w14:val="tx1"/>
            </w14:solidFill>
          </w14:textFill>
        </w:rPr>
        <w:t>评价依据</w:t>
      </w:r>
      <w:bookmarkEnd w:id="320"/>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321" w:name="_Toc120173171"/>
      <w:r>
        <w:rPr>
          <w:rFonts w:hint="default" w:ascii="Times New Roman" w:hAnsi="Times New Roman" w:cs="Times New Roman"/>
          <w:color w:val="000000" w:themeColor="text1"/>
          <w:highlight w:val="none"/>
          <w:lang w:eastAsia="zh-CN"/>
          <w14:textFill>
            <w14:solidFill>
              <w14:schemeClr w14:val="tx1"/>
            </w14:solidFill>
          </w14:textFill>
        </w:rPr>
        <w:t>风险调查</w:t>
      </w:r>
      <w:bookmarkEnd w:id="321"/>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根据《危险化学品重大危险源辨识》（GB18218-2018）的有关规定，本项目试采的天然气含硫，因此，项目涉及的主要危险物质主要包括CH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S、盐酸、停电等紧急情况下使用柴油发电机所需的易燃物质柴油以及生产过程中产生的废油、若钻遇特殊地层采用油基钻井则还有白油和油基泥浆，存在发生火灾、泄漏、爆炸等突发性风险事故的可能性。</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工艺生产特点，该项目钻井过程中使用主要原、辅材料有泥浆、加重剂、固井水泥、添加剂、堵漏剂、试采的天然气、柴油发电机用柴油、白油（钻遇特殊地层采用油基钻井），井站试采期由工艺系统分离产生的气田水、试采的天然气。</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钻井过程中设置了自动、手动和电子共3套点火装置，根据《石油天然气钻井井控技术规范》（GB/T31033-2014）等井控技术规范，发生井喷后可保证在15min内实施井口点火，故钻井施工现场风险事故泄漏的甲烷和硫化氢泄漏量按15min计。根据项目可研报告可知，</w:t>
      </w:r>
      <w:r>
        <w:rPr>
          <w:rFonts w:hint="default" w:ascii="Times New Roman" w:hAnsi="Times New Roman" w:cs="Times New Roman"/>
          <w:color w:val="000000" w:themeColor="text1"/>
          <w:highlight w:val="none"/>
          <w:lang w:eastAsia="zh-CN"/>
          <w14:textFill>
            <w14:solidFill>
              <w14:schemeClr w14:val="tx1"/>
            </w14:solidFill>
          </w14:textFill>
        </w:rPr>
        <w:t>基于普光气田在飞一二段及P106-2井等投产试气资料，考虑水平井增压倍数，预测普光106-2H侧钻井无阻流量为30×10</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4</w:t>
      </w:r>
      <w:r>
        <w:rPr>
          <w:rFonts w:hint="default" w:ascii="Times New Roman" w:hAnsi="Times New Roman" w:cs="Times New Roman"/>
          <w:color w:val="000000" w:themeColor="text1"/>
          <w:highlight w:val="none"/>
          <w:lang w:eastAsia="zh-CN"/>
          <w14:textFill>
            <w14:solidFill>
              <w14:schemeClr w14:val="tx1"/>
            </w14:solidFill>
          </w14:textFill>
        </w:rPr>
        <w:t>m</w:t>
      </w:r>
      <w:r>
        <w:rPr>
          <w:rFonts w:hint="default" w:ascii="Times New Roman" w:hAnsi="Times New Roman" w:cs="Times New Roman"/>
          <w:color w:val="000000" w:themeColor="text1"/>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highlight w:val="none"/>
          <w:lang w:eastAsia="zh-CN"/>
          <w14:textFill>
            <w14:solidFill>
              <w14:schemeClr w14:val="tx1"/>
            </w14:solidFill>
          </w14:textFill>
        </w:rPr>
        <w:t>/d，则</w:t>
      </w:r>
      <w:r>
        <w:rPr>
          <w:rFonts w:hint="default" w:ascii="Times New Roman" w:hAnsi="Times New Roman" w:cs="Times New Roman"/>
          <w:bCs/>
          <w:color w:val="000000" w:themeColor="text1"/>
          <w:highlight w:val="none"/>
          <w:lang w:eastAsia="zh-CN"/>
          <w14:textFill>
            <w14:solidFill>
              <w14:schemeClr w14:val="tx1"/>
            </w14:solidFill>
          </w14:textFill>
        </w:rPr>
        <w:t>15min井喷天然气量为3125m</w:t>
      </w:r>
      <w:r>
        <w:rPr>
          <w:rFonts w:hint="default" w:ascii="Times New Roman" w:hAnsi="Times New Roman" w:cs="Times New Roman"/>
          <w:bCs/>
          <w:color w:val="000000" w:themeColor="text1"/>
          <w:highlight w:val="none"/>
          <w:vertAlign w:val="superscript"/>
          <w:lang w:eastAsia="zh-CN"/>
          <w14:textFill>
            <w14:solidFill>
              <w14:schemeClr w14:val="tx1"/>
            </w14:solidFill>
          </w14:textFill>
        </w:rPr>
        <w:t>3</w:t>
      </w:r>
      <w:r>
        <w:rPr>
          <w:rFonts w:hint="default" w:ascii="Times New Roman" w:hAnsi="Times New Roman" w:cs="Times New Roman"/>
          <w:bCs/>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eastAsia="zh-CN"/>
          <w14:textFill>
            <w14:solidFill>
              <w14:schemeClr w14:val="tx1"/>
            </w14:solidFill>
          </w14:textFill>
        </w:rPr>
        <w:t>按照环境风险管理规定，事故状态下在不超过15min内对井场可燃气体实施点火应急处置作业。</w:t>
      </w:r>
      <w:r>
        <w:rPr>
          <w:rFonts w:hint="default" w:ascii="Times New Roman" w:hAnsi="Times New Roman" w:cs="Times New Roman"/>
          <w:bCs/>
          <w:color w:val="000000" w:themeColor="text1"/>
          <w:highlight w:val="none"/>
          <w:lang w:eastAsia="zh-CN"/>
          <w14:textFill>
            <w14:solidFill>
              <w14:schemeClr w14:val="tx1"/>
            </w14:solidFill>
          </w14:textFill>
        </w:rPr>
        <w:t>H</w:t>
      </w:r>
      <w:r>
        <w:rPr>
          <w:rFonts w:hint="default" w:ascii="Times New Roman" w:hAnsi="Times New Roman" w:cs="Times New Roman"/>
          <w:bCs/>
          <w:color w:val="000000" w:themeColor="text1"/>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highlight w:val="none"/>
          <w:lang w:eastAsia="zh-CN"/>
          <w14:textFill>
            <w14:solidFill>
              <w14:schemeClr w14:val="tx1"/>
            </w14:solidFill>
          </w14:textFill>
        </w:rPr>
        <w:t>S含量为13.94mol%，H</w:t>
      </w:r>
      <w:r>
        <w:rPr>
          <w:rFonts w:hint="default" w:ascii="Times New Roman" w:hAnsi="Times New Roman" w:cs="Times New Roman"/>
          <w:bCs/>
          <w:color w:val="000000" w:themeColor="text1"/>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highlight w:val="none"/>
          <w:lang w:eastAsia="zh-CN"/>
          <w14:textFill>
            <w14:solidFill>
              <w14:schemeClr w14:val="tx1"/>
            </w14:solidFill>
          </w14:textFill>
        </w:rPr>
        <w:t>S含量约为230107mg/m</w:t>
      </w:r>
      <w:r>
        <w:rPr>
          <w:rFonts w:hint="default" w:ascii="Times New Roman" w:hAnsi="Times New Roman" w:cs="Times New Roman"/>
          <w:bCs/>
          <w:color w:val="000000" w:themeColor="text1"/>
          <w:highlight w:val="none"/>
          <w:vertAlign w:val="superscript"/>
          <w:lang w:eastAsia="zh-CN"/>
          <w14:textFill>
            <w14:solidFill>
              <w14:schemeClr w14:val="tx1"/>
            </w14:solidFill>
          </w14:textFill>
        </w:rPr>
        <w:t>3</w:t>
      </w:r>
      <w:r>
        <w:rPr>
          <w:rFonts w:hint="default" w:ascii="Times New Roman" w:hAnsi="Times New Roman" w:cs="Times New Roman"/>
          <w:bCs/>
          <w:color w:val="000000" w:themeColor="text1"/>
          <w:highlight w:val="none"/>
          <w:lang w:eastAsia="zh-CN"/>
          <w14:textFill>
            <w14:solidFill>
              <w14:schemeClr w14:val="tx1"/>
            </w14:solidFill>
          </w14:textFill>
        </w:rPr>
        <w:t>，15min井喷H</w:t>
      </w:r>
      <w:r>
        <w:rPr>
          <w:rFonts w:hint="default" w:ascii="Times New Roman" w:hAnsi="Times New Roman" w:cs="Times New Roman"/>
          <w:bCs/>
          <w:color w:val="000000" w:themeColor="text1"/>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highlight w:val="none"/>
          <w:lang w:eastAsia="zh-CN"/>
          <w14:textFill>
            <w14:solidFill>
              <w14:schemeClr w14:val="tx1"/>
            </w14:solidFill>
          </w14:textFill>
        </w:rPr>
        <w:t>S量约为0.72t；CH</w:t>
      </w:r>
      <w:r>
        <w:rPr>
          <w:rFonts w:hint="default" w:ascii="Times New Roman" w:hAnsi="Times New Roman" w:cs="Times New Roman"/>
          <w:bCs/>
          <w:color w:val="000000" w:themeColor="text1"/>
          <w:highlight w:val="none"/>
          <w:vertAlign w:val="subscript"/>
          <w:lang w:eastAsia="zh-CN"/>
          <w14:textFill>
            <w14:solidFill>
              <w14:schemeClr w14:val="tx1"/>
            </w14:solidFill>
          </w14:textFill>
        </w:rPr>
        <w:t>4</w:t>
      </w:r>
      <w:r>
        <w:rPr>
          <w:rFonts w:hint="default" w:ascii="Times New Roman" w:hAnsi="Times New Roman" w:cs="Times New Roman"/>
          <w:bCs/>
          <w:color w:val="000000" w:themeColor="text1"/>
          <w:highlight w:val="none"/>
          <w:lang w:eastAsia="zh-CN"/>
          <w14:textFill>
            <w14:solidFill>
              <w14:schemeClr w14:val="tx1"/>
            </w14:solidFill>
          </w14:textFill>
        </w:rPr>
        <w:t>含量为75.671mol%，即CH</w:t>
      </w:r>
      <w:r>
        <w:rPr>
          <w:rFonts w:hint="default" w:ascii="Times New Roman" w:hAnsi="Times New Roman" w:cs="Times New Roman"/>
          <w:bCs/>
          <w:color w:val="000000" w:themeColor="text1"/>
          <w:highlight w:val="none"/>
          <w:vertAlign w:val="subscript"/>
          <w:lang w:eastAsia="zh-CN"/>
          <w14:textFill>
            <w14:solidFill>
              <w14:schemeClr w14:val="tx1"/>
            </w14:solidFill>
          </w14:textFill>
        </w:rPr>
        <w:t>4</w:t>
      </w:r>
      <w:r>
        <w:rPr>
          <w:rFonts w:hint="default" w:ascii="Times New Roman" w:hAnsi="Times New Roman" w:cs="Times New Roman"/>
          <w:bCs/>
          <w:color w:val="000000" w:themeColor="text1"/>
          <w:highlight w:val="none"/>
          <w:lang w:eastAsia="zh-CN"/>
          <w14:textFill>
            <w14:solidFill>
              <w14:schemeClr w14:val="tx1"/>
            </w14:solidFill>
          </w14:textFill>
        </w:rPr>
        <w:t>含量约为539429mg/m</w:t>
      </w:r>
      <w:r>
        <w:rPr>
          <w:rFonts w:hint="default" w:ascii="Times New Roman" w:hAnsi="Times New Roman" w:cs="Times New Roman"/>
          <w:bCs/>
          <w:color w:val="000000" w:themeColor="text1"/>
          <w:highlight w:val="none"/>
          <w:vertAlign w:val="superscript"/>
          <w:lang w:eastAsia="zh-CN"/>
          <w14:textFill>
            <w14:solidFill>
              <w14:schemeClr w14:val="tx1"/>
            </w14:solidFill>
          </w14:textFill>
        </w:rPr>
        <w:t>3</w:t>
      </w:r>
      <w:r>
        <w:rPr>
          <w:rFonts w:hint="default" w:ascii="Times New Roman" w:hAnsi="Times New Roman" w:cs="Times New Roman"/>
          <w:bCs/>
          <w:color w:val="000000" w:themeColor="text1"/>
          <w:highlight w:val="none"/>
          <w:lang w:eastAsia="zh-CN"/>
          <w14:textFill>
            <w14:solidFill>
              <w14:schemeClr w14:val="tx1"/>
            </w14:solidFill>
          </w14:textFill>
        </w:rPr>
        <w:t>，15min井喷CH</w:t>
      </w:r>
      <w:r>
        <w:rPr>
          <w:rFonts w:hint="default" w:ascii="Times New Roman" w:hAnsi="Times New Roman" w:cs="Times New Roman"/>
          <w:bCs/>
          <w:color w:val="000000" w:themeColor="text1"/>
          <w:highlight w:val="none"/>
          <w:vertAlign w:val="subscript"/>
          <w:lang w:eastAsia="zh-CN"/>
          <w14:textFill>
            <w14:solidFill>
              <w14:schemeClr w14:val="tx1"/>
            </w14:solidFill>
          </w14:textFill>
        </w:rPr>
        <w:t>4</w:t>
      </w:r>
      <w:r>
        <w:rPr>
          <w:rFonts w:hint="default" w:ascii="Times New Roman" w:hAnsi="Times New Roman" w:cs="Times New Roman"/>
          <w:bCs/>
          <w:color w:val="000000" w:themeColor="text1"/>
          <w:highlight w:val="none"/>
          <w:lang w:eastAsia="zh-CN"/>
          <w14:textFill>
            <w14:solidFill>
              <w14:schemeClr w14:val="tx1"/>
            </w14:solidFill>
          </w14:textFill>
        </w:rPr>
        <w:t>量约为1.69t</w:t>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本项目涉及危险物质数量及分布情况见</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_Ref142859000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color w:val="000000" w:themeColor="text1"/>
          <w:highlight w:val="none"/>
          <w:lang w:eastAsia="zh-CN"/>
          <w14:textFill>
            <w14:solidFill>
              <w14:schemeClr w14:val="tx1"/>
            </w14:solidFill>
          </w14:textFill>
        </w:rPr>
        <w:t>表6.1</w:t>
      </w:r>
      <w:r>
        <w:rPr>
          <w:rFonts w:hint="default" w:ascii="Times New Roman" w:hAnsi="Times New Roman" w:cs="Times New Roman"/>
          <w:color w:val="000000" w:themeColor="text1"/>
          <w:highlight w:val="none"/>
          <w:lang w:eastAsia="zh-CN"/>
          <w14:textFill>
            <w14:solidFill>
              <w14:schemeClr w14:val="tx1"/>
            </w14:solidFill>
          </w14:textFill>
        </w:rPr>
        <w:noBreakHyphen/>
      </w:r>
      <w:r>
        <w:rPr>
          <w:rFonts w:hint="default" w:ascii="Times New Roman" w:hAnsi="Times New Roman" w:cs="Times New Roman"/>
          <w:color w:val="000000" w:themeColor="text1"/>
          <w:highlight w:val="none"/>
          <w:lang w:eastAsia="zh-CN"/>
          <w14:textFill>
            <w14:solidFill>
              <w14:schemeClr w14:val="tx1"/>
            </w14:solidFill>
          </w14:textFill>
        </w:rPr>
        <w:t>1</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322" w:name="_Ref142859000"/>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322"/>
      <w:r>
        <w:rPr>
          <w:rFonts w:hint="default" w:ascii="Times New Roman" w:hAnsi="Times New Roman" w:cs="Times New Roman"/>
          <w:color w:val="000000" w:themeColor="text1"/>
          <w:highlight w:val="none"/>
          <w14:textFill>
            <w14:solidFill>
              <w14:schemeClr w14:val="tx1"/>
            </w14:solidFill>
          </w14:textFill>
        </w:rPr>
        <w:t xml:space="preserve"> 本项目涉及危险物质数量及分布情况表</w:t>
      </w:r>
    </w:p>
    <w:tbl>
      <w:tblPr>
        <w:tblStyle w:val="52"/>
        <w:tblW w:w="822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28" w:type="dxa"/>
          <w:left w:w="28" w:type="dxa"/>
          <w:bottom w:w="28" w:type="dxa"/>
          <w:right w:w="28" w:type="dxa"/>
        </w:tblCellMar>
      </w:tblPr>
      <w:tblGrid>
        <w:gridCol w:w="701"/>
        <w:gridCol w:w="992"/>
        <w:gridCol w:w="1701"/>
        <w:gridCol w:w="1418"/>
        <w:gridCol w:w="341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tblHeader/>
          <w:jc w:val="center"/>
        </w:trPr>
        <w:tc>
          <w:tcPr>
            <w:tcW w:w="70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99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时段</w:t>
            </w:r>
          </w:p>
        </w:tc>
        <w:tc>
          <w:tcPr>
            <w:tcW w:w="170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物质</w:t>
            </w:r>
          </w:p>
        </w:tc>
        <w:tc>
          <w:tcPr>
            <w:tcW w:w="1418"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最大存在量</w:t>
            </w:r>
          </w:p>
        </w:tc>
        <w:tc>
          <w:tcPr>
            <w:tcW w:w="341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分布位置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施工期（钻井工程）</w:t>
            </w: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水基钻井固废</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约609.62t</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泥浆循环系统、泥浆不落地工艺区，重浆罐、泥浆材料区等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钻井废水</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351.32</w:t>
            </w:r>
            <w:r>
              <w:rPr>
                <w:rFonts w:hint="default" w:ascii="Times New Roman" w:hAnsi="Times New Roman" w:cs="Times New Roman"/>
                <w:color w:val="000000" w:themeColor="text1"/>
                <w:highlight w:val="none"/>
                <w14:textFill>
                  <w14:solidFill>
                    <w14:schemeClr w14:val="tx1"/>
                  </w14:solidFill>
                </w14:textFill>
              </w:rPr>
              <w:t>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废水收集罐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16t</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柴油罐区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废油</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0.85t</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油桶区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白油（采用油基钻井时）</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40t</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油桶区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油基钻井液（采用油基钻井时）</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约612t</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泥浆循环系统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甲烷</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1.69t（按井喷15min计算）</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单井井喷失控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硫化氢</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0.72t（按井喷15min计算）</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单井井喷失控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施工期（压裂测试）</w:t>
            </w:r>
          </w:p>
        </w:tc>
        <w:tc>
          <w:tcPr>
            <w:tcW w:w="1701"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压裂液（含压裂反排液）</w:t>
            </w:r>
          </w:p>
        </w:tc>
        <w:tc>
          <w:tcPr>
            <w:tcW w:w="1418"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588m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410"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井场</w:t>
            </w:r>
            <w:r>
              <w:rPr>
                <w:rFonts w:hint="eastAsia" w:cs="Times New Roman"/>
                <w:color w:val="000000" w:themeColor="text1"/>
                <w:highlight w:val="none"/>
                <w:lang w:val="en-US" w:eastAsia="zh-CN"/>
                <w14:textFill>
                  <w14:solidFill>
                    <w14:schemeClr w14:val="tx1"/>
                  </w14:solidFill>
                </w14:textFill>
              </w:rPr>
              <w:t>放喷池或</w:t>
            </w:r>
            <w:r>
              <w:rPr>
                <w:rFonts w:hint="default" w:ascii="Times New Roman" w:hAnsi="Times New Roman" w:cs="Times New Roman"/>
                <w:color w:val="000000" w:themeColor="text1"/>
                <w:highlight w:val="none"/>
                <w14:textFill>
                  <w14:solidFill>
                    <w14:schemeClr w14:val="tx1"/>
                  </w14:solidFill>
                </w14:textFill>
              </w:rPr>
              <w:t>压裂液储罐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3410"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16t</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柴油罐区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盐酸</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4.5t</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盐酸罐车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w:t>
            </w: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甲烷</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0.37t</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井口和站场工艺设备、管线（按620m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28" w:type="dxa"/>
            <w:bottom w:w="28" w:type="dxa"/>
            <w:right w:w="28" w:type="dxa"/>
          </w:tblCellMar>
        </w:tblPrEx>
        <w:trPr>
          <w:jc w:val="center"/>
        </w:trPr>
        <w:tc>
          <w:tcPr>
            <w:tcW w:w="701" w:type="dxa"/>
            <w:vAlign w:val="center"/>
          </w:tcPr>
          <w:p>
            <w:pPr>
              <w:pStyle w:val="295"/>
              <w:numPr>
                <w:ilvl w:val="0"/>
                <w:numId w:val="16"/>
              </w:numPr>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硫化氢</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0.13t</w:t>
            </w:r>
          </w:p>
        </w:tc>
        <w:tc>
          <w:tcPr>
            <w:tcW w:w="341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井口和站场工艺设备、管线（按620m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计）</w:t>
            </w:r>
          </w:p>
        </w:tc>
      </w:tr>
    </w:tbl>
    <w:p>
      <w:pPr>
        <w:pStyle w:val="21"/>
        <w:spacing w:before="120" w:beforeLines="5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p>
    <w:p>
      <w:pPr>
        <w:pStyle w:val="21"/>
        <w:spacing w:before="120" w:beforeLines="5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本项目涉及的危险物质物理化学特性及毒理性如下：</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（1）水基钻井固废危险性分析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泥浆为水基泥浆，以粘土（主要用膨润土）、水作为基础配浆材料，加入各种有机和无机材料形成的多种成份和相态共存的悬浮液，主要添加成分有聚合物、氯化钠、羧甲基纤维素（CMC）、木质硫酸盐、盐抑制剂以及改性石棉、石墨粉、烧碱等20多种化学品。膨润土的主要成分是蒙脱石。泥浆中影响环境的主要成分是有机物类、无机盐类、烧碱等配浆和加重材料中的杂质，本项目采用的泥浆不含重金属及其他有毒物质，呈碱性。水泥及添加剂主要为微硅水泥及重晶石添加剂，不含易燃、易爆、有毒物质。</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（2）钻井废水危险性分析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钻井废水主要呈现出pH值偏高，属碱性废水，含较高的COD和色度，具有一定的腐蚀性。</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（3）压裂液危险性分析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压裂液主要成分为清水，主要添加成分为稀盐酸、胶凝剂、缓蚀剂、铁稳剂、助排剂、NaOH、多功能增效剂、瓜胶等。本项目采用的压裂液不含有重金属和其他有毒物质，呈酸性，影响环境的主要成分是有机物类、无机盐类。</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（4）气田水危险性分析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气田水（含初期压裂返排液）中的主要污染物成分为石油类、COD、Cl</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w:t>
      </w:r>
      <w:r>
        <w:rPr>
          <w:rFonts w:hint="default" w:ascii="Times New Roman" w:hAnsi="Times New Roman" w:cs="Times New Roman"/>
          <w:bCs/>
          <w:color w:val="000000" w:themeColor="text1"/>
          <w:kern w:val="2"/>
          <w:highlight w:val="none"/>
          <w:lang w:eastAsia="zh-CN"/>
          <w14:textFill>
            <w14:solidFill>
              <w14:schemeClr w14:val="tx1"/>
            </w14:solidFill>
          </w14:textFill>
        </w:rPr>
        <w:t>。结合工程项目的实际情况，气田水（含初期压裂返排液）泄漏后会对地表水、地下水和土壤产生一定危害。</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（5）甲烷危险性分析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从地层中试采出的天然气属易燃、易爆物质，极易在通常环境中引起燃烧和爆炸，主要烃组份的甲烷属于《化学品分类和危险性公示通则》（GB13690-2009）中的气相爆炸物质，泄漏在环境中与空气混合后易达到爆炸极限，此时若遇火或静电可能引起燃烧和爆炸。其爆炸极限范围为5%～15%（体积比）。当空气中甲烷浓度达到10%时，就使人感到氧气不足；当空气中甲烷浓度达25%～30%时，可引起头痛、头晕、注意力不集中，呼吸和心跳加速、精细动作障碍等；当空气中甲烷浓度达30%以上时可能会因缺氧窒息、昏迷等。《石油天然气工程设计防火规范》（GB50183-2015）将使用或产生甲烷（C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）的生产列为甲类火灾危险性生产。甲烷的危险、有害特性详见</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_Ref142859020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表6.1</w:t>
      </w:r>
      <w:r>
        <w:rPr>
          <w:rFonts w:hint="default" w:ascii="Times New Roman" w:hAnsi="Times New Roman" w:cs="Times New Roman"/>
          <w:bCs/>
          <w:color w:val="000000" w:themeColor="text1"/>
          <w:kern w:val="2"/>
          <w:highlight w:val="none"/>
          <w:lang w:eastAsia="zh-CN"/>
          <w14:textFill>
            <w14:solidFill>
              <w14:schemeClr w14:val="tx1"/>
            </w14:solidFill>
          </w14:textFill>
        </w:rPr>
        <w:noBreakHyphen/>
      </w:r>
      <w:r>
        <w:rPr>
          <w:rFonts w:hint="default" w:ascii="Times New Roman" w:hAnsi="Times New Roman" w:cs="Times New Roman"/>
          <w:bCs/>
          <w:color w:val="000000" w:themeColor="text1"/>
          <w:kern w:val="2"/>
          <w:highlight w:val="none"/>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323" w:name="_Ref142859020"/>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bookmarkEnd w:id="323"/>
      <w:r>
        <w:rPr>
          <w:rFonts w:hint="default" w:ascii="Times New Roman" w:hAnsi="Times New Roman" w:cs="Times New Roman"/>
          <w:color w:val="000000" w:themeColor="text1"/>
          <w:highlight w:val="none"/>
          <w14:textFill>
            <w14:solidFill>
              <w14:schemeClr w14:val="tx1"/>
            </w14:solidFill>
          </w14:textFill>
        </w:rPr>
        <w:t xml:space="preserve"> 甲烷危险、有害特性表</w:t>
      </w:r>
    </w:p>
    <w:tbl>
      <w:tblPr>
        <w:tblStyle w:val="52"/>
        <w:tblW w:w="822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57" w:type="dxa"/>
          <w:bottom w:w="0" w:type="dxa"/>
          <w:right w:w="57" w:type="dxa"/>
        </w:tblCellMar>
      </w:tblPr>
      <w:tblGrid>
        <w:gridCol w:w="791"/>
        <w:gridCol w:w="1581"/>
        <w:gridCol w:w="1702"/>
        <w:gridCol w:w="1848"/>
        <w:gridCol w:w="97"/>
        <w:gridCol w:w="220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标识</w:t>
            </w: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中文名</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甲烷</w:t>
            </w:r>
          </w:p>
        </w:tc>
        <w:tc>
          <w:tcPr>
            <w:tcW w:w="18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英文名</w:t>
            </w:r>
          </w:p>
        </w:tc>
        <w:tc>
          <w:tcPr>
            <w:tcW w:w="2300"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Methane</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化学式</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CH</w:t>
            </w:r>
            <w:r>
              <w:rPr>
                <w:rFonts w:hint="default" w:ascii="Times New Roman" w:hAnsi="Times New Roman" w:cs="Times New Roman"/>
                <w:color w:val="000000" w:themeColor="text1"/>
                <w:highlight w:val="none"/>
                <w:vertAlign w:val="subscript"/>
                <w14:textFill>
                  <w14:solidFill>
                    <w14:schemeClr w14:val="tx1"/>
                  </w14:solidFill>
                </w14:textFill>
              </w:rPr>
              <w:t>4</w:t>
            </w:r>
          </w:p>
        </w:tc>
        <w:tc>
          <w:tcPr>
            <w:tcW w:w="18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分子量</w:t>
            </w:r>
          </w:p>
        </w:tc>
        <w:tc>
          <w:tcPr>
            <w:tcW w:w="2300"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16.04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ICSC编号</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0291</w:t>
            </w:r>
          </w:p>
        </w:tc>
        <w:tc>
          <w:tcPr>
            <w:tcW w:w="18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IMDG规则页码</w:t>
            </w:r>
          </w:p>
        </w:tc>
        <w:tc>
          <w:tcPr>
            <w:tcW w:w="2300"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2156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CAS号</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74-82-8</w:t>
            </w:r>
          </w:p>
        </w:tc>
        <w:tc>
          <w:tcPr>
            <w:tcW w:w="18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RTECS号</w:t>
            </w:r>
          </w:p>
        </w:tc>
        <w:tc>
          <w:tcPr>
            <w:tcW w:w="2300"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PA1490000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UN编号</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1971</w:t>
            </w:r>
          </w:p>
        </w:tc>
        <w:tc>
          <w:tcPr>
            <w:tcW w:w="18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危险货物编号</w:t>
            </w:r>
          </w:p>
        </w:tc>
        <w:tc>
          <w:tcPr>
            <w:tcW w:w="2300"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21007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EC编号</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601-001-00-4</w:t>
            </w:r>
          </w:p>
        </w:tc>
        <w:tc>
          <w:tcPr>
            <w:tcW w:w="18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300"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理化</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性质</w:t>
            </w: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外观与性状</w:t>
            </w:r>
          </w:p>
        </w:tc>
        <w:tc>
          <w:tcPr>
            <w:tcW w:w="5850"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无色无臭气体。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溶解性</w:t>
            </w:r>
          </w:p>
        </w:tc>
        <w:tc>
          <w:tcPr>
            <w:tcW w:w="5850"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微溶于水，溶于乙醇、乙醚.</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主要用途</w:t>
            </w:r>
          </w:p>
        </w:tc>
        <w:tc>
          <w:tcPr>
            <w:tcW w:w="5850"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用作燃料和用于炭黑、氢、乙炔、甲醛等的制造。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熔点（℃）</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-182.5</w:t>
            </w:r>
          </w:p>
        </w:tc>
        <w:tc>
          <w:tcPr>
            <w:tcW w:w="1945"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相对密度（水=1）</w:t>
            </w:r>
          </w:p>
        </w:tc>
        <w:tc>
          <w:tcPr>
            <w:tcW w:w="22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0.42/-164℃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沸点（℃）</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-161.5</w:t>
            </w:r>
          </w:p>
        </w:tc>
        <w:tc>
          <w:tcPr>
            <w:tcW w:w="1945"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相对密度（空气=1）</w:t>
            </w:r>
          </w:p>
        </w:tc>
        <w:tc>
          <w:tcPr>
            <w:tcW w:w="22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饱和蒸汽压（kpa）</w:t>
            </w:r>
          </w:p>
        </w:tc>
        <w:tc>
          <w:tcPr>
            <w:tcW w:w="3647"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53.32（-168.8℃）</w:t>
            </w:r>
          </w:p>
        </w:tc>
        <w:tc>
          <w:tcPr>
            <w:tcW w:w="22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临界温度（℃）</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-82.6</w:t>
            </w:r>
          </w:p>
        </w:tc>
        <w:tc>
          <w:tcPr>
            <w:tcW w:w="1945"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临界压力（Mpa）</w:t>
            </w:r>
          </w:p>
        </w:tc>
        <w:tc>
          <w:tcPr>
            <w:tcW w:w="22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4.59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燃烧热（KJ/mol）</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889.5</w:t>
            </w:r>
          </w:p>
        </w:tc>
        <w:tc>
          <w:tcPr>
            <w:tcW w:w="1945"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最小引燃能量（mJ）</w:t>
            </w:r>
          </w:p>
        </w:tc>
        <w:tc>
          <w:tcPr>
            <w:tcW w:w="22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毒性</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及健</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康危</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害</w:t>
            </w:r>
          </w:p>
        </w:tc>
        <w:tc>
          <w:tcPr>
            <w:tcW w:w="1581"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接触限值</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中国MAC</w:t>
            </w:r>
          </w:p>
        </w:tc>
        <w:tc>
          <w:tcPr>
            <w:tcW w:w="4148"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未制定标准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58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前苏联MAC</w:t>
            </w:r>
          </w:p>
        </w:tc>
        <w:tc>
          <w:tcPr>
            <w:tcW w:w="4148"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300mg/m3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58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美国TWA</w:t>
            </w:r>
          </w:p>
        </w:tc>
        <w:tc>
          <w:tcPr>
            <w:tcW w:w="4148"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ACGIH窒息性气体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58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美国STEL</w:t>
            </w:r>
          </w:p>
        </w:tc>
        <w:tc>
          <w:tcPr>
            <w:tcW w:w="4148"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未制定标准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侵入途径</w:t>
            </w:r>
          </w:p>
        </w:tc>
        <w:tc>
          <w:tcPr>
            <w:tcW w:w="5850"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吸入</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健康危害</w:t>
            </w:r>
          </w:p>
        </w:tc>
        <w:tc>
          <w:tcPr>
            <w:tcW w:w="5850"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1、当空气中甲烷浓度达25—30%时，可引起头痛、头晕、乏力、注意力不集中、呼吸和心跳加速、精细动作障碍等；</w:t>
            </w:r>
          </w:p>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2、当空气中甲烷浓度更高时，可能使人出现窒息、昏迷等。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燃烧</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爆炸</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危险</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性</w:t>
            </w: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燃烧性</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易燃</w:t>
            </w:r>
          </w:p>
        </w:tc>
        <w:tc>
          <w:tcPr>
            <w:tcW w:w="1945"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建筑</w:t>
            </w:r>
            <w:r>
              <w:rPr>
                <w:rFonts w:hint="default" w:ascii="Times New Roman" w:hAnsi="Times New Roman" w:cs="Times New Roman"/>
                <w:color w:val="000000" w:themeColor="text1"/>
                <w:highlight w:val="none"/>
                <w14:textFill>
                  <w14:solidFill>
                    <w14:schemeClr w14:val="tx1"/>
                  </w14:solidFill>
                </w14:textFill>
              </w:rPr>
              <w:t>火险等级</w:t>
            </w:r>
          </w:p>
        </w:tc>
        <w:tc>
          <w:tcPr>
            <w:tcW w:w="22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甲</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闪点（℃）</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-188</w:t>
            </w:r>
          </w:p>
        </w:tc>
        <w:tc>
          <w:tcPr>
            <w:tcW w:w="1945"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爆炸下限（v%）</w:t>
            </w:r>
          </w:p>
        </w:tc>
        <w:tc>
          <w:tcPr>
            <w:tcW w:w="22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自然温度（℃）</w:t>
            </w:r>
          </w:p>
        </w:tc>
        <w:tc>
          <w:tcPr>
            <w:tcW w:w="170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538</w:t>
            </w:r>
          </w:p>
        </w:tc>
        <w:tc>
          <w:tcPr>
            <w:tcW w:w="1945"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爆炸上限（v%）</w:t>
            </w:r>
          </w:p>
        </w:tc>
        <w:tc>
          <w:tcPr>
            <w:tcW w:w="22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危险特性</w:t>
            </w:r>
          </w:p>
        </w:tc>
        <w:tc>
          <w:tcPr>
            <w:tcW w:w="5850" w:type="dxa"/>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1、甲烷与空气混合能形成爆炸性混合物，当在爆炸极限范围内遇明火、高热能时引起燃烧爆炸。2、甲烷与氟、氯等能发生剧烈的化学反应。3、甲烷若遇高热，容器内压增大，有开裂和爆炸的危险。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稳定性</w:t>
            </w:r>
          </w:p>
        </w:tc>
        <w:tc>
          <w:tcPr>
            <w:tcW w:w="5850"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稳定</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聚合危害</w:t>
            </w:r>
          </w:p>
        </w:tc>
        <w:tc>
          <w:tcPr>
            <w:tcW w:w="5850"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不会出现聚合危害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禁忌物</w:t>
            </w:r>
          </w:p>
        </w:tc>
        <w:tc>
          <w:tcPr>
            <w:tcW w:w="5850"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强氧化剂，如氟、氯等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灭火方法</w:t>
            </w:r>
          </w:p>
        </w:tc>
        <w:tc>
          <w:tcPr>
            <w:tcW w:w="5850" w:type="dxa"/>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1、立即切断气源。2、若不能立即切断气源，则不允许熄灭正在燃烧的气体。3、喷水冷却容器，如果可能应将容器从火场移至空旷处。4、采用雾状水、泡沫灭火器和二氧化碳灭火器等。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包装</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储运</w:t>
            </w: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危险性类别</w:t>
            </w:r>
          </w:p>
        </w:tc>
        <w:tc>
          <w:tcPr>
            <w:tcW w:w="5850"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第2.1类（UN类别）易燃气体</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危险货物包装标志</w:t>
            </w:r>
          </w:p>
        </w:tc>
        <w:tc>
          <w:tcPr>
            <w:tcW w:w="5850"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包装</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储运</w:t>
            </w: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储运注意事项</w:t>
            </w:r>
          </w:p>
        </w:tc>
        <w:tc>
          <w:tcPr>
            <w:tcW w:w="5850" w:type="dxa"/>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储存于阴凉、通风的储存间内，且储存间内温度不宜超过30℃，储存间内的照明、通风设施应采用防爆型，开关设置于储存间外。2、罐储时，要有防火防爆措施，若为露天储罐夏季应有降温措施。3、储存间和储罐附近应配备相应品种和数量的消防器材。4、远离火种、热源，禁止使用易产生火花的机械设备和工具。5、防止阳光直射。6、与氧气、压缩空气、卤素（氟、氯、溴）等分开存放，切忌混储混运。7、验收时应注意品名，注意验瓶日期，先进储存的先发用。8、搬运时轻装轻卸，防止钢瓶及附件破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急救</w:t>
            </w: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皮肤接触</w:t>
            </w:r>
          </w:p>
        </w:tc>
        <w:tc>
          <w:tcPr>
            <w:tcW w:w="5850" w:type="dxa"/>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若有冻伤，就医治疗。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吸入</w:t>
            </w:r>
          </w:p>
        </w:tc>
        <w:tc>
          <w:tcPr>
            <w:tcW w:w="5850" w:type="dxa"/>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1、迅速脱离现场至空气新鲜处。2、注意保暖，呼吸困难时给输氧。3、呼吸及心跳停止者立即进行人工呼吸和心脏按压术，并就医治疗。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防护</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措施</w:t>
            </w: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工程控制</w:t>
            </w:r>
          </w:p>
        </w:tc>
        <w:tc>
          <w:tcPr>
            <w:tcW w:w="5850" w:type="dxa"/>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全面通风。</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呼吸系统防护</w:t>
            </w:r>
          </w:p>
        </w:tc>
        <w:tc>
          <w:tcPr>
            <w:tcW w:w="5850" w:type="dxa"/>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一般不需要特殊防护，高浓度环境中，可</w:t>
            </w:r>
            <w:r>
              <w:rPr>
                <w:rFonts w:hint="default" w:ascii="Times New Roman" w:hAnsi="Times New Roman" w:cs="Times New Roman"/>
                <w:color w:val="000000" w:themeColor="text1"/>
                <w:highlight w:val="none"/>
                <w:lang w:eastAsia="zh-CN"/>
                <w14:textFill>
                  <w14:solidFill>
                    <w14:schemeClr w14:val="tx1"/>
                  </w14:solidFill>
                </w14:textFill>
              </w:rPr>
              <w:t>佩戴</w:t>
            </w:r>
            <w:r>
              <w:rPr>
                <w:rFonts w:hint="default" w:ascii="Times New Roman" w:hAnsi="Times New Roman" w:cs="Times New Roman"/>
                <w:color w:val="000000" w:themeColor="text1"/>
                <w:highlight w:val="none"/>
                <w14:textFill>
                  <w14:solidFill>
                    <w14:schemeClr w14:val="tx1"/>
                  </w14:solidFill>
                </w14:textFill>
              </w:rPr>
              <w:t>供气式呼吸器。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眼睛防护</w:t>
            </w:r>
          </w:p>
        </w:tc>
        <w:tc>
          <w:tcPr>
            <w:tcW w:w="5850" w:type="dxa"/>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一般不需要特殊防护，高浓度接触时可戴安全防护眼镜。</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手防护</w:t>
            </w:r>
          </w:p>
        </w:tc>
        <w:tc>
          <w:tcPr>
            <w:tcW w:w="5850" w:type="dxa"/>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一般不需要特殊防护，高浓度接触可戴防护手套。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5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其它</w:t>
            </w:r>
          </w:p>
        </w:tc>
        <w:tc>
          <w:tcPr>
            <w:tcW w:w="5850" w:type="dxa"/>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1、工作现场严禁吸烟；2、避免长期反复接触；</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3、进入罐区</w:t>
            </w:r>
            <w:r>
              <w:rPr>
                <w:rFonts w:hint="default" w:ascii="Times New Roman" w:hAnsi="Times New Roman" w:cs="Times New Roman"/>
                <w:color w:val="000000" w:themeColor="text1"/>
                <w:highlight w:val="none"/>
                <w:lang w:eastAsia="zh-CN"/>
                <w14:textFill>
                  <w14:solidFill>
                    <w14:schemeClr w14:val="tx1"/>
                  </w14:solidFill>
                </w14:textFill>
              </w:rPr>
              <w:t>或其他</w:t>
            </w:r>
            <w:r>
              <w:rPr>
                <w:rFonts w:hint="default" w:ascii="Times New Roman" w:hAnsi="Times New Roman" w:cs="Times New Roman"/>
                <w:color w:val="000000" w:themeColor="text1"/>
                <w:highlight w:val="none"/>
                <w14:textFill>
                  <w14:solidFill>
                    <w14:schemeClr w14:val="tx1"/>
                  </w14:solidFill>
                </w14:textFill>
              </w:rPr>
              <w:t>高浓度区作业时须有人监护。</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57" w:type="dxa"/>
            <w:bottom w:w="0" w:type="dxa"/>
            <w:right w:w="57" w:type="dxa"/>
          </w:tblCellMar>
        </w:tblPrEx>
        <w:trPr>
          <w:cantSplit/>
          <w:jc w:val="center"/>
        </w:trPr>
        <w:tc>
          <w:tcPr>
            <w:tcW w:w="79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泄露</w:t>
            </w:r>
          </w:p>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处理</w:t>
            </w:r>
          </w:p>
        </w:tc>
        <w:tc>
          <w:tcPr>
            <w:tcW w:w="7431" w:type="dxa"/>
            <w:gridSpan w:val="5"/>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1、切断气源，喷雾状水稀释、降温，抽排（室内）或强力通风（室外）。2、切断火源，迅速撤离</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污染区人员至上风处，并隔离直至气体散尽。3、应急处理人员应戴自给式呼吸器，穿一般消防防护服。4、如有可能，应将漏出气用排风机送至空旷地方或装设适当喷头烧掉；也可以将漏气的容器移至空旷处，注意通风。5、漏气容器不能再用，且要经过技术处理以清除可能剩下的气休。</w:t>
            </w:r>
          </w:p>
        </w:tc>
      </w:tr>
    </w:tbl>
    <w:p>
      <w:pPr>
        <w:pStyle w:val="21"/>
        <w:spacing w:before="120" w:beforeLines="5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p>
    <w:p>
      <w:pPr>
        <w:pStyle w:val="21"/>
        <w:spacing w:before="120" w:beforeLines="5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（6）硫化氢危险性分析</w:t>
      </w:r>
    </w:p>
    <w:p>
      <w:pPr>
        <w:pStyle w:val="25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本工程天然气为含硫气，可能对环境造成危害的物质为硫化氢。硫化氢为强烈的神经性毒物，对</w:t>
      </w:r>
      <w:r>
        <w:rPr>
          <w:rFonts w:hint="default" w:ascii="Times New Roman" w:hAnsi="Times New Roman" w:cs="Times New Roman"/>
          <w:color w:val="000000" w:themeColor="text1"/>
          <w:highlight w:val="none"/>
          <w:lang w:eastAsia="zh-CN"/>
          <w14:textFill>
            <w14:solidFill>
              <w14:schemeClr w14:val="tx1"/>
            </w14:solidFill>
          </w14:textFill>
        </w:rPr>
        <w:t>黏膜</w:t>
      </w:r>
      <w:r>
        <w:rPr>
          <w:rFonts w:hint="default" w:ascii="Times New Roman" w:hAnsi="Times New Roman" w:cs="Times New Roman"/>
          <w:color w:val="000000" w:themeColor="text1"/>
          <w:highlight w:val="none"/>
          <w14:textFill>
            <w14:solidFill>
              <w14:schemeClr w14:val="tx1"/>
            </w14:solidFill>
          </w14:textFill>
        </w:rPr>
        <w:t>有强烈的刺激作用。硫化氢对人的生理影响及危害见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_Ref142859037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表6.1</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和</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_Ref142859063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表6.1</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324" w:name="_Ref142859037"/>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bookmarkEnd w:id="324"/>
      <w:r>
        <w:rPr>
          <w:rFonts w:hint="default" w:ascii="Times New Roman" w:hAnsi="Times New Roman" w:cs="Times New Roman"/>
          <w:color w:val="000000" w:themeColor="text1"/>
          <w:highlight w:val="none"/>
          <w14:textFill>
            <w14:solidFill>
              <w14:schemeClr w14:val="tx1"/>
            </w14:solidFill>
          </w14:textFill>
        </w:rPr>
        <w:t xml:space="preserve"> 硫化氢物化性质表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6"/>
        <w:gridCol w:w="1278"/>
        <w:gridCol w:w="2130"/>
        <w:gridCol w:w="2008"/>
        <w:gridCol w:w="181"/>
        <w:gridCol w:w="21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标识</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中文名</w:t>
            </w:r>
          </w:p>
        </w:tc>
        <w:tc>
          <w:tcPr>
            <w:tcW w:w="12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硫化氢</w:t>
            </w:r>
          </w:p>
        </w:tc>
        <w:tc>
          <w:tcPr>
            <w:tcW w:w="119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英文名</w:t>
            </w:r>
          </w:p>
        </w:tc>
        <w:tc>
          <w:tcPr>
            <w:tcW w:w="1414"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Hydrogen Sulfide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分子式</w:t>
            </w:r>
          </w:p>
        </w:tc>
        <w:tc>
          <w:tcPr>
            <w:tcW w:w="12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w:t>
            </w:r>
          </w:p>
        </w:tc>
        <w:tc>
          <w:tcPr>
            <w:tcW w:w="120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危险货物：UN编号</w:t>
            </w:r>
          </w:p>
        </w:tc>
        <w:tc>
          <w:tcPr>
            <w:tcW w:w="1404"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21006：1053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沸点</w:t>
            </w:r>
          </w:p>
        </w:tc>
        <w:tc>
          <w:tcPr>
            <w:tcW w:w="12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-60.4℃</w:t>
            </w:r>
          </w:p>
        </w:tc>
        <w:tc>
          <w:tcPr>
            <w:tcW w:w="120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临界温度</w:t>
            </w:r>
          </w:p>
        </w:tc>
        <w:tc>
          <w:tcPr>
            <w:tcW w:w="1404"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相对密度</w:t>
            </w:r>
          </w:p>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（水=1）</w:t>
            </w:r>
          </w:p>
        </w:tc>
        <w:tc>
          <w:tcPr>
            <w:tcW w:w="12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20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相对密度</w:t>
            </w:r>
          </w:p>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（空气=1）</w:t>
            </w:r>
          </w:p>
        </w:tc>
        <w:tc>
          <w:tcPr>
            <w:tcW w:w="1404"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外观性状</w:t>
            </w:r>
          </w:p>
        </w:tc>
        <w:tc>
          <w:tcPr>
            <w:tcW w:w="3892" w:type="pct"/>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无色、有恶臭的气体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溶解性</w:t>
            </w:r>
          </w:p>
        </w:tc>
        <w:tc>
          <w:tcPr>
            <w:tcW w:w="3892" w:type="pct"/>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溶于水、乙醇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4660" w:type="pct"/>
            <w:gridSpan w:val="5"/>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外观与性状：无色无臭气体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危险性参数</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闪点</w:t>
            </w:r>
          </w:p>
        </w:tc>
        <w:tc>
          <w:tcPr>
            <w:tcW w:w="12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316"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爆炸上限</w:t>
            </w:r>
          </w:p>
        </w:tc>
        <w:tc>
          <w:tcPr>
            <w:tcW w:w="129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46%（V/V）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引燃温度</w:t>
            </w:r>
          </w:p>
        </w:tc>
        <w:tc>
          <w:tcPr>
            <w:tcW w:w="1280"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260℃</w:t>
            </w:r>
          </w:p>
        </w:tc>
        <w:tc>
          <w:tcPr>
            <w:tcW w:w="1316"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爆炸下限</w:t>
            </w:r>
          </w:p>
        </w:tc>
        <w:tc>
          <w:tcPr>
            <w:tcW w:w="1295"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4%（V/V）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危险特性</w:t>
            </w:r>
          </w:p>
        </w:tc>
        <w:tc>
          <w:tcPr>
            <w:tcW w:w="3892" w:type="pct"/>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易燃，与空气混合能形成爆炸性混合物，遇明火、高热能引起燃烧爆炸。与浓硝酸、发烟硝酸</w:t>
            </w:r>
            <w:r>
              <w:rPr>
                <w:rFonts w:hint="default" w:ascii="Times New Roman" w:hAnsi="Times New Roman" w:cs="Times New Roman"/>
                <w:color w:val="000000" w:themeColor="text1"/>
                <w:highlight w:val="none"/>
                <w:lang w:eastAsia="zh-CN"/>
                <w14:textFill>
                  <w14:solidFill>
                    <w14:schemeClr w14:val="tx1"/>
                  </w14:solidFill>
                </w14:textFill>
              </w:rPr>
              <w:t>或其他</w:t>
            </w:r>
            <w:r>
              <w:rPr>
                <w:rFonts w:hint="default" w:ascii="Times New Roman" w:hAnsi="Times New Roman" w:cs="Times New Roman"/>
                <w:color w:val="000000" w:themeColor="text1"/>
                <w:highlight w:val="none"/>
                <w14:textFill>
                  <w14:solidFill>
                    <w14:schemeClr w14:val="tx1"/>
                  </w14:solidFill>
                </w14:textFill>
              </w:rPr>
              <w:t>强氧化剂剧烈反应，发生爆炸。气体比空气重，能在较低处扩散到相当远的地方，遇火源会着火回燃。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燃烧产物</w:t>
            </w:r>
          </w:p>
        </w:tc>
        <w:tc>
          <w:tcPr>
            <w:tcW w:w="3892" w:type="pct"/>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二氧化硫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灭火</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灭火剂</w:t>
            </w:r>
          </w:p>
        </w:tc>
        <w:tc>
          <w:tcPr>
            <w:tcW w:w="3892" w:type="pct"/>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雾状水、抗溶性泡沫、干粉。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灭火方法</w:t>
            </w:r>
          </w:p>
        </w:tc>
        <w:tc>
          <w:tcPr>
            <w:tcW w:w="3892" w:type="pct"/>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消防人员必须穿全身防火防毒服，在上风向灭火。切断气源。若不能切断气源，则不允许熄灭泄漏处的火焰。喷水冷却容器，可能的话将容器从火场移至空旷处。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毒性及健康危害</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毒性</w:t>
            </w:r>
          </w:p>
        </w:tc>
        <w:tc>
          <w:tcPr>
            <w:tcW w:w="3892" w:type="pct"/>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LC50：618mg/m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健康危害</w:t>
            </w:r>
          </w:p>
        </w:tc>
        <w:tc>
          <w:tcPr>
            <w:tcW w:w="3892" w:type="pct"/>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本品是强烈的神经毒物，对</w:t>
            </w:r>
            <w:r>
              <w:rPr>
                <w:rFonts w:hint="default" w:ascii="Times New Roman" w:hAnsi="Times New Roman" w:cs="Times New Roman"/>
                <w:color w:val="000000" w:themeColor="text1"/>
                <w:highlight w:val="none"/>
                <w:lang w:eastAsia="zh-CN"/>
                <w14:textFill>
                  <w14:solidFill>
                    <w14:schemeClr w14:val="tx1"/>
                  </w14:solidFill>
                </w14:textFill>
              </w:rPr>
              <w:t>黏膜</w:t>
            </w:r>
            <w:r>
              <w:rPr>
                <w:rFonts w:hint="default" w:ascii="Times New Roman" w:hAnsi="Times New Roman" w:cs="Times New Roman"/>
                <w:color w:val="000000" w:themeColor="text1"/>
                <w:highlight w:val="none"/>
                <w14:textFill>
                  <w14:solidFill>
                    <w14:schemeClr w14:val="tx1"/>
                  </w14:solidFill>
                </w14:textFill>
              </w:rPr>
              <w:t>有强烈刺激作用。急性中毒：短期内吸入高浓度硫化氢后出现流泪、眼痛、眼内异物感、畏光、视物模糊、流涕、咽喉部灼热感、咳嗽、胸闷、头痛、头晕、乏力、意识模糊等。部分患者可有心肌损害。重者可出现脑水肿、肺水肿。极高浓度（1000mg/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以上）时可在数秒钟内突然昏迷，呼吸和心跳骤停，发生闪电型死亡。高浓度接触眼结膜发生水肿和角膜溃疡。长期低浓度接触，引起神经衰弱综合征和植物神经功能紊乱。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应急处理处置方法</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泄漏应急处理</w:t>
            </w:r>
          </w:p>
        </w:tc>
        <w:tc>
          <w:tcPr>
            <w:tcW w:w="3892" w:type="pct"/>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迅速撤离泄漏污染区人员至上风处，并立即进行隔离，小泄漏时隔离150m，大泄漏时隔离300m，严格限制出入。切断火源。建议应急处理人员戴自给正压式呼吸器，穿防静电工作服。从上风处进入现场。尽可能切断泄漏源。合理通风，加速扩散。喷雾状水稀释、溶解。构筑围堤或挖坑收容产生的大量废水。如有可能，将残余气或漏出气用排风机送至水洗塔或与塔相连的通风橱内。或使其通过三氯化铁水溶液，管路装止回装置以防溶液吸回。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眼睛接触</w:t>
            </w:r>
          </w:p>
        </w:tc>
        <w:tc>
          <w:tcPr>
            <w:tcW w:w="3892" w:type="pct"/>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吸入</w:t>
            </w:r>
          </w:p>
        </w:tc>
        <w:tc>
          <w:tcPr>
            <w:tcW w:w="3892" w:type="pct"/>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迅速脱离现场至空气新鲜处。保持呼吸道通畅。如呼吸困难，给输氧。如呼吸停止，立即进行人工呼吸。就医。</w:t>
            </w:r>
          </w:p>
        </w:tc>
      </w:tr>
    </w:tbl>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325" w:name="_Ref142859063"/>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bookmarkEnd w:id="325"/>
      <w:r>
        <w:rPr>
          <w:rFonts w:hint="default" w:ascii="Times New Roman" w:hAnsi="Times New Roman" w:cs="Times New Roman"/>
          <w:color w:val="000000" w:themeColor="text1"/>
          <w:highlight w:val="none"/>
          <w14:textFill>
            <w14:solidFill>
              <w14:schemeClr w14:val="tx1"/>
            </w14:solidFill>
          </w14:textFill>
        </w:rPr>
        <w:t xml:space="preserve"> 硫化氢对人的生理影响及危害</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527"/>
        <w:gridCol w:w="31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空气中H</w:t>
            </w:r>
            <w:r>
              <w:rPr>
                <w:rFonts w:hint="default" w:ascii="Times New Roman" w:hAnsi="Times New Roman" w:cs="Times New Roman"/>
                <w:b/>
                <w:bCs/>
                <w:color w:val="000000" w:themeColor="text1"/>
                <w:highlight w:val="none"/>
                <w:vertAlign w:val="subscript"/>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S浓度（mg/m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w:t>
            </w:r>
          </w:p>
        </w:tc>
        <w:tc>
          <w:tcPr>
            <w:tcW w:w="148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接触时间</w:t>
            </w:r>
          </w:p>
        </w:tc>
        <w:tc>
          <w:tcPr>
            <w:tcW w:w="1851"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生理影响及危害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0.04</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感到臭味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感到明显臭味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有强烈臭味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有不快感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刺激眼睛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35～45</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强烈刺激</w:t>
            </w:r>
            <w:r>
              <w:rPr>
                <w:rFonts w:hint="default" w:ascii="Times New Roman" w:hAnsi="Times New Roman" w:cs="Times New Roman"/>
                <w:color w:val="000000" w:themeColor="text1"/>
                <w:highlight w:val="none"/>
                <w:lang w:eastAsia="zh-CN"/>
                <w14:textFill>
                  <w14:solidFill>
                    <w14:schemeClr w14:val="tx1"/>
                  </w14:solidFill>
                </w14:textFill>
              </w:rPr>
              <w:t>黏膜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75～150</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刺激呼吸道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150～300</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15min</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嗅觉麻痹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300</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暴露时间长有中毒症状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300～450</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1h</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引起亚急性中毒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375～525</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4～8h</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有生命危险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525～600</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1～4h</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有生命危险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30min</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引起致命性中毒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1500</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引起呼吸道麻痹、有生命危险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1500～2250</w:t>
            </w:r>
          </w:p>
        </w:tc>
        <w:tc>
          <w:tcPr>
            <w:tcW w:w="148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数分钟</w:t>
            </w:r>
          </w:p>
        </w:tc>
        <w:tc>
          <w:tcPr>
            <w:tcW w:w="1851"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死亡</w:t>
            </w:r>
          </w:p>
        </w:tc>
      </w:tr>
    </w:tbl>
    <w:p>
      <w:pPr>
        <w:pStyle w:val="21"/>
        <w:spacing w:before="120" w:beforeLines="5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p>
    <w:p>
      <w:pPr>
        <w:pStyle w:val="21"/>
        <w:spacing w:before="120" w:beforeLines="5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（7）柴油危险性分析</w:t>
      </w:r>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钻井及井下作业过程中使用柴油机作为钻井作业现场电力和动力输出，柴油具有可燃性，其物理化学特性见</w:t>
      </w:r>
      <w:r>
        <w:rPr>
          <w:rFonts w:hint="default" w:ascii="Times New Roman" w:hAnsi="Times New Roman" w:cs="Times New Roman"/>
          <w:color w:val="000000" w:themeColor="text1"/>
          <w:kern w:val="0"/>
          <w:szCs w:val="20"/>
          <w:highlight w:val="none"/>
          <w14:textFill>
            <w14:solidFill>
              <w14:schemeClr w14:val="tx1"/>
            </w14:solidFill>
          </w14:textFill>
        </w:rPr>
        <w:fldChar w:fldCharType="begin"/>
      </w:r>
      <w:r>
        <w:rPr>
          <w:rFonts w:hint="default" w:ascii="Times New Roman" w:hAnsi="Times New Roman" w:cs="Times New Roman"/>
          <w:color w:val="000000" w:themeColor="text1"/>
          <w:kern w:val="0"/>
          <w:szCs w:val="20"/>
          <w:highlight w:val="none"/>
          <w14:textFill>
            <w14:solidFill>
              <w14:schemeClr w14:val="tx1"/>
            </w14:solidFill>
          </w14:textFill>
        </w:rPr>
        <w:instrText xml:space="preserve"> REF _Ref142859071 \h  \* MERGEFORMAT </w:instrText>
      </w:r>
      <w:r>
        <w:rPr>
          <w:rFonts w:hint="default" w:ascii="Times New Roman" w:hAnsi="Times New Roman" w:cs="Times New Roman"/>
          <w:color w:val="000000" w:themeColor="text1"/>
          <w:kern w:val="0"/>
          <w:szCs w:val="20"/>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表6.1</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kern w:val="0"/>
          <w:szCs w:val="20"/>
          <w:highlight w:val="none"/>
          <w14:textFill>
            <w14:solidFill>
              <w14:schemeClr w14:val="tx1"/>
            </w14:solidFill>
          </w14:textFill>
        </w:rPr>
        <w:fldChar w:fldCharType="end"/>
      </w:r>
      <w:r>
        <w:rPr>
          <w:rFonts w:hint="default" w:ascii="Times New Roman" w:hAnsi="Times New Roman" w:cs="Times New Roman"/>
          <w:color w:val="000000" w:themeColor="text1"/>
          <w:kern w:val="0"/>
          <w:szCs w:val="20"/>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326" w:name="_Ref142859071"/>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fldChar w:fldCharType="end"/>
      </w:r>
      <w:bookmarkEnd w:id="326"/>
      <w:r>
        <w:rPr>
          <w:rFonts w:hint="default" w:ascii="Times New Roman" w:hAnsi="Times New Roman" w:cs="Times New Roman"/>
          <w:color w:val="000000" w:themeColor="text1"/>
          <w:highlight w:val="none"/>
          <w14:textFill>
            <w14:solidFill>
              <w14:schemeClr w14:val="tx1"/>
            </w14:solidFill>
          </w14:textFill>
        </w:rPr>
        <w:t xml:space="preserve"> 柴油特性表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1"/>
        <w:gridCol w:w="1948"/>
        <w:gridCol w:w="1883"/>
        <w:gridCol w:w="2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第一部分危险性概述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危险性类别</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第3.3类高闪点易燃液体。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侵入途径</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吸入、食入、经皮肤吸收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健康危害</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皮肤接触柴油可引起接触性皮炎、油性痤疮，吸入可引起吸入性肺炎。能经胎盘进入胎儿血中。柴油废气可引起眼、鼻刺激症状，头痛。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第二部分急救措施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皮肤接触</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脱去污染的衣着，用肥皂和大量清水清洗污染皮肤。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眼睛接触</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立即翻开上下眼睑，用流动清水冲洗，至少15min。就医。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吸入</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脱离现场。脱去污染的衣着，至空气新鲜处，就医。防治吸入性肺炎。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误服</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误服者饮牛奶或植物油，洗胃并灌肠，就医。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第三部分消防措施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危险特性</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遇明火、高热或与氧化剂接触，有引起燃烧爆炸的危险。若遇高热，容器内压增大，有开裂和爆炸的危险。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有害燃烧产物</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灭火方法灭火剂</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泡沫、二氧化碳、干粉、砂土。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第四部分</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应急处理</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切断火源。应急处理人员戴好防毒面具，穿化学防护服。在确保安全情况下堵漏。用活性炭或其他惰性材料吸收，然后收集运到空旷处焚烧。如大量</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，利用围堤收容，然后收集、转移、回收或无害处理后废弃。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第五部分操作处置与储存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储存注意事项</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储存于阴凉、通风仓间内。远离火种、热源。保持容器密封。应与氧化剂分开存放。桶装堆垛不可过大，应留墙距、顶距、柱距及必要的防火检查走道。罐储时要有防火防爆技术措施。禁止使用易产生火花的机械设备和工具。充装要控制流速，注意防止静电积聚。搬运时轻装轻卸，防止包装及容器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第六部分接触控制/个体防护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工程控制</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密闭操作，注意通风。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眼睛防护</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必要时戴安全防护眼镜。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呼吸系统防护</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一般不需特殊防护，但建议特殊情况下，佩戴供气式呼吸器。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身体防护</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穿工作服。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手防护</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必要时戴防护手套。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其他防护</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工作现场严禁吸烟。避免长期反复接触。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第七部分理化特性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外观及性状</w:t>
            </w:r>
          </w:p>
        </w:tc>
        <w:tc>
          <w:tcPr>
            <w:tcW w:w="19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粘性棕色液体。</w:t>
            </w:r>
          </w:p>
        </w:tc>
        <w:tc>
          <w:tcPr>
            <w:tcW w:w="188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闪点（℃）</w:t>
            </w:r>
          </w:p>
        </w:tc>
        <w:tc>
          <w:tcPr>
            <w:tcW w:w="257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相对密度</w:t>
            </w:r>
          </w:p>
        </w:tc>
        <w:tc>
          <w:tcPr>
            <w:tcW w:w="19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0.87～0.9（水=1）</w:t>
            </w:r>
          </w:p>
        </w:tc>
        <w:tc>
          <w:tcPr>
            <w:tcW w:w="188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爆炸下限（V%）</w:t>
            </w:r>
          </w:p>
        </w:tc>
        <w:tc>
          <w:tcPr>
            <w:tcW w:w="257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相对密度</w:t>
            </w:r>
          </w:p>
        </w:tc>
        <w:tc>
          <w:tcPr>
            <w:tcW w:w="19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3.5（空气=1）</w:t>
            </w:r>
          </w:p>
        </w:tc>
        <w:tc>
          <w:tcPr>
            <w:tcW w:w="188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爆炸上限（V%）</w:t>
            </w:r>
          </w:p>
        </w:tc>
        <w:tc>
          <w:tcPr>
            <w:tcW w:w="257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引燃温度（℃）</w:t>
            </w:r>
          </w:p>
        </w:tc>
        <w:tc>
          <w:tcPr>
            <w:tcW w:w="19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257</w:t>
            </w:r>
          </w:p>
        </w:tc>
        <w:tc>
          <w:tcPr>
            <w:tcW w:w="188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用途</w:t>
            </w:r>
          </w:p>
        </w:tc>
        <w:tc>
          <w:tcPr>
            <w:tcW w:w="257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用作柴油机的燃料。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溶解性</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不溶于水，易溶于苯、二硫化碳、醇，易溶于脂肪。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第八部分稳定性及化学活性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稳定性</w:t>
            </w:r>
          </w:p>
        </w:tc>
        <w:tc>
          <w:tcPr>
            <w:tcW w:w="19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稳定</w:t>
            </w:r>
          </w:p>
        </w:tc>
        <w:tc>
          <w:tcPr>
            <w:tcW w:w="188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避免接触的条件</w:t>
            </w:r>
          </w:p>
        </w:tc>
        <w:tc>
          <w:tcPr>
            <w:tcW w:w="257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明火、高热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禁配物</w:t>
            </w:r>
          </w:p>
        </w:tc>
        <w:tc>
          <w:tcPr>
            <w:tcW w:w="194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强氧化剂、卤素</w:t>
            </w:r>
          </w:p>
        </w:tc>
        <w:tc>
          <w:tcPr>
            <w:tcW w:w="188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聚合危害</w:t>
            </w:r>
          </w:p>
        </w:tc>
        <w:tc>
          <w:tcPr>
            <w:tcW w:w="257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不能出现。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分解产物</w:t>
            </w:r>
          </w:p>
        </w:tc>
        <w:tc>
          <w:tcPr>
            <w:tcW w:w="640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一氧化碳、二氧化碳。</w:t>
            </w:r>
          </w:p>
        </w:tc>
      </w:tr>
    </w:tbl>
    <w:p>
      <w:pPr>
        <w:widowControl/>
        <w:spacing w:before="120" w:beforeLines="50"/>
        <w:ind w:firstLine="482"/>
        <w:rPr>
          <w:rFonts w:hint="default" w:ascii="Times New Roman" w:hAnsi="Times New Roman" w:cs="Times New Roman"/>
          <w:b/>
          <w:color w:val="000000" w:themeColor="text1"/>
          <w:szCs w:val="24"/>
          <w:highlight w:val="none"/>
          <w14:textFill>
            <w14:solidFill>
              <w14:schemeClr w14:val="tx1"/>
            </w14:solidFill>
          </w14:textFill>
        </w:rPr>
      </w:pPr>
      <w:bookmarkStart w:id="327" w:name="_Hlk149209077"/>
    </w:p>
    <w:p>
      <w:pPr>
        <w:widowControl/>
        <w:spacing w:before="120" w:beforeLines="50"/>
        <w:ind w:firstLine="482"/>
        <w:rPr>
          <w:rFonts w:hint="default" w:ascii="Times New Roman" w:hAnsi="Times New Roman" w:cs="Times New Roman"/>
          <w:b/>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（8）白油危险性分析</w:t>
      </w:r>
    </w:p>
    <w:p>
      <w:pPr>
        <w:ind w:firstLine="480"/>
        <w:rPr>
          <w:rFonts w:hint="default" w:ascii="Times New Roman" w:hAnsi="Times New Roman" w:cs="Times New Roman"/>
          <w:color w:val="000000" w:themeColor="text1"/>
          <w:kern w:val="0"/>
          <w:szCs w:val="20"/>
          <w:highlight w:val="none"/>
          <w14:textFill>
            <w14:solidFill>
              <w14:schemeClr w14:val="tx1"/>
            </w14:solidFill>
          </w14:textFill>
        </w:rPr>
      </w:pPr>
      <w:r>
        <w:rPr>
          <w:rFonts w:hint="default" w:ascii="Times New Roman" w:hAnsi="Times New Roman" w:cs="Times New Roman"/>
          <w:color w:val="000000" w:themeColor="text1"/>
          <w:kern w:val="0"/>
          <w:szCs w:val="20"/>
          <w:highlight w:val="none"/>
          <w14:textFill>
            <w14:solidFill>
              <w14:schemeClr w14:val="tx1"/>
            </w14:solidFill>
          </w14:textFill>
        </w:rPr>
        <w:t>白油为石油分馏的高沸馏分，不在现场储存，仅在紧急情况下临时调用，其物理化学特性见</w:t>
      </w:r>
      <w:r>
        <w:rPr>
          <w:rFonts w:hint="default" w:ascii="Times New Roman" w:hAnsi="Times New Roman" w:cs="Times New Roman"/>
          <w:color w:val="000000" w:themeColor="text1"/>
          <w:kern w:val="0"/>
          <w:szCs w:val="20"/>
          <w:highlight w:val="none"/>
          <w14:textFill>
            <w14:solidFill>
              <w14:schemeClr w14:val="tx1"/>
            </w14:solidFill>
          </w14:textFill>
        </w:rPr>
        <w:fldChar w:fldCharType="begin"/>
      </w:r>
      <w:r>
        <w:rPr>
          <w:rFonts w:hint="default" w:ascii="Times New Roman" w:hAnsi="Times New Roman" w:cs="Times New Roman"/>
          <w:color w:val="000000" w:themeColor="text1"/>
          <w:kern w:val="0"/>
          <w:szCs w:val="20"/>
          <w:highlight w:val="none"/>
          <w14:textFill>
            <w14:solidFill>
              <w14:schemeClr w14:val="tx1"/>
            </w14:solidFill>
          </w14:textFill>
        </w:rPr>
        <w:instrText xml:space="preserve"> REF _Ref28020 \h  \* MERGEFORMAT </w:instrText>
      </w:r>
      <w:r>
        <w:rPr>
          <w:rFonts w:hint="default" w:ascii="Times New Roman" w:hAnsi="Times New Roman" w:cs="Times New Roman"/>
          <w:color w:val="000000" w:themeColor="text1"/>
          <w:kern w:val="0"/>
          <w:szCs w:val="20"/>
          <w:highlight w:val="none"/>
          <w14:textFill>
            <w14:solidFill>
              <w14:schemeClr w14:val="tx1"/>
            </w14:solidFill>
          </w14:textFill>
        </w:rPr>
        <w:fldChar w:fldCharType="separate"/>
      </w:r>
      <w:r>
        <w:rPr>
          <w:rFonts w:hint="default" w:ascii="Times New Roman" w:hAnsi="Times New Roman" w:cs="Times New Roman"/>
          <w:color w:val="000000" w:themeColor="text1"/>
          <w:kern w:val="0"/>
          <w:szCs w:val="20"/>
          <w:highlight w:val="none"/>
          <w14:textFill>
            <w14:solidFill>
              <w14:schemeClr w14:val="tx1"/>
            </w14:solidFill>
          </w14:textFill>
        </w:rPr>
        <w:t>表 6.1-</w:t>
      </w:r>
      <w:r>
        <w:rPr>
          <w:rFonts w:hint="default" w:ascii="Times New Roman" w:hAnsi="Times New Roman" w:cs="Times New Roman"/>
          <w:color w:val="000000" w:themeColor="text1"/>
          <w:kern w:val="0"/>
          <w:szCs w:val="20"/>
          <w:highlight w:val="none"/>
          <w14:textFill>
            <w14:solidFill>
              <w14:schemeClr w14:val="tx1"/>
            </w14:solidFill>
          </w14:textFill>
        </w:rPr>
        <w:fldChar w:fldCharType="end"/>
      </w:r>
      <w:r>
        <w:rPr>
          <w:rFonts w:hint="eastAsia" w:ascii="Times New Roman" w:hAnsi="Times New Roman" w:cs="Times New Roman"/>
          <w:color w:val="000000" w:themeColor="text1"/>
          <w:kern w:val="0"/>
          <w:szCs w:val="20"/>
          <w:highlight w:val="none"/>
          <w:lang w:val="en-US" w:eastAsia="zh-CN"/>
          <w14:textFill>
            <w14:solidFill>
              <w14:schemeClr w14:val="tx1"/>
            </w14:solidFill>
          </w14:textFill>
        </w:rPr>
        <w:t>6</w:t>
      </w:r>
      <w:r>
        <w:rPr>
          <w:rFonts w:hint="default" w:ascii="Times New Roman" w:hAnsi="Times New Roman" w:cs="Times New Roman"/>
          <w:color w:val="000000" w:themeColor="text1"/>
          <w:kern w:val="0"/>
          <w:szCs w:val="20"/>
          <w:highlight w:val="none"/>
          <w14:textFill>
            <w14:solidFill>
              <w14:schemeClr w14:val="tx1"/>
            </w14:solidFill>
          </w14:textFill>
        </w:rPr>
        <w:t>。</w:t>
      </w:r>
    </w:p>
    <w:p>
      <w:pPr>
        <w:keepNext/>
        <w:snapToGrid/>
        <w:spacing w:before="120" w:beforeLines="50" w:line="240" w:lineRule="auto"/>
        <w:ind w:firstLine="0" w:firstLineChars="0"/>
        <w:jc w:val="center"/>
        <w:rPr>
          <w:rFonts w:hint="default" w:ascii="Times New Roman" w:hAnsi="Times New Roman" w:eastAsia="黑体" w:cs="Times New Roman"/>
          <w:color w:val="000000" w:themeColor="text1"/>
          <w:sz w:val="21"/>
          <w:szCs w:val="21"/>
          <w:highlight w:val="none"/>
          <w14:textFill>
            <w14:solidFill>
              <w14:schemeClr w14:val="tx1"/>
            </w14:solidFill>
          </w14:textFill>
        </w:rPr>
      </w:pPr>
      <w:bookmarkStart w:id="328" w:name="_Ref28020"/>
      <w:r>
        <w:rPr>
          <w:rFonts w:hint="default" w:ascii="Times New Roman" w:hAnsi="Times New Roman" w:eastAsia="黑体" w:cs="Times New Roman"/>
          <w:color w:val="000000" w:themeColor="text1"/>
          <w:sz w:val="21"/>
          <w:szCs w:val="21"/>
          <w:highlight w:val="none"/>
          <w14:textFill>
            <w14:solidFill>
              <w14:schemeClr w14:val="tx1"/>
            </w14:solidFill>
          </w14:textFill>
        </w:rPr>
        <w:t>表 6.1-</w:t>
      </w:r>
      <w:bookmarkEnd w:id="328"/>
      <w:r>
        <w:rPr>
          <w:rFonts w:hint="default" w:ascii="Times New Roman" w:hAnsi="Times New Roman" w:eastAsia="黑体" w:cs="Times New Roman"/>
          <w:color w:val="000000" w:themeColor="text1"/>
          <w:sz w:val="21"/>
          <w:szCs w:val="21"/>
          <w:highlight w:val="none"/>
          <w14:textFill>
            <w14:solidFill>
              <w14:schemeClr w14:val="tx1"/>
            </w14:solidFill>
          </w14:textFill>
        </w:rPr>
        <w:t>6  白油特性表</w:t>
      </w:r>
    </w:p>
    <w:tbl>
      <w:tblPr>
        <w:tblStyle w:val="90"/>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0"/>
        <w:gridCol w:w="913"/>
        <w:gridCol w:w="422"/>
        <w:gridCol w:w="1729"/>
        <w:gridCol w:w="651"/>
        <w:gridCol w:w="842"/>
        <w:gridCol w:w="138"/>
        <w:gridCol w:w="95"/>
        <w:gridCol w:w="2004"/>
        <w:gridCol w:w="423"/>
        <w:gridCol w:w="5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标识</w:t>
            </w: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中文名</w:t>
            </w:r>
          </w:p>
        </w:tc>
        <w:tc>
          <w:tcPr>
            <w:tcW w:w="3360" w:type="dxa"/>
            <w:gridSpan w:val="4"/>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白油</w:t>
            </w:r>
          </w:p>
        </w:tc>
        <w:tc>
          <w:tcPr>
            <w:tcW w:w="2099"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危货及UN编号</w:t>
            </w:r>
          </w:p>
        </w:tc>
        <w:tc>
          <w:tcPr>
            <w:tcW w:w="928"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主要成分</w:t>
            </w:r>
          </w:p>
        </w:tc>
        <w:tc>
          <w:tcPr>
            <w:tcW w:w="3360" w:type="dxa"/>
            <w:gridSpan w:val="4"/>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r>
              <w:rPr>
                <w:rFonts w:hint="default" w:ascii="Times New Roman" w:hAnsi="Times New Roman" w:cs="Times New Roman"/>
                <w:iCs/>
                <w:color w:val="000000" w:themeColor="text1"/>
                <w:sz w:val="21"/>
                <w:szCs w:val="24"/>
                <w:highlight w:val="none"/>
                <w:lang w:eastAsia="zh-CN"/>
                <w14:textFill>
                  <w14:solidFill>
                    <w14:schemeClr w14:val="tx1"/>
                  </w14:solidFill>
                </w14:textFill>
              </w:rPr>
              <w:t>C16～C31的正异构烷烃的混合物</w:t>
            </w:r>
          </w:p>
        </w:tc>
        <w:tc>
          <w:tcPr>
            <w:tcW w:w="2099"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分子量</w:t>
            </w:r>
          </w:p>
        </w:tc>
        <w:tc>
          <w:tcPr>
            <w:tcW w:w="928"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250～450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理化特性</w:t>
            </w: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相对密度（水=1）</w:t>
            </w:r>
          </w:p>
        </w:tc>
        <w:tc>
          <w:tcPr>
            <w:tcW w:w="3360" w:type="dxa"/>
            <w:gridSpan w:val="4"/>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0.831～0.883</w:t>
            </w:r>
          </w:p>
        </w:tc>
        <w:tc>
          <w:tcPr>
            <w:tcW w:w="2099"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相对密度（空气=1）</w:t>
            </w:r>
          </w:p>
        </w:tc>
        <w:tc>
          <w:tcPr>
            <w:tcW w:w="928"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外观与性状</w:t>
            </w:r>
          </w:p>
        </w:tc>
        <w:tc>
          <w:tcPr>
            <w:tcW w:w="6387" w:type="dxa"/>
            <w:gridSpan w:val="8"/>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r>
              <w:rPr>
                <w:rFonts w:hint="default" w:ascii="Times New Roman" w:hAnsi="Times New Roman" w:cs="Times New Roman"/>
                <w:iCs/>
                <w:color w:val="000000" w:themeColor="text1"/>
                <w:sz w:val="21"/>
                <w:szCs w:val="24"/>
                <w:highlight w:val="none"/>
                <w:lang w:eastAsia="zh-CN"/>
                <w14:textFill>
                  <w14:solidFill>
                    <w14:schemeClr w14:val="tx1"/>
                  </w14:solidFill>
                </w14:textFill>
              </w:rPr>
              <w:t>无色透明油状液体，无臭味，具有润滑性。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溶解性</w:t>
            </w:r>
          </w:p>
        </w:tc>
        <w:tc>
          <w:tcPr>
            <w:tcW w:w="6387" w:type="dxa"/>
            <w:gridSpan w:val="8"/>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不溶于水和乙醇。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沸点，℃</w:t>
            </w:r>
          </w:p>
        </w:tc>
        <w:tc>
          <w:tcPr>
            <w:tcW w:w="1729"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c>
          <w:tcPr>
            <w:tcW w:w="1726" w:type="dxa"/>
            <w:gridSpan w:val="4"/>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熔点，℃</w:t>
            </w:r>
          </w:p>
        </w:tc>
        <w:tc>
          <w:tcPr>
            <w:tcW w:w="2932" w:type="dxa"/>
            <w:gridSpan w:val="3"/>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燃爆特性</w:t>
            </w: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闪点，℃</w:t>
            </w:r>
          </w:p>
        </w:tc>
        <w:tc>
          <w:tcPr>
            <w:tcW w:w="1729"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≥130℃</w:t>
            </w:r>
          </w:p>
        </w:tc>
        <w:tc>
          <w:tcPr>
            <w:tcW w:w="3730" w:type="dxa"/>
            <w:gridSpan w:val="5"/>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爆炸极限，%(V/V)</w:t>
            </w:r>
          </w:p>
        </w:tc>
        <w:tc>
          <w:tcPr>
            <w:tcW w:w="928"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引燃温度，℃</w:t>
            </w:r>
          </w:p>
        </w:tc>
        <w:tc>
          <w:tcPr>
            <w:tcW w:w="1729"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c>
          <w:tcPr>
            <w:tcW w:w="3730" w:type="dxa"/>
            <w:gridSpan w:val="5"/>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临界压力，MPa</w:t>
            </w:r>
          </w:p>
        </w:tc>
        <w:tc>
          <w:tcPr>
            <w:tcW w:w="928"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火灾危险类别</w:t>
            </w:r>
          </w:p>
        </w:tc>
        <w:tc>
          <w:tcPr>
            <w:tcW w:w="1729"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c>
          <w:tcPr>
            <w:tcW w:w="3730" w:type="dxa"/>
            <w:gridSpan w:val="5"/>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爆炸危险组别/类别</w:t>
            </w:r>
          </w:p>
        </w:tc>
        <w:tc>
          <w:tcPr>
            <w:tcW w:w="928"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危险特性</w:t>
            </w:r>
          </w:p>
        </w:tc>
        <w:tc>
          <w:tcPr>
            <w:tcW w:w="6387" w:type="dxa"/>
            <w:gridSpan w:val="8"/>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r>
              <w:rPr>
                <w:rFonts w:hint="default" w:ascii="Times New Roman" w:hAnsi="Times New Roman" w:cs="Times New Roman"/>
                <w:iCs/>
                <w:color w:val="000000" w:themeColor="text1"/>
                <w:sz w:val="21"/>
                <w:szCs w:val="24"/>
                <w:highlight w:val="none"/>
                <w:lang w:eastAsia="zh-CN"/>
                <w14:textFill>
                  <w14:solidFill>
                    <w14:schemeClr w14:val="tx1"/>
                  </w14:solidFill>
                </w14:textFill>
              </w:rPr>
              <w:t>温度过高热、明火或与氧化剂接触，均有引燃危险。容器内压增大有 开裂或爆炸危险。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灭火方法</w:t>
            </w:r>
          </w:p>
        </w:tc>
        <w:tc>
          <w:tcPr>
            <w:tcW w:w="6387" w:type="dxa"/>
            <w:gridSpan w:val="8"/>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r>
              <w:rPr>
                <w:rFonts w:hint="default" w:ascii="Times New Roman" w:hAnsi="Times New Roman" w:cs="Times New Roman"/>
                <w:iCs/>
                <w:color w:val="000000" w:themeColor="text1"/>
                <w:sz w:val="21"/>
                <w:szCs w:val="24"/>
                <w:highlight w:val="none"/>
                <w:lang w:eastAsia="zh-CN"/>
                <w14:textFill>
                  <w14:solidFill>
                    <w14:schemeClr w14:val="tx1"/>
                  </w14:solidFill>
                </w14:textFill>
              </w:rPr>
              <w:t>灭火剂：二氧化碳﹑干化学粉末、泡沫、砂、泥土或水雾（不可用水 喷射）。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毒性及健康危害</w:t>
            </w:r>
          </w:p>
        </w:tc>
        <w:tc>
          <w:tcPr>
            <w:tcW w:w="913"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急性毒性</w:t>
            </w:r>
          </w:p>
        </w:tc>
        <w:tc>
          <w:tcPr>
            <w:tcW w:w="2802" w:type="dxa"/>
            <w:gridSpan w:val="3"/>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LD50(mg/kg</w:t>
            </w:r>
            <w:r>
              <w:rPr>
                <w:rFonts w:hint="default" w:ascii="Times New Roman" w:hAnsi="Times New Roman" w:cs="Times New Roman"/>
                <w:iCs/>
                <w:color w:val="000000" w:themeColor="text1"/>
                <w:sz w:val="21"/>
                <w:szCs w:val="24"/>
                <w:highlight w:val="none"/>
                <w:lang w:eastAsia="zh-CN"/>
                <w14:textFill>
                  <w14:solidFill>
                    <w14:schemeClr w14:val="tx1"/>
                  </w14:solidFill>
                </w14:textFill>
              </w:rPr>
              <w:t>，</w:t>
            </w:r>
            <w:r>
              <w:rPr>
                <w:rFonts w:hint="default" w:ascii="Times New Roman" w:hAnsi="Times New Roman" w:cs="Times New Roman"/>
                <w:iCs/>
                <w:color w:val="000000" w:themeColor="text1"/>
                <w:sz w:val="21"/>
                <w:szCs w:val="24"/>
                <w:highlight w:val="none"/>
                <w:lang w:eastAsia="en-US"/>
                <w14:textFill>
                  <w14:solidFill>
                    <w14:schemeClr w14:val="tx1"/>
                  </w14:solidFill>
                </w14:textFill>
              </w:rPr>
              <w:t>大鼠经口</w:t>
            </w:r>
            <w:r>
              <w:rPr>
                <w:rFonts w:hint="eastAsia" w:cs="Times New Roman"/>
                <w:iCs/>
                <w:color w:val="000000" w:themeColor="text1"/>
                <w:sz w:val="21"/>
                <w:szCs w:val="24"/>
                <w:highlight w:val="none"/>
                <w:lang w:eastAsia="zh-CN"/>
                <w14:textFill>
                  <w14:solidFill>
                    <w14:schemeClr w14:val="tx1"/>
                  </w14:solidFill>
                </w14:textFill>
              </w:rPr>
              <w:t>）</w:t>
            </w:r>
          </w:p>
        </w:tc>
        <w:tc>
          <w:tcPr>
            <w:tcW w:w="842"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w:t>
            </w:r>
          </w:p>
        </w:tc>
        <w:tc>
          <w:tcPr>
            <w:tcW w:w="2660" w:type="dxa"/>
            <w:gridSpan w:val="4"/>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LC50（mg/m</w:t>
            </w:r>
            <w:r>
              <w:rPr>
                <w:rFonts w:hint="default" w:ascii="Times New Roman" w:hAnsi="Times New Roman" w:cs="Times New Roman"/>
                <w:iCs/>
                <w:color w:val="000000" w:themeColor="text1"/>
                <w:sz w:val="21"/>
                <w:szCs w:val="24"/>
                <w:highlight w:val="none"/>
                <w:vertAlign w:val="superscript"/>
                <w:lang w:eastAsia="en-US"/>
                <w14:textFill>
                  <w14:solidFill>
                    <w14:schemeClr w14:val="tx1"/>
                  </w14:solidFill>
                </w14:textFill>
              </w:rPr>
              <w:t>3</w:t>
            </w:r>
            <w:r>
              <w:rPr>
                <w:rFonts w:hint="default" w:ascii="Times New Roman" w:hAnsi="Times New Roman" w:cs="Times New Roman"/>
                <w:iCs/>
                <w:color w:val="000000" w:themeColor="text1"/>
                <w:sz w:val="21"/>
                <w:szCs w:val="24"/>
                <w:highlight w:val="none"/>
                <w:lang w:eastAsia="en-US"/>
                <w14:textFill>
                  <w14:solidFill>
                    <w14:schemeClr w14:val="tx1"/>
                  </w14:solidFill>
                </w14:textFill>
              </w:rPr>
              <w:t>，大鼠吸入）</w:t>
            </w:r>
          </w:p>
        </w:tc>
        <w:tc>
          <w:tcPr>
            <w:tcW w:w="505"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p>
        </w:tc>
        <w:tc>
          <w:tcPr>
            <w:tcW w:w="913"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健康危害</w:t>
            </w:r>
          </w:p>
        </w:tc>
        <w:tc>
          <w:tcPr>
            <w:tcW w:w="6809" w:type="dxa"/>
            <w:gridSpan w:val="9"/>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r>
              <w:rPr>
                <w:rFonts w:hint="default" w:ascii="Times New Roman" w:hAnsi="Times New Roman" w:cs="Times New Roman"/>
                <w:iCs/>
                <w:color w:val="000000" w:themeColor="text1"/>
                <w:sz w:val="21"/>
                <w:szCs w:val="24"/>
                <w:highlight w:val="none"/>
                <w:lang w:eastAsia="zh-CN"/>
                <w14:textFill>
                  <w14:solidFill>
                    <w14:schemeClr w14:val="tx1"/>
                  </w14:solidFill>
                </w14:textFill>
              </w:rPr>
              <w:t>吸入：吸入大量挥发气体会感觉眩晕。</w:t>
            </w:r>
            <w:r>
              <w:rPr>
                <w:rFonts w:hint="default" w:ascii="Times New Roman" w:hAnsi="Times New Roman" w:cs="Times New Roman"/>
                <w:iCs/>
                <w:color w:val="000000" w:themeColor="text1"/>
                <w:sz w:val="21"/>
                <w:szCs w:val="24"/>
                <w:highlight w:val="none"/>
                <w:lang w:eastAsia="zh-CN"/>
                <w14:textFill>
                  <w14:solidFill>
                    <w14:schemeClr w14:val="tx1"/>
                  </w14:solidFill>
                </w14:textFill>
              </w:rPr>
              <w:tab/>
            </w:r>
            <w:r>
              <w:rPr>
                <w:rFonts w:hint="default" w:ascii="Times New Roman" w:hAnsi="Times New Roman" w:cs="Times New Roman"/>
                <w:iCs/>
                <w:color w:val="000000" w:themeColor="text1"/>
                <w:sz w:val="21"/>
                <w:szCs w:val="24"/>
                <w:highlight w:val="none"/>
                <w:lang w:eastAsia="zh-CN"/>
                <w14:textFill>
                  <w14:solidFill>
                    <w14:schemeClr w14:val="tx1"/>
                  </w14:solidFill>
                </w14:textFill>
              </w:rPr>
              <w:t>眼接触：有刺激感，损伤视力。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p>
        </w:tc>
        <w:tc>
          <w:tcPr>
            <w:tcW w:w="913"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操作注意事项</w:t>
            </w:r>
          </w:p>
        </w:tc>
        <w:tc>
          <w:tcPr>
            <w:tcW w:w="6809" w:type="dxa"/>
            <w:gridSpan w:val="9"/>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r>
              <w:rPr>
                <w:rFonts w:hint="default" w:ascii="Times New Roman" w:hAnsi="Times New Roman" w:cs="Times New Roman"/>
                <w:iCs/>
                <w:color w:val="000000" w:themeColor="text1"/>
                <w:sz w:val="21"/>
                <w:szCs w:val="24"/>
                <w:highlight w:val="none"/>
                <w:lang w:eastAsia="zh-CN"/>
                <w14:textFill>
                  <w14:solidFill>
                    <w14:schemeClr w14:val="tx1"/>
                  </w14:solidFill>
                </w14:textFill>
              </w:rPr>
              <w:t>密闭操作，全面通风。操作人员必须经过专门培训，严格遵守操作规程。远离火种、热源，工作场所严禁吸烟。使用防爆型的通风系统和设备。防止气体泄漏到工作场所空气中。避免与氧化剂接触。在传送过程中，容器必须接地和跨接，防止产生静电。搬运时轻装轻卸，防止容器及附件破损。配备相应品种和数量的消防器材及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p>
        </w:tc>
        <w:tc>
          <w:tcPr>
            <w:tcW w:w="913"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急救措施</w:t>
            </w:r>
          </w:p>
        </w:tc>
        <w:tc>
          <w:tcPr>
            <w:tcW w:w="6809" w:type="dxa"/>
            <w:gridSpan w:val="9"/>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zh-CN"/>
                <w14:textFill>
                  <w14:solidFill>
                    <w14:schemeClr w14:val="tx1"/>
                  </w14:solidFill>
                </w14:textFill>
              </w:rPr>
            </w:pPr>
            <w:r>
              <w:rPr>
                <w:rFonts w:hint="default" w:ascii="Times New Roman" w:hAnsi="Times New Roman" w:cs="Times New Roman"/>
                <w:iCs/>
                <w:color w:val="000000" w:themeColor="text1"/>
                <w:sz w:val="21"/>
                <w:szCs w:val="24"/>
                <w:highlight w:val="none"/>
                <w:lang w:eastAsia="zh-CN"/>
                <w14:textFill>
                  <w14:solidFill>
                    <w14:schemeClr w14:val="tx1"/>
                  </w14:solidFill>
                </w14:textFill>
              </w:rPr>
              <w:t>皮肤接触：建议使用脂枪加脂，如意外注射使皮肤受伤，应送医治疗。眼接触：张开眼皮，以洁净清水冲洗，如刺激持续，建议看医生。食入：用清水洗胃稀释，毋须诱发呕吐，如大量入肚确感不适，需立即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泄漏应急处理</w:t>
            </w:r>
          </w:p>
        </w:tc>
        <w:tc>
          <w:tcPr>
            <w:tcW w:w="7722" w:type="dxa"/>
            <w:gridSpan w:val="10"/>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zh-CN"/>
                <w14:textFill>
                  <w14:solidFill>
                    <w14:schemeClr w14:val="tx1"/>
                  </w14:solidFill>
                </w14:textFill>
              </w:rPr>
              <w:t>迅速撤离泄漏污染区人员至上风处，并进行隔离，严格限制出入。切断火源，防止火花产生，除处理备油人员外，迅速撤离现场，避免吸入油雾；小量泄漏：用砂泥土或木屑，吸收溢出的油，然后移至安全地点。根据有关法例处理，后以大量水冲洗被沾污的地方；大量泄漏：以砂或泥土截溢油蔓延，防止溢油流入下水道。如有可能，将溢油以槽罐截起，随后处理，或按“小量泄漏”方法处理。</w:t>
            </w:r>
            <w:r>
              <w:rPr>
                <w:rFonts w:hint="default" w:ascii="Times New Roman" w:hAnsi="Times New Roman" w:cs="Times New Roman"/>
                <w:iCs/>
                <w:color w:val="000000" w:themeColor="text1"/>
                <w:sz w:val="21"/>
                <w:szCs w:val="24"/>
                <w:highlight w:val="none"/>
                <w:lang w:eastAsia="en-US"/>
                <w14:textFill>
                  <w14:solidFill>
                    <w14:schemeClr w14:val="tx1"/>
                  </w14:solidFill>
                </w14:textFill>
              </w:rPr>
              <w:t>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储运</w:t>
            </w:r>
          </w:p>
        </w:tc>
        <w:tc>
          <w:tcPr>
            <w:tcW w:w="7722" w:type="dxa"/>
            <w:gridSpan w:val="10"/>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zh-CN"/>
                <w14:textFill>
                  <w14:solidFill>
                    <w14:schemeClr w14:val="tx1"/>
                  </w14:solidFill>
                </w14:textFill>
              </w:rPr>
              <w:t>储存于阴凉、通风的库房。远离火种、热源。库温不宜超过30℃。</w:t>
            </w:r>
            <w:r>
              <w:rPr>
                <w:rFonts w:hint="default" w:ascii="Times New Roman" w:hAnsi="Times New Roman" w:cs="Times New Roman"/>
                <w:iCs/>
                <w:color w:val="000000" w:themeColor="text1"/>
                <w:sz w:val="21"/>
                <w:szCs w:val="24"/>
                <w:highlight w:val="none"/>
                <w:lang w:eastAsia="en-US"/>
                <w14:textFill>
                  <w14:solidFill>
                    <w14:schemeClr w14:val="tx1"/>
                  </w14:solidFill>
                </w14:textFill>
              </w:rPr>
              <w:t>应与氧化剂等分开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en-US"/>
                <w14:textFill>
                  <w14:solidFill>
                    <w14:schemeClr w14:val="tx1"/>
                  </w14:solidFill>
                </w14:textFill>
              </w:rPr>
              <w:t>注意事项</w:t>
            </w:r>
          </w:p>
        </w:tc>
        <w:tc>
          <w:tcPr>
            <w:tcW w:w="7722" w:type="dxa"/>
            <w:gridSpan w:val="10"/>
            <w:vAlign w:val="center"/>
          </w:tcPr>
          <w:p>
            <w:pPr>
              <w:widowControl/>
              <w:spacing w:line="240" w:lineRule="auto"/>
              <w:ind w:firstLine="0" w:firstLineChars="0"/>
              <w:jc w:val="center"/>
              <w:textAlignment w:val="center"/>
              <w:rPr>
                <w:rFonts w:hint="default" w:ascii="Times New Roman" w:hAnsi="Times New Roman" w:cs="Times New Roman"/>
                <w:iCs/>
                <w:color w:val="000000" w:themeColor="text1"/>
                <w:sz w:val="21"/>
                <w:szCs w:val="24"/>
                <w:highlight w:val="none"/>
                <w:lang w:eastAsia="en-US"/>
                <w14:textFill>
                  <w14:solidFill>
                    <w14:schemeClr w14:val="tx1"/>
                  </w14:solidFill>
                </w14:textFill>
              </w:rPr>
            </w:pPr>
            <w:r>
              <w:rPr>
                <w:rFonts w:hint="default" w:ascii="Times New Roman" w:hAnsi="Times New Roman" w:cs="Times New Roman"/>
                <w:iCs/>
                <w:color w:val="000000" w:themeColor="text1"/>
                <w:sz w:val="21"/>
                <w:szCs w:val="24"/>
                <w:highlight w:val="none"/>
                <w:lang w:eastAsia="zh-CN"/>
                <w14:textFill>
                  <w14:solidFill>
                    <w14:schemeClr w14:val="tx1"/>
                  </w14:solidFill>
                </w14:textFill>
              </w:rPr>
              <w:t>存放，切忌混储。采用防爆型照明、通风设施。禁止使用易产生火花的机械设备和工具。储区应备有泄漏应急处理设备。储存容器必须加盖密封，减少挥发量；避免日光照射，置于低处放置；使用：轻拿轻放，使用者戴手套。特殊注意事项：避免过多接触，工作完毕后沐浴更衣。运输时运输车辆应配备相应品种和数量的消防器材。装运该物品的车辆排气管必须配备阻火装置，禁止使用易产生火花的机械设备和工具装卸。严禁与氧化剂等混装混运。夏季应早晚运输，防止日光暴晒。</w:t>
            </w:r>
            <w:r>
              <w:rPr>
                <w:rFonts w:hint="default" w:ascii="Times New Roman" w:hAnsi="Times New Roman" w:cs="Times New Roman"/>
                <w:iCs/>
                <w:color w:val="000000" w:themeColor="text1"/>
                <w:sz w:val="21"/>
                <w:szCs w:val="24"/>
                <w:highlight w:val="none"/>
                <w:lang w:eastAsia="en-US"/>
                <w14:textFill>
                  <w14:solidFill>
                    <w14:schemeClr w14:val="tx1"/>
                  </w14:solidFill>
                </w14:textFill>
              </w:rPr>
              <w:t>中途停留时应远离火种、热源。</w:t>
            </w:r>
          </w:p>
        </w:tc>
      </w:tr>
    </w:tbl>
    <w:p>
      <w:pPr>
        <w:spacing w:before="120" w:beforeLines="50"/>
        <w:ind w:firstLine="482"/>
        <w:rPr>
          <w:rFonts w:hint="default" w:ascii="Times New Roman" w:hAnsi="Times New Roman" w:cs="Times New Roman"/>
          <w:b/>
          <w:bCs/>
          <w:color w:val="000000" w:themeColor="text1"/>
          <w:szCs w:val="24"/>
          <w:highlight w:val="none"/>
          <w14:textFill>
            <w14:solidFill>
              <w14:schemeClr w14:val="tx1"/>
            </w14:solidFill>
          </w14:textFill>
        </w:rPr>
      </w:pPr>
    </w:p>
    <w:p>
      <w:pPr>
        <w:spacing w:before="120" w:beforeLines="50"/>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（9）压裂前置酸（主要成分为7%的稀盐酸）</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盐酸，化学式为HCl，是氯化氢水溶液，相对密度1.187。熔点：114.8℃。沸点：84.9℃。易溶于水，有强烈的腐蚀性，能腐蚀金属，对动植物纤维和人体肌肤均有腐蚀作用。浓盐酸在空气中发烟，触及氨蒸气会生成白色云雾。氯化氢气体对动植物有害。盐酸是极强的无机酸，高浓度对人体有极度伤害，具有刺激性气味，能和很多金属发生反映。</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健康危害：接触其蒸气或烟雾，可引起急性中毒：出现眼结膜炎，鼻及口腔</w:t>
      </w:r>
      <w:r>
        <w:rPr>
          <w:rFonts w:hint="default" w:ascii="Times New Roman" w:hAnsi="Times New Roman" w:cs="Times New Roman"/>
          <w:color w:val="000000" w:themeColor="text1"/>
          <w:szCs w:val="24"/>
          <w:highlight w:val="none"/>
          <w:lang w:eastAsia="zh-CN"/>
          <w14:textFill>
            <w14:solidFill>
              <w14:schemeClr w14:val="tx1"/>
            </w14:solidFill>
          </w14:textFill>
        </w:rPr>
        <w:t>黏膜</w:t>
      </w:r>
      <w:r>
        <w:rPr>
          <w:rFonts w:hint="default" w:ascii="Times New Roman" w:hAnsi="Times New Roman" w:cs="Times New Roman"/>
          <w:color w:val="000000" w:themeColor="text1"/>
          <w:szCs w:val="24"/>
          <w:highlight w:val="none"/>
          <w14:textFill>
            <w14:solidFill>
              <w14:schemeClr w14:val="tx1"/>
            </w14:solidFill>
          </w14:textFill>
        </w:rPr>
        <w:t>有烧灼感，鼻出血、齿龈出血，气管炎等。误服可引起消化道灼伤、溃疡形成，有可能引起胃穿孔、腹膜炎等。眼和皮肤接触可致灼伤。</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危险特性：易燃，具刺激性。遇明火、高热源或与氧化剂接触，有引起燃烧爆炸的危险。若遇高热，容器内压增大，有开裂和爆炸的危险。</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慢性影响：长期接触，引起慢性鼻炎、慢性支气管炎、牙齿酸蚀症及皮肤损害。</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环境危害：对环境有危害，对水体和土壤可造成污染。</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燃爆危险：该品不燃。具强腐蚀性、强刺激性，可致人体灼伤。</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盐酸属于危险化学品和易制毒化学品，根据《危险化学品管理条例》和《易制毒化学品管理条例》，本项目使用盐酸前应落实使用盐酸具体责任单位，并在当地公安机关备案。</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（10）油基泥浆及油基岩屑</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本项目四开和五开段可能采用油基钻井液钻井，油基钻井液是以油为分散介质组成的泥浆，油基泥浆的成分主要为白油、1%～2%有机土、4%～5%主乳化剂、3%～4%辅乳化剂、2%～4%润湿剂、2%～5%生石灰、氯化钙溶液</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25%～30%</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4%～5%降滤失剂、3%～5%封堵剂、1%～2%流型调节剂、1%～3%除硫剂、加重剂（按密度需要）等。危险性主要表现在油性物质的可燃性。油基泥浆现场不储存，油基泥浆和油基岩屑主要危险成分白油为无色透明油状液体，两者的危险性均远低于油类物质，其中油基岩屑相比于油基泥浆其含油率更低。通过加强管理，及时转运处置后其环境风险事故影响很小。</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（11）废油</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项目钻井使用设备过程中，或多或少会产生一些废油，主要是设备润滑、保养产生的废机油。废油主要分布于油桶里面，其特性和润滑油差不多。废油对眼睛、皮肤、</w:t>
      </w:r>
      <w:r>
        <w:rPr>
          <w:rFonts w:hint="default" w:ascii="Times New Roman" w:hAnsi="Times New Roman" w:cs="Times New Roman"/>
          <w:bCs/>
          <w:color w:val="000000" w:themeColor="text1"/>
          <w:szCs w:val="24"/>
          <w:highlight w:val="none"/>
          <w:lang w:eastAsia="zh-CN"/>
          <w14:textFill>
            <w14:solidFill>
              <w14:schemeClr w14:val="tx1"/>
            </w14:solidFill>
          </w14:textFill>
        </w:rPr>
        <w:t>黏膜</w:t>
      </w:r>
      <w:r>
        <w:rPr>
          <w:rFonts w:hint="default" w:ascii="Times New Roman" w:hAnsi="Times New Roman" w:cs="Times New Roman"/>
          <w:bCs/>
          <w:color w:val="000000" w:themeColor="text1"/>
          <w:szCs w:val="24"/>
          <w:highlight w:val="none"/>
          <w14:textFill>
            <w14:solidFill>
              <w14:schemeClr w14:val="tx1"/>
            </w14:solidFill>
          </w14:textFill>
        </w:rPr>
        <w:t>和上呼吸道具有刺激作用。吸入后，可引起喉、支气管的</w:t>
      </w:r>
      <w:r>
        <w:rPr>
          <w:rFonts w:hint="default" w:ascii="Times New Roman" w:hAnsi="Times New Roman" w:cs="Times New Roman"/>
          <w:bCs/>
          <w:color w:val="000000" w:themeColor="text1"/>
          <w:szCs w:val="24"/>
          <w:highlight w:val="none"/>
          <w:lang w:eastAsia="zh-CN"/>
          <w14:textFill>
            <w14:solidFill>
              <w14:schemeClr w14:val="tx1"/>
            </w14:solidFill>
          </w14:textFill>
        </w:rPr>
        <w:t>炎症</w:t>
      </w:r>
      <w:r>
        <w:rPr>
          <w:rFonts w:hint="default" w:ascii="Times New Roman" w:hAnsi="Times New Roman" w:cs="Times New Roman"/>
          <w:bCs/>
          <w:color w:val="000000" w:themeColor="text1"/>
          <w:szCs w:val="24"/>
          <w:highlight w:val="none"/>
          <w14:textFill>
            <w14:solidFill>
              <w14:schemeClr w14:val="tx1"/>
            </w14:solidFill>
          </w14:textFill>
        </w:rPr>
        <w:t>、水肿、痉挛、化学性肺炎或肺水肿。接触后可引起燃灼感、咳嗽、喘息、气短、头痛、恶心和呕吐等。皮肤接触可发生接触性皮炎及油疹，可致急性肾脏损害，吸入其雾滴或液体呛入可引起吸入性肺炎。结合工程项目的实际情况，主要危害为废油</w:t>
      </w:r>
      <w:r>
        <w:rPr>
          <w:rFonts w:hint="default" w:ascii="Times New Roman" w:hAnsi="Times New Roman" w:cs="Times New Roman"/>
          <w:bCs/>
          <w:color w:val="000000" w:themeColor="text1"/>
          <w:szCs w:val="24"/>
          <w:highlight w:val="none"/>
          <w:lang w:eastAsia="zh-CN"/>
          <w14:textFill>
            <w14:solidFill>
              <w14:schemeClr w14:val="tx1"/>
            </w14:solidFill>
          </w14:textFill>
        </w:rPr>
        <w:t>泄漏</w:t>
      </w:r>
      <w:r>
        <w:rPr>
          <w:rFonts w:hint="default" w:ascii="Times New Roman" w:hAnsi="Times New Roman" w:cs="Times New Roman"/>
          <w:bCs/>
          <w:color w:val="000000" w:themeColor="text1"/>
          <w:szCs w:val="24"/>
          <w:highlight w:val="none"/>
          <w14:textFill>
            <w14:solidFill>
              <w14:schemeClr w14:val="tx1"/>
            </w14:solidFill>
          </w14:textFill>
        </w:rPr>
        <w:t>后地表水、地下水和土壤的影响。</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（12）二氧化硫</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SO</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为无色气体，具有窒息性特臭。易被湿润的</w:t>
      </w:r>
      <w:r>
        <w:rPr>
          <w:rFonts w:hint="default" w:ascii="Times New Roman" w:hAnsi="Times New Roman" w:cs="Times New Roman"/>
          <w:bCs/>
          <w:color w:val="000000" w:themeColor="text1"/>
          <w:szCs w:val="24"/>
          <w:highlight w:val="none"/>
          <w:lang w:eastAsia="zh-CN"/>
          <w14:textFill>
            <w14:solidFill>
              <w14:schemeClr w14:val="tx1"/>
            </w14:solidFill>
          </w14:textFill>
        </w:rPr>
        <w:t>黏膜</w:t>
      </w:r>
      <w:r>
        <w:rPr>
          <w:rFonts w:hint="default" w:ascii="Times New Roman" w:hAnsi="Times New Roman" w:cs="Times New Roman"/>
          <w:bCs/>
          <w:color w:val="000000" w:themeColor="text1"/>
          <w:szCs w:val="24"/>
          <w:highlight w:val="none"/>
          <w14:textFill>
            <w14:solidFill>
              <w14:schemeClr w14:val="tx1"/>
            </w14:solidFill>
          </w14:textFill>
        </w:rPr>
        <w:t>表面吸收生成亚硫酸、硫酸。对眼及呼吸道</w:t>
      </w:r>
      <w:r>
        <w:rPr>
          <w:rFonts w:hint="default" w:ascii="Times New Roman" w:hAnsi="Times New Roman" w:cs="Times New Roman"/>
          <w:bCs/>
          <w:color w:val="000000" w:themeColor="text1"/>
          <w:szCs w:val="24"/>
          <w:highlight w:val="none"/>
          <w:lang w:eastAsia="zh-CN"/>
          <w14:textFill>
            <w14:solidFill>
              <w14:schemeClr w14:val="tx1"/>
            </w14:solidFill>
          </w14:textFill>
        </w:rPr>
        <w:t>黏膜</w:t>
      </w:r>
      <w:r>
        <w:rPr>
          <w:rFonts w:hint="default" w:ascii="Times New Roman" w:hAnsi="Times New Roman" w:cs="Times New Roman"/>
          <w:bCs/>
          <w:color w:val="000000" w:themeColor="text1"/>
          <w:szCs w:val="24"/>
          <w:highlight w:val="none"/>
          <w14:textFill>
            <w14:solidFill>
              <w14:schemeClr w14:val="tx1"/>
            </w14:solidFill>
          </w14:textFill>
        </w:rPr>
        <w:t>有强烈的刺激作用。大量吸入可引起肺水肿、喉水肿、声带痉挛而致窒息。</w:t>
      </w:r>
    </w:p>
    <w:p>
      <w:pPr>
        <w:keepNext/>
        <w:snapToGrid/>
        <w:spacing w:before="120" w:beforeLines="50" w:line="240" w:lineRule="auto"/>
        <w:ind w:firstLine="0" w:firstLineChars="0"/>
        <w:jc w:val="center"/>
        <w:rPr>
          <w:rFonts w:hint="default" w:ascii="Times New Roman" w:hAnsi="Times New Roman" w:eastAsia="黑体" w:cs="Times New Roman"/>
          <w:color w:val="000000" w:themeColor="text1"/>
          <w:sz w:val="21"/>
          <w:szCs w:val="21"/>
          <w:highlight w:val="none"/>
          <w14:textFill>
            <w14:solidFill>
              <w14:schemeClr w14:val="tx1"/>
            </w14:solidFill>
          </w14:textFill>
        </w:rPr>
      </w:pPr>
      <w:r>
        <w:rPr>
          <w:rFonts w:hint="default" w:ascii="Times New Roman" w:hAnsi="Times New Roman" w:eastAsia="黑体" w:cs="Times New Roman"/>
          <w:color w:val="000000" w:themeColor="text1"/>
          <w:sz w:val="21"/>
          <w:szCs w:val="21"/>
          <w:highlight w:val="none"/>
          <w14:textFill>
            <w14:solidFill>
              <w14:schemeClr w14:val="tx1"/>
            </w14:solidFill>
          </w14:textFill>
        </w:rPr>
        <w:t>表6.1-7  二氧化硫对人的生理影响及危害</w:t>
      </w:r>
    </w:p>
    <w:tbl>
      <w:tblPr>
        <w:tblStyle w:val="53"/>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7"/>
        <w:gridCol w:w="636"/>
        <w:gridCol w:w="899"/>
        <w:gridCol w:w="5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3"/>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在空气中的浓度</w:t>
            </w:r>
          </w:p>
        </w:tc>
        <w:tc>
          <w:tcPr>
            <w:tcW w:w="0" w:type="auto"/>
            <w:vMerge w:val="restart"/>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暴露于二氧化硫的典型特性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%（V）</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ppm</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mg/m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p>
        </w:tc>
        <w:tc>
          <w:tcPr>
            <w:tcW w:w="0" w:type="auto"/>
            <w:vMerge w:val="continue"/>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0.0001</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2.71</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具有刺激性气味，可能引起呼吸改变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0.0002</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5.4</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ACGIH TLV，NIOSH REL，我国规定的阈限值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0.0005</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5</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13.50</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灼伤眼睛，刺激呼吸，对嗓子有较小的刺激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0.0012</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12</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32.49</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刺激嗓子咳嗽，胸腔收缩，流眼泪和恶心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0.010</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271.00</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立即对生命和健康产生危险的浓度（IDLH），见DHHS No.85-114，NOISH 化学危险品手册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0.015</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150</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406.35</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产生强烈的刺激，只能忍受几分钟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0.05</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500</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1354.50</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即使吸入一口，就产生窒息感。应立即救治，提供人工呼吸或心肺复苏技术（CPR）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0.10</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1000</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2708.99</w:t>
            </w:r>
          </w:p>
        </w:tc>
        <w:tc>
          <w:tcPr>
            <w:tcW w:w="0" w:type="auto"/>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如不立即救治会导致死亡，应马上进行人工呼吸或心肺复苏（CPR）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4"/>
            <w:vAlign w:val="center"/>
          </w:tcPr>
          <w:p>
            <w:pPr>
              <w:spacing w:line="240" w:lineRule="auto"/>
              <w:ind w:firstLine="0" w:firstLineChars="0"/>
              <w:jc w:val="center"/>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注：表中数据来源于《含硫化氢油气井安全钻井推荐作法》（SY/T5087-2005）</w:t>
            </w:r>
          </w:p>
        </w:tc>
      </w:tr>
    </w:tbl>
    <w:p>
      <w:pPr>
        <w:ind w:firstLine="482"/>
        <w:rPr>
          <w:rFonts w:hint="default" w:ascii="Times New Roman" w:hAnsi="Times New Roman" w:cs="Times New Roman"/>
          <w:b/>
          <w:bCs/>
          <w:color w:val="000000" w:themeColor="text1"/>
          <w:szCs w:val="24"/>
          <w:highlight w:val="none"/>
          <w14:textFill>
            <w14:solidFill>
              <w14:schemeClr w14:val="tx1"/>
            </w14:solidFill>
          </w14:textFill>
        </w:rPr>
      </w:pP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（13）二氧化碳</w:t>
      </w:r>
    </w:p>
    <w:p>
      <w:pPr>
        <w:ind w:firstLine="480"/>
        <w:rPr>
          <w:rFonts w:hint="default" w:ascii="Times New Roman" w:hAnsi="Times New Roman" w:cs="Times New Roman"/>
          <w:bCs/>
          <w:color w:val="000000" w:themeColor="text1"/>
          <w:szCs w:val="24"/>
          <w:highlight w:val="none"/>
          <w:lang w:val="zh-CN"/>
          <w14:textFill>
            <w14:solidFill>
              <w14:schemeClr w14:val="tx1"/>
            </w14:solidFill>
          </w14:textFill>
        </w:rPr>
      </w:pPr>
      <w:r>
        <w:rPr>
          <w:rFonts w:hint="default" w:ascii="Times New Roman" w:hAnsi="Times New Roman" w:cs="Times New Roman"/>
          <w:bCs/>
          <w:color w:val="000000" w:themeColor="text1"/>
          <w:szCs w:val="24"/>
          <w:highlight w:val="none"/>
          <w:lang w:val="zh-CN"/>
          <w14:textFill>
            <w14:solidFill>
              <w14:schemeClr w14:val="tx1"/>
            </w14:solidFill>
          </w14:textFill>
        </w:rPr>
        <w:t>二氧化碳可以溶解在水中，生成碳酸，引起电化学腐蚀。钢材中二氧化碳腐蚀的产物都是易溶的，不易形成保护膜，特别是随二氧化碳浓度的增加，腐蚀速度增加很快。</w:t>
      </w:r>
    </w:p>
    <w:p>
      <w:pPr>
        <w:ind w:firstLine="480"/>
        <w:rPr>
          <w:rFonts w:hint="default" w:ascii="Times New Roman" w:hAnsi="Times New Roman" w:cs="Times New Roman"/>
          <w:bCs/>
          <w:color w:val="000000" w:themeColor="text1"/>
          <w:szCs w:val="24"/>
          <w:highlight w:val="none"/>
          <w:lang w:val="zh-CN"/>
          <w14:textFill>
            <w14:solidFill>
              <w14:schemeClr w14:val="tx1"/>
            </w14:solidFill>
          </w14:textFill>
        </w:rPr>
      </w:pPr>
      <w:r>
        <w:rPr>
          <w:rFonts w:hint="default" w:ascii="Times New Roman" w:hAnsi="Times New Roman" w:cs="Times New Roman"/>
          <w:bCs/>
          <w:color w:val="000000" w:themeColor="text1"/>
          <w:szCs w:val="24"/>
          <w:highlight w:val="none"/>
          <w:lang w:val="zh-CN"/>
          <w14:textFill>
            <w14:solidFill>
              <w14:schemeClr w14:val="tx1"/>
            </w14:solidFill>
          </w14:textFill>
        </w:rPr>
        <w:t>根据NACE（美国腐蚀工程师协会）有关CO</w:t>
      </w:r>
      <w:r>
        <w:rPr>
          <w:rFonts w:hint="default" w:ascii="Times New Roman" w:hAnsi="Times New Roman" w:cs="Times New Roman"/>
          <w:bCs/>
          <w:color w:val="000000" w:themeColor="text1"/>
          <w:szCs w:val="24"/>
          <w:highlight w:val="none"/>
          <w:vertAlign w:val="subscript"/>
          <w:lang w:val="zh-CN"/>
          <w14:textFill>
            <w14:solidFill>
              <w14:schemeClr w14:val="tx1"/>
            </w14:solidFill>
          </w14:textFill>
        </w:rPr>
        <w:t>2</w:t>
      </w:r>
      <w:r>
        <w:rPr>
          <w:rFonts w:hint="default" w:ascii="Times New Roman" w:hAnsi="Times New Roman" w:cs="Times New Roman"/>
          <w:bCs/>
          <w:color w:val="000000" w:themeColor="text1"/>
          <w:szCs w:val="24"/>
          <w:highlight w:val="none"/>
          <w:lang w:val="zh-CN"/>
          <w14:textFill>
            <w14:solidFill>
              <w14:schemeClr w14:val="tx1"/>
            </w14:solidFill>
          </w14:textFill>
        </w:rPr>
        <w:t>分压腐蚀的标准，CO</w:t>
      </w:r>
      <w:r>
        <w:rPr>
          <w:rFonts w:hint="default" w:ascii="Times New Roman" w:hAnsi="Times New Roman" w:cs="Times New Roman"/>
          <w:bCs/>
          <w:color w:val="000000" w:themeColor="text1"/>
          <w:szCs w:val="24"/>
          <w:highlight w:val="none"/>
          <w:vertAlign w:val="subscript"/>
          <w:lang w:val="zh-CN"/>
          <w14:textFill>
            <w14:solidFill>
              <w14:schemeClr w14:val="tx1"/>
            </w14:solidFill>
          </w14:textFill>
        </w:rPr>
        <w:t>2</w:t>
      </w:r>
      <w:r>
        <w:rPr>
          <w:rFonts w:hint="default" w:ascii="Times New Roman" w:hAnsi="Times New Roman" w:cs="Times New Roman"/>
          <w:bCs/>
          <w:color w:val="000000" w:themeColor="text1"/>
          <w:szCs w:val="24"/>
          <w:highlight w:val="none"/>
          <w:lang w:val="zh-CN"/>
          <w14:textFill>
            <w14:solidFill>
              <w14:schemeClr w14:val="tx1"/>
            </w14:solidFill>
          </w14:textFill>
        </w:rPr>
        <w:t>分压大于0.2MPa就属于严重腐蚀区，本项目气藏CO2分压大于0.2MPa。CO</w:t>
      </w:r>
      <w:r>
        <w:rPr>
          <w:rFonts w:hint="default" w:ascii="Times New Roman" w:hAnsi="Times New Roman" w:cs="Times New Roman"/>
          <w:bCs/>
          <w:color w:val="000000" w:themeColor="text1"/>
          <w:szCs w:val="24"/>
          <w:highlight w:val="none"/>
          <w:vertAlign w:val="subscript"/>
          <w:lang w:val="zh-CN"/>
          <w14:textFill>
            <w14:solidFill>
              <w14:schemeClr w14:val="tx1"/>
            </w14:solidFill>
          </w14:textFill>
        </w:rPr>
        <w:t>2</w:t>
      </w:r>
      <w:r>
        <w:rPr>
          <w:rFonts w:hint="default" w:ascii="Times New Roman" w:hAnsi="Times New Roman" w:cs="Times New Roman"/>
          <w:bCs/>
          <w:color w:val="000000" w:themeColor="text1"/>
          <w:szCs w:val="24"/>
          <w:highlight w:val="none"/>
          <w:lang w:val="zh-CN"/>
          <w14:textFill>
            <w14:solidFill>
              <w14:schemeClr w14:val="tx1"/>
            </w14:solidFill>
          </w14:textFill>
        </w:rPr>
        <w:t>腐蚀的主要形态为点蚀、台地状腐蚀、环状腐蚀和冲刷腐蚀等，且腐蚀穿孔的速度很快。在影响CO</w:t>
      </w:r>
      <w:r>
        <w:rPr>
          <w:rFonts w:hint="default" w:ascii="Times New Roman" w:hAnsi="Times New Roman" w:cs="Times New Roman"/>
          <w:bCs/>
          <w:color w:val="000000" w:themeColor="text1"/>
          <w:szCs w:val="24"/>
          <w:highlight w:val="none"/>
          <w:vertAlign w:val="subscript"/>
          <w:lang w:val="zh-CN"/>
          <w14:textFill>
            <w14:solidFill>
              <w14:schemeClr w14:val="tx1"/>
            </w14:solidFill>
          </w14:textFill>
        </w:rPr>
        <w:t>2</w:t>
      </w:r>
      <w:r>
        <w:rPr>
          <w:rFonts w:hint="default" w:ascii="Times New Roman" w:hAnsi="Times New Roman" w:cs="Times New Roman"/>
          <w:bCs/>
          <w:color w:val="000000" w:themeColor="text1"/>
          <w:szCs w:val="24"/>
          <w:highlight w:val="none"/>
          <w:lang w:val="zh-CN"/>
          <w14:textFill>
            <w14:solidFill>
              <w14:schemeClr w14:val="tx1"/>
            </w14:solidFill>
          </w14:textFill>
        </w:rPr>
        <w:t>腐蚀速率的各个因素中，CO</w:t>
      </w:r>
      <w:r>
        <w:rPr>
          <w:rFonts w:hint="default" w:ascii="Times New Roman" w:hAnsi="Times New Roman" w:cs="Times New Roman"/>
          <w:bCs/>
          <w:color w:val="000000" w:themeColor="text1"/>
          <w:szCs w:val="24"/>
          <w:highlight w:val="none"/>
          <w:vertAlign w:val="subscript"/>
          <w:lang w:val="zh-CN"/>
          <w14:textFill>
            <w14:solidFill>
              <w14:schemeClr w14:val="tx1"/>
            </w14:solidFill>
          </w14:textFill>
        </w:rPr>
        <w:t>2</w:t>
      </w:r>
      <w:r>
        <w:rPr>
          <w:rFonts w:hint="default" w:ascii="Times New Roman" w:hAnsi="Times New Roman" w:cs="Times New Roman"/>
          <w:bCs/>
          <w:color w:val="000000" w:themeColor="text1"/>
          <w:szCs w:val="24"/>
          <w:highlight w:val="none"/>
          <w:lang w:val="zh-CN"/>
          <w14:textFill>
            <w14:solidFill>
              <w14:schemeClr w14:val="tx1"/>
            </w14:solidFill>
          </w14:textFill>
        </w:rPr>
        <w:t>分压和温度是最重要的两个参数。CO</w:t>
      </w:r>
      <w:r>
        <w:rPr>
          <w:rFonts w:hint="default" w:ascii="Times New Roman" w:hAnsi="Times New Roman" w:cs="Times New Roman"/>
          <w:bCs/>
          <w:color w:val="000000" w:themeColor="text1"/>
          <w:szCs w:val="24"/>
          <w:highlight w:val="none"/>
          <w:vertAlign w:val="subscript"/>
          <w:lang w:val="zh-CN"/>
          <w14:textFill>
            <w14:solidFill>
              <w14:schemeClr w14:val="tx1"/>
            </w14:solidFill>
          </w14:textFill>
        </w:rPr>
        <w:t>2</w:t>
      </w:r>
      <w:r>
        <w:rPr>
          <w:rFonts w:hint="default" w:ascii="Times New Roman" w:hAnsi="Times New Roman" w:cs="Times New Roman"/>
          <w:bCs/>
          <w:color w:val="000000" w:themeColor="text1"/>
          <w:szCs w:val="24"/>
          <w:highlight w:val="none"/>
          <w:lang w:val="zh-CN"/>
          <w14:textFill>
            <w14:solidFill>
              <w14:schemeClr w14:val="tx1"/>
            </w14:solidFill>
          </w14:textFill>
        </w:rPr>
        <w:t>分压越高，其腐蚀产物FeCO</w:t>
      </w:r>
      <w:r>
        <w:rPr>
          <w:rFonts w:hint="default" w:ascii="Times New Roman" w:hAnsi="Times New Roman" w:cs="Times New Roman"/>
          <w:bCs/>
          <w:color w:val="000000" w:themeColor="text1"/>
          <w:szCs w:val="24"/>
          <w:highlight w:val="none"/>
          <w:vertAlign w:val="subscript"/>
          <w:lang w:val="zh-CN"/>
          <w14:textFill>
            <w14:solidFill>
              <w14:schemeClr w14:val="tx1"/>
            </w14:solidFill>
          </w14:textFill>
        </w:rPr>
        <w:t>3</w:t>
      </w:r>
      <w:r>
        <w:rPr>
          <w:rFonts w:hint="default" w:ascii="Times New Roman" w:hAnsi="Times New Roman" w:cs="Times New Roman"/>
          <w:bCs/>
          <w:color w:val="000000" w:themeColor="text1"/>
          <w:szCs w:val="24"/>
          <w:highlight w:val="none"/>
          <w:lang w:val="zh-CN"/>
          <w14:textFill>
            <w14:solidFill>
              <w14:schemeClr w14:val="tx1"/>
            </w14:solidFill>
          </w14:textFill>
        </w:rPr>
        <w:t>膜的保护性越差，且CO</w:t>
      </w:r>
      <w:r>
        <w:rPr>
          <w:rFonts w:hint="default" w:ascii="Times New Roman" w:hAnsi="Times New Roman" w:cs="Times New Roman"/>
          <w:bCs/>
          <w:color w:val="000000" w:themeColor="text1"/>
          <w:szCs w:val="24"/>
          <w:highlight w:val="none"/>
          <w:vertAlign w:val="subscript"/>
          <w:lang w:val="zh-CN"/>
          <w14:textFill>
            <w14:solidFill>
              <w14:schemeClr w14:val="tx1"/>
            </w14:solidFill>
          </w14:textFill>
        </w:rPr>
        <w:t>2</w:t>
      </w:r>
      <w:r>
        <w:rPr>
          <w:rFonts w:hint="default" w:ascii="Times New Roman" w:hAnsi="Times New Roman" w:cs="Times New Roman"/>
          <w:bCs/>
          <w:color w:val="000000" w:themeColor="text1"/>
          <w:szCs w:val="24"/>
          <w:highlight w:val="none"/>
          <w:lang w:val="zh-CN"/>
          <w14:textFill>
            <w14:solidFill>
              <w14:schemeClr w14:val="tx1"/>
            </w14:solidFill>
          </w14:textFill>
        </w:rPr>
        <w:t>的腐蚀速度随温度升高而增加，60℃～110℃为CO</w:t>
      </w:r>
      <w:r>
        <w:rPr>
          <w:rFonts w:hint="default" w:ascii="Times New Roman" w:hAnsi="Times New Roman" w:cs="Times New Roman"/>
          <w:bCs/>
          <w:color w:val="000000" w:themeColor="text1"/>
          <w:szCs w:val="24"/>
          <w:highlight w:val="none"/>
          <w:vertAlign w:val="subscript"/>
          <w:lang w:val="zh-CN"/>
          <w14:textFill>
            <w14:solidFill>
              <w14:schemeClr w14:val="tx1"/>
            </w14:solidFill>
          </w14:textFill>
        </w:rPr>
        <w:t>2</w:t>
      </w:r>
      <w:r>
        <w:rPr>
          <w:rFonts w:hint="default" w:ascii="Times New Roman" w:hAnsi="Times New Roman" w:cs="Times New Roman"/>
          <w:bCs/>
          <w:color w:val="000000" w:themeColor="text1"/>
          <w:szCs w:val="24"/>
          <w:highlight w:val="none"/>
          <w:lang w:val="zh-CN"/>
          <w14:textFill>
            <w14:solidFill>
              <w14:schemeClr w14:val="tx1"/>
            </w14:solidFill>
          </w14:textFill>
        </w:rPr>
        <w:t>腐蚀的敏感区域，本项目深层气藏地层平均温度＞110℃，因此井下设备存在CO</w:t>
      </w:r>
      <w:r>
        <w:rPr>
          <w:rFonts w:hint="default" w:ascii="Times New Roman" w:hAnsi="Times New Roman" w:cs="Times New Roman"/>
          <w:bCs/>
          <w:color w:val="000000" w:themeColor="text1"/>
          <w:szCs w:val="24"/>
          <w:highlight w:val="none"/>
          <w:vertAlign w:val="subscript"/>
          <w:lang w:val="zh-CN"/>
          <w14:textFill>
            <w14:solidFill>
              <w14:schemeClr w14:val="tx1"/>
            </w14:solidFill>
          </w14:textFill>
        </w:rPr>
        <w:t>2</w:t>
      </w:r>
      <w:r>
        <w:rPr>
          <w:rFonts w:hint="default" w:ascii="Times New Roman" w:hAnsi="Times New Roman" w:cs="Times New Roman"/>
          <w:bCs/>
          <w:color w:val="000000" w:themeColor="text1"/>
          <w:szCs w:val="24"/>
          <w:highlight w:val="none"/>
          <w:lang w:val="zh-CN"/>
          <w14:textFill>
            <w14:solidFill>
              <w14:schemeClr w14:val="tx1"/>
            </w14:solidFill>
          </w14:textFill>
        </w:rPr>
        <w:t>腐蚀的风险。</w:t>
      </w:r>
    </w:p>
    <w:p>
      <w:pPr>
        <w:ind w:firstLine="480"/>
        <w:rPr>
          <w:rFonts w:hint="default" w:ascii="Times New Roman" w:hAnsi="Times New Roman" w:cs="Times New Roman"/>
          <w:bCs/>
          <w:color w:val="000000" w:themeColor="text1"/>
          <w:szCs w:val="24"/>
          <w:highlight w:val="none"/>
          <w:lang w:val="zh-CN"/>
          <w14:textFill>
            <w14:solidFill>
              <w14:schemeClr w14:val="tx1"/>
            </w14:solidFill>
          </w14:textFill>
        </w:rPr>
      </w:pPr>
      <w:r>
        <w:rPr>
          <w:rFonts w:hint="default" w:ascii="Times New Roman" w:hAnsi="Times New Roman" w:cs="Times New Roman"/>
          <w:bCs/>
          <w:color w:val="000000" w:themeColor="text1"/>
          <w:szCs w:val="24"/>
          <w:highlight w:val="none"/>
          <w:lang w:val="zh-CN"/>
          <w14:textFill>
            <w14:solidFill>
              <w14:schemeClr w14:val="tx1"/>
            </w14:solidFill>
          </w14:textFill>
        </w:rPr>
        <w:t>二氧化碳是一种窒息性气体，对人的最低毒性浓度体积分数为2％，超过此浓度可引起呼吸器官的损害，达到10%会使人窒息。</w:t>
      </w:r>
    </w:p>
    <w:bookmarkEnd w:id="327"/>
    <w:p>
      <w:pPr>
        <w:pStyle w:val="4"/>
        <w:spacing w:before="0" w:beforeLines="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329" w:name="_Toc120173172"/>
      <w:r>
        <w:rPr>
          <w:rFonts w:hint="default" w:ascii="Times New Roman" w:hAnsi="Times New Roman" w:cs="Times New Roman"/>
          <w:color w:val="000000" w:themeColor="text1"/>
          <w:highlight w:val="none"/>
          <w:lang w:eastAsia="zh-CN"/>
          <w14:textFill>
            <w14:solidFill>
              <w14:schemeClr w14:val="tx1"/>
            </w14:solidFill>
          </w14:textFill>
        </w:rPr>
        <w:t>环境风险潜势初判</w:t>
      </w:r>
      <w:bookmarkEnd w:id="329"/>
    </w:p>
    <w:p>
      <w:pPr>
        <w:ind w:firstLine="480"/>
        <w:rPr>
          <w:rFonts w:hint="default" w:ascii="Times New Roman" w:hAnsi="Times New Roman" w:cs="Times New Roman"/>
          <w:bCs/>
          <w:color w:val="000000" w:themeColor="text1"/>
          <w:szCs w:val="24"/>
          <w:highlight w:val="none"/>
          <w:lang w:val="zh-CN"/>
          <w14:textFill>
            <w14:solidFill>
              <w14:schemeClr w14:val="tx1"/>
            </w14:solidFill>
          </w14:textFill>
        </w:rPr>
      </w:pPr>
      <w:r>
        <w:rPr>
          <w:rFonts w:hint="default" w:ascii="Times New Roman" w:hAnsi="Times New Roman" w:cs="Times New Roman"/>
          <w:bCs/>
          <w:color w:val="000000" w:themeColor="text1"/>
          <w:szCs w:val="24"/>
          <w:highlight w:val="none"/>
          <w:lang w:val="zh-CN"/>
          <w14:textFill>
            <w14:solidFill>
              <w14:schemeClr w14:val="tx1"/>
            </w14:solidFill>
          </w14:textFill>
        </w:rPr>
        <w:t>（1）危险物质数量与临界量的比值（Q）</w:t>
      </w:r>
    </w:p>
    <w:p>
      <w:pPr>
        <w:ind w:firstLine="480"/>
        <w:rPr>
          <w:rFonts w:hint="default" w:ascii="Times New Roman" w:hAnsi="Times New Roman" w:cs="Times New Roman"/>
          <w:bCs/>
          <w:color w:val="000000" w:themeColor="text1"/>
          <w:szCs w:val="24"/>
          <w:highlight w:val="none"/>
          <w:lang w:val="zh-CN"/>
          <w14:textFill>
            <w14:solidFill>
              <w14:schemeClr w14:val="tx1"/>
            </w14:solidFill>
          </w14:textFill>
        </w:rPr>
      </w:pPr>
      <w:r>
        <w:rPr>
          <w:rFonts w:hint="default" w:ascii="Times New Roman" w:hAnsi="Times New Roman" w:cs="Times New Roman"/>
          <w:bCs/>
          <w:color w:val="000000" w:themeColor="text1"/>
          <w:szCs w:val="24"/>
          <w:highlight w:val="none"/>
          <w:lang w:val="zh-CN"/>
          <w14:textFill>
            <w14:solidFill>
              <w14:schemeClr w14:val="tx1"/>
            </w14:solidFill>
          </w14:textFill>
        </w:rPr>
        <w:t>分析建设项目生产、使用、储存过程中涉及的有毒有害、易燃易爆物质，参见HJ 169-2018中附录B确定危险物质的临界量，并参照附录C进行判定。</w:t>
      </w:r>
    </w:p>
    <w:p>
      <w:pPr>
        <w:ind w:firstLine="480"/>
        <w:rPr>
          <w:rFonts w:hint="default" w:ascii="Times New Roman" w:hAnsi="Times New Roman" w:cs="Times New Roman"/>
          <w:bCs/>
          <w:color w:val="000000" w:themeColor="text1"/>
          <w:szCs w:val="24"/>
          <w:highlight w:val="none"/>
          <w:lang w:val="zh-CN"/>
          <w14:textFill>
            <w14:solidFill>
              <w14:schemeClr w14:val="tx1"/>
            </w14:solidFill>
          </w14:textFill>
        </w:rPr>
      </w:pPr>
      <w:r>
        <w:rPr>
          <w:rFonts w:hint="default" w:ascii="Times New Roman" w:hAnsi="Times New Roman" w:cs="Times New Roman"/>
          <w:bCs/>
          <w:color w:val="000000" w:themeColor="text1"/>
          <w:szCs w:val="24"/>
          <w:highlight w:val="none"/>
          <w:lang w:val="zh-CN"/>
          <w14:textFill>
            <w14:solidFill>
              <w14:schemeClr w14:val="tx1"/>
            </w14:solidFill>
          </w14:textFill>
        </w:rPr>
        <w:t>①当企业只涉及一种风险物质时，该物质的数量与其临界量比值，即为Q。</w:t>
      </w:r>
    </w:p>
    <w:p>
      <w:pPr>
        <w:ind w:firstLine="480"/>
        <w:rPr>
          <w:rFonts w:hint="default" w:ascii="Times New Roman" w:hAnsi="Times New Roman" w:cs="Times New Roman"/>
          <w:bCs/>
          <w:color w:val="000000" w:themeColor="text1"/>
          <w:szCs w:val="24"/>
          <w:highlight w:val="none"/>
          <w:lang w:val="zh-CN"/>
          <w14:textFill>
            <w14:solidFill>
              <w14:schemeClr w14:val="tx1"/>
            </w14:solidFill>
          </w14:textFill>
        </w:rPr>
      </w:pPr>
      <w:r>
        <w:rPr>
          <w:rFonts w:hint="default" w:ascii="Times New Roman" w:hAnsi="Times New Roman" w:cs="Times New Roman"/>
          <w:bCs/>
          <w:color w:val="000000" w:themeColor="text1"/>
          <w:szCs w:val="24"/>
          <w:highlight w:val="none"/>
          <w:lang w:val="zh-CN"/>
          <w14:textFill>
            <w14:solidFill>
              <w14:schemeClr w14:val="tx1"/>
            </w14:solidFill>
          </w14:textFill>
        </w:rPr>
        <w:t>②当企业存在多种风险物质时，则按下式计算：</w:t>
      </w:r>
    </w:p>
    <w:p>
      <w:pPr>
        <w:pStyle w:val="558"/>
        <w:ind w:firstLine="480"/>
        <w:jc w:val="center"/>
        <w:rPr>
          <w:rFonts w:hint="default" w:ascii="Times New Roman" w:hAnsi="Times New Roman" w:cs="Times New Roman"/>
          <w:bCs/>
          <w:color w:val="000000" w:themeColor="text1"/>
          <w:szCs w:val="24"/>
          <w:highlight w:val="none"/>
          <w:vertAlign w:val="subscript"/>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Q=q</w:t>
      </w:r>
      <w:r>
        <w:rPr>
          <w:rFonts w:hint="default" w:ascii="Times New Roman" w:hAnsi="Times New Roman" w:cs="Times New Roman"/>
          <w:bCs/>
          <w:color w:val="000000" w:themeColor="text1"/>
          <w:szCs w:val="24"/>
          <w:highlight w:val="none"/>
          <w:vertAlign w:val="subscript"/>
          <w14:textFill>
            <w14:solidFill>
              <w14:schemeClr w14:val="tx1"/>
            </w14:solidFill>
          </w14:textFill>
        </w:rPr>
        <w:t>1</w:t>
      </w:r>
      <w:r>
        <w:rPr>
          <w:rFonts w:hint="default" w:ascii="Times New Roman" w:hAnsi="Times New Roman" w:cs="Times New Roman"/>
          <w:bCs/>
          <w:color w:val="000000" w:themeColor="text1"/>
          <w:szCs w:val="24"/>
          <w:highlight w:val="none"/>
          <w14:textFill>
            <w14:solidFill>
              <w14:schemeClr w14:val="tx1"/>
            </w14:solidFill>
          </w14:textFill>
        </w:rPr>
        <w:t>/Q</w:t>
      </w:r>
      <w:r>
        <w:rPr>
          <w:rFonts w:hint="default" w:ascii="Times New Roman" w:hAnsi="Times New Roman" w:cs="Times New Roman"/>
          <w:bCs/>
          <w:color w:val="000000" w:themeColor="text1"/>
          <w:szCs w:val="24"/>
          <w:highlight w:val="none"/>
          <w:vertAlign w:val="subscript"/>
          <w14:textFill>
            <w14:solidFill>
              <w14:schemeClr w14:val="tx1"/>
            </w14:solidFill>
          </w14:textFill>
        </w:rPr>
        <w:t>1</w:t>
      </w:r>
      <w:r>
        <w:rPr>
          <w:rFonts w:hint="default" w:ascii="Times New Roman" w:hAnsi="Times New Roman" w:cs="Times New Roman"/>
          <w:bCs/>
          <w:color w:val="000000" w:themeColor="text1"/>
          <w:szCs w:val="24"/>
          <w:highlight w:val="none"/>
          <w14:textFill>
            <w14:solidFill>
              <w14:schemeClr w14:val="tx1"/>
            </w14:solidFill>
          </w14:textFill>
        </w:rPr>
        <w:t>+q</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/Q</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w:t>
      </w:r>
      <w:r>
        <w:rPr>
          <w:rFonts w:hint="default" w:ascii="Times New Roman" w:hAnsi="Times New Roman" w:cs="Times New Roman"/>
          <w:bCs/>
          <w:color w:val="000000" w:themeColor="text1"/>
          <w:spacing w:val="-4"/>
          <w:szCs w:val="24"/>
          <w:highlight w:val="none"/>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+q</w:t>
      </w:r>
      <w:r>
        <w:rPr>
          <w:rFonts w:hint="default" w:ascii="Times New Roman" w:hAnsi="Times New Roman" w:cs="Times New Roman"/>
          <w:bCs/>
          <w:color w:val="000000" w:themeColor="text1"/>
          <w:szCs w:val="24"/>
          <w:highlight w:val="none"/>
          <w:vertAlign w:val="subscript"/>
          <w14:textFill>
            <w14:solidFill>
              <w14:schemeClr w14:val="tx1"/>
            </w14:solidFill>
          </w14:textFill>
        </w:rPr>
        <w:t>n</w:t>
      </w:r>
      <w:r>
        <w:rPr>
          <w:rFonts w:hint="default" w:ascii="Times New Roman" w:hAnsi="Times New Roman" w:cs="Times New Roman"/>
          <w:bCs/>
          <w:color w:val="000000" w:themeColor="text1"/>
          <w:szCs w:val="24"/>
          <w:highlight w:val="none"/>
          <w14:textFill>
            <w14:solidFill>
              <w14:schemeClr w14:val="tx1"/>
            </w14:solidFill>
          </w14:textFill>
        </w:rPr>
        <w:t>/Q</w:t>
      </w:r>
      <w:r>
        <w:rPr>
          <w:rFonts w:hint="default" w:ascii="Times New Roman" w:hAnsi="Times New Roman" w:cs="Times New Roman"/>
          <w:bCs/>
          <w:color w:val="000000" w:themeColor="text1"/>
          <w:szCs w:val="24"/>
          <w:highlight w:val="none"/>
          <w:vertAlign w:val="subscript"/>
          <w14:textFill>
            <w14:solidFill>
              <w14:schemeClr w14:val="tx1"/>
            </w14:solidFill>
          </w14:textFill>
        </w:rPr>
        <w:t>n</w:t>
      </w:r>
    </w:p>
    <w:p>
      <w:pPr>
        <w:pStyle w:val="558"/>
        <w:ind w:firstLine="472"/>
        <w:rPr>
          <w:rFonts w:hint="default" w:ascii="Times New Roman" w:hAnsi="Times New Roman" w:cs="Times New Roman"/>
          <w:bCs/>
          <w:color w:val="000000" w:themeColor="text1"/>
          <w:spacing w:val="-4"/>
          <w:szCs w:val="24"/>
          <w:highlight w:val="none"/>
          <w14:textFill>
            <w14:solidFill>
              <w14:schemeClr w14:val="tx1"/>
            </w14:solidFill>
          </w14:textFill>
        </w:rPr>
      </w:pPr>
      <w:r>
        <w:rPr>
          <w:rFonts w:hint="default" w:ascii="Times New Roman" w:hAnsi="Times New Roman" w:cs="Times New Roman"/>
          <w:bCs/>
          <w:color w:val="000000" w:themeColor="text1"/>
          <w:spacing w:val="-4"/>
          <w:szCs w:val="24"/>
          <w:highlight w:val="none"/>
          <w14:textFill>
            <w14:solidFill>
              <w14:schemeClr w14:val="tx1"/>
            </w14:solidFill>
          </w14:textFill>
        </w:rPr>
        <w:t>式中：q</w:t>
      </w:r>
      <w:r>
        <w:rPr>
          <w:rFonts w:hint="default" w:ascii="Times New Roman" w:hAnsi="Times New Roman" w:cs="Times New Roman"/>
          <w:bCs/>
          <w:color w:val="000000" w:themeColor="text1"/>
          <w:spacing w:val="-4"/>
          <w:szCs w:val="24"/>
          <w:highlight w:val="none"/>
          <w:vertAlign w:val="subscript"/>
          <w14:textFill>
            <w14:solidFill>
              <w14:schemeClr w14:val="tx1"/>
            </w14:solidFill>
          </w14:textFill>
        </w:rPr>
        <w:t>1</w:t>
      </w:r>
      <w:r>
        <w:rPr>
          <w:rFonts w:hint="default" w:ascii="Times New Roman" w:hAnsi="Times New Roman" w:cs="Times New Roman"/>
          <w:bCs/>
          <w:color w:val="000000" w:themeColor="text1"/>
          <w:spacing w:val="-4"/>
          <w:szCs w:val="24"/>
          <w:highlight w:val="none"/>
          <w14:textFill>
            <w14:solidFill>
              <w14:schemeClr w14:val="tx1"/>
            </w14:solidFill>
          </w14:textFill>
        </w:rPr>
        <w:t>，q</w:t>
      </w:r>
      <w:r>
        <w:rPr>
          <w:rFonts w:hint="default" w:ascii="Times New Roman" w:hAnsi="Times New Roman" w:cs="Times New Roman"/>
          <w:bCs/>
          <w:color w:val="000000" w:themeColor="text1"/>
          <w:spacing w:val="-4"/>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pacing w:val="-4"/>
          <w:szCs w:val="24"/>
          <w:highlight w:val="none"/>
          <w14:textFill>
            <w14:solidFill>
              <w14:schemeClr w14:val="tx1"/>
            </w14:solidFill>
          </w14:textFill>
        </w:rPr>
        <w:t>，...，q</w:t>
      </w:r>
      <w:r>
        <w:rPr>
          <w:rFonts w:hint="default" w:ascii="Times New Roman" w:hAnsi="Times New Roman" w:cs="Times New Roman"/>
          <w:bCs/>
          <w:color w:val="000000" w:themeColor="text1"/>
          <w:spacing w:val="-4"/>
          <w:szCs w:val="24"/>
          <w:highlight w:val="none"/>
          <w:vertAlign w:val="subscript"/>
          <w14:textFill>
            <w14:solidFill>
              <w14:schemeClr w14:val="tx1"/>
            </w14:solidFill>
          </w14:textFill>
        </w:rPr>
        <w:t>n</w:t>
      </w:r>
      <w:r>
        <w:rPr>
          <w:rFonts w:hint="default" w:ascii="Times New Roman" w:hAnsi="Times New Roman" w:cs="Times New Roman"/>
          <w:bCs/>
          <w:color w:val="000000" w:themeColor="text1"/>
          <w:spacing w:val="-4"/>
          <w:szCs w:val="24"/>
          <w:highlight w:val="none"/>
          <w14:textFill>
            <w14:solidFill>
              <w14:schemeClr w14:val="tx1"/>
            </w14:solidFill>
          </w14:textFill>
        </w:rPr>
        <w:t>——每种风险物质的存在量，t；</w:t>
      </w:r>
    </w:p>
    <w:p>
      <w:pPr>
        <w:pStyle w:val="558"/>
        <w:ind w:firstLine="1080" w:firstLineChars="45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Q</w:t>
      </w:r>
      <w:r>
        <w:rPr>
          <w:rFonts w:hint="default" w:ascii="Times New Roman" w:hAnsi="Times New Roman" w:cs="Times New Roman"/>
          <w:bCs/>
          <w:color w:val="000000" w:themeColor="text1"/>
          <w:szCs w:val="24"/>
          <w:highlight w:val="none"/>
          <w:vertAlign w:val="subscript"/>
          <w14:textFill>
            <w14:solidFill>
              <w14:schemeClr w14:val="tx1"/>
            </w14:solidFill>
          </w14:textFill>
        </w:rPr>
        <w:t>1</w:t>
      </w:r>
      <w:r>
        <w:rPr>
          <w:rFonts w:hint="default" w:ascii="Times New Roman" w:hAnsi="Times New Roman" w:cs="Times New Roman"/>
          <w:bCs/>
          <w:color w:val="000000" w:themeColor="text1"/>
          <w:szCs w:val="24"/>
          <w:highlight w:val="none"/>
          <w14:textFill>
            <w14:solidFill>
              <w14:schemeClr w14:val="tx1"/>
            </w14:solidFill>
          </w14:textFill>
        </w:rPr>
        <w:t>，Q</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，...，Q</w:t>
      </w:r>
      <w:r>
        <w:rPr>
          <w:rFonts w:hint="default" w:ascii="Times New Roman" w:hAnsi="Times New Roman" w:cs="Times New Roman"/>
          <w:bCs/>
          <w:color w:val="000000" w:themeColor="text1"/>
          <w:szCs w:val="24"/>
          <w:highlight w:val="none"/>
          <w:vertAlign w:val="subscript"/>
          <w14:textFill>
            <w14:solidFill>
              <w14:schemeClr w14:val="tx1"/>
            </w14:solidFill>
          </w14:textFill>
        </w:rPr>
        <w:t>n</w:t>
      </w:r>
      <w:r>
        <w:rPr>
          <w:rFonts w:hint="default" w:ascii="Times New Roman" w:hAnsi="Times New Roman" w:cs="Times New Roman"/>
          <w:bCs/>
          <w:color w:val="000000" w:themeColor="text1"/>
          <w:szCs w:val="24"/>
          <w:highlight w:val="none"/>
          <w14:textFill>
            <w14:solidFill>
              <w14:schemeClr w14:val="tx1"/>
            </w14:solidFill>
          </w14:textFill>
        </w:rPr>
        <w:t>——每种风险物质的临界量，t。</w:t>
      </w:r>
    </w:p>
    <w:p>
      <w:pPr>
        <w:pStyle w:val="558"/>
        <w:ind w:firstLine="480"/>
        <w:rPr>
          <w:rFonts w:hint="default" w:ascii="Times New Roman" w:hAnsi="Times New Roman" w:cs="Times New Roman"/>
          <w:bCs/>
          <w:snapToGrid w:val="0"/>
          <w:color w:val="000000" w:themeColor="text1"/>
          <w:szCs w:val="24"/>
          <w:highlight w:val="none"/>
          <w14:textFill>
            <w14:solidFill>
              <w14:schemeClr w14:val="tx1"/>
            </w14:solidFill>
          </w14:textFill>
        </w:rPr>
      </w:pPr>
      <w:r>
        <w:rPr>
          <w:rFonts w:hint="default" w:ascii="Times New Roman" w:hAnsi="Times New Roman" w:cs="Times New Roman"/>
          <w:bCs/>
          <w:snapToGrid w:val="0"/>
          <w:color w:val="000000" w:themeColor="text1"/>
          <w:szCs w:val="24"/>
          <w:highlight w:val="none"/>
          <w14:textFill>
            <w14:solidFill>
              <w14:schemeClr w14:val="tx1"/>
            </w14:solidFill>
          </w14:textFill>
        </w:rPr>
        <w:t>当Q＜1时，本项目环境风险潜势为Ⅰ级。</w:t>
      </w:r>
    </w:p>
    <w:p>
      <w:pPr>
        <w:ind w:firstLine="480"/>
        <w:rPr>
          <w:rFonts w:hint="default" w:ascii="Times New Roman" w:hAnsi="Times New Roman" w:cs="Times New Roman"/>
          <w:bCs/>
          <w:color w:val="000000" w:themeColor="text1"/>
          <w:szCs w:val="24"/>
          <w:highlight w:val="none"/>
          <w:lang w:val="zh-CN"/>
          <w14:textFill>
            <w14:solidFill>
              <w14:schemeClr w14:val="tx1"/>
            </w14:solidFill>
          </w14:textFill>
        </w:rPr>
      </w:pPr>
      <w:r>
        <w:rPr>
          <w:rFonts w:hint="default" w:ascii="Times New Roman" w:hAnsi="Times New Roman" w:cs="Times New Roman"/>
          <w:bCs/>
          <w:color w:val="000000" w:themeColor="text1"/>
          <w:szCs w:val="24"/>
          <w:highlight w:val="none"/>
          <w:lang w:val="zh-CN"/>
          <w14:textFill>
            <w14:solidFill>
              <w14:schemeClr w14:val="tx1"/>
            </w14:solidFill>
          </w14:textFill>
        </w:rPr>
        <w:t>当Q≥1时，将Q值划分为：（1）1≤Q＜10；（2）10≤Q＜100；（3）Q≥100。</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建设项目环境风险评价技术导则》（HJ/T169-2018），本项目天然气所含的甲烷、硫化氢、盐酸、柴油和废油等油类物质属于附录B.1突发环境事件风险物质，甲烷临界量为10t、硫化氢临界量为2.5t、盐酸临界量为7.5t、柴油、废油、白油、油基泥浆等油类物质临界量为2500t。</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本项目大气环境危险物质主要</w:t>
      </w:r>
      <w:r>
        <w:rPr>
          <w:rFonts w:hint="eastAsia" w:cs="Times New Roman"/>
          <w:bCs/>
          <w:color w:val="000000" w:themeColor="text1"/>
          <w:szCs w:val="24"/>
          <w:highlight w:val="none"/>
          <w:lang w:eastAsia="zh-CN"/>
          <w14:textFill>
            <w14:solidFill>
              <w14:schemeClr w14:val="tx1"/>
            </w14:solidFill>
          </w14:textFill>
        </w:rPr>
        <w:t>涉及</w:t>
      </w:r>
      <w:r>
        <w:rPr>
          <w:rFonts w:hint="default" w:ascii="Times New Roman" w:hAnsi="Times New Roman" w:cs="Times New Roman"/>
          <w:bCs/>
          <w:color w:val="000000" w:themeColor="text1"/>
          <w:szCs w:val="24"/>
          <w:highlight w:val="none"/>
          <w14:textFill>
            <w14:solidFill>
              <w14:schemeClr w14:val="tx1"/>
            </w14:solidFill>
          </w14:textFill>
        </w:rPr>
        <w:t>甲烷（CH</w:t>
      </w:r>
      <w:r>
        <w:rPr>
          <w:rFonts w:hint="default" w:ascii="Times New Roman" w:hAnsi="Times New Roman" w:cs="Times New Roman"/>
          <w:bCs/>
          <w:color w:val="000000" w:themeColor="text1"/>
          <w:szCs w:val="24"/>
          <w:highlight w:val="none"/>
          <w:vertAlign w:val="subscript"/>
          <w14:textFill>
            <w14:solidFill>
              <w14:schemeClr w14:val="tx1"/>
            </w14:solidFill>
          </w14:textFill>
        </w:rPr>
        <w:t>4</w:t>
      </w:r>
      <w:r>
        <w:rPr>
          <w:rFonts w:hint="default" w:ascii="Times New Roman" w:hAnsi="Times New Roman" w:cs="Times New Roman"/>
          <w:bCs/>
          <w:color w:val="000000" w:themeColor="text1"/>
          <w:szCs w:val="24"/>
          <w:highlight w:val="none"/>
          <w14:textFill>
            <w14:solidFill>
              <w14:schemeClr w14:val="tx1"/>
            </w14:solidFill>
          </w14:textFill>
        </w:rPr>
        <w:t>）、硫化氢和油类（柴油、废油）三类物质。根据周边其他勘探井情况，本项目</w:t>
      </w:r>
      <w:r>
        <w:rPr>
          <w:rFonts w:hint="eastAsia" w:ascii="Times New Roman" w:hAnsi="Times New Roman" w:cs="Times New Roman"/>
          <w:bCs/>
          <w:color w:val="000000" w:themeColor="text1"/>
          <w:szCs w:val="24"/>
          <w:highlight w:val="none"/>
          <w:lang w:eastAsia="zh-CN"/>
          <w14:textFill>
            <w14:solidFill>
              <w14:schemeClr w14:val="tx1"/>
            </w14:solidFill>
          </w14:textFill>
        </w:rPr>
        <w:t>预计</w:t>
      </w:r>
      <w:r>
        <w:rPr>
          <w:rFonts w:hint="default" w:ascii="Times New Roman" w:hAnsi="Times New Roman" w:cs="Times New Roman"/>
          <w:bCs/>
          <w:color w:val="000000" w:themeColor="text1"/>
          <w:szCs w:val="24"/>
          <w:highlight w:val="none"/>
          <w14:textFill>
            <w14:solidFill>
              <w14:schemeClr w14:val="tx1"/>
            </w14:solidFill>
          </w14:textFill>
        </w:rPr>
        <w:t>最大产气量为</w:t>
      </w:r>
      <w:r>
        <w:rPr>
          <w:rFonts w:hint="eastAsia" w:ascii="Times New Roman" w:hAnsi="Times New Roman" w:cs="Times New Roman"/>
          <w:bCs/>
          <w:color w:val="000000" w:themeColor="text1"/>
          <w:szCs w:val="24"/>
          <w:highlight w:val="none"/>
          <w:lang w:val="en-US" w:eastAsia="zh-CN"/>
          <w14:textFill>
            <w14:solidFill>
              <w14:schemeClr w14:val="tx1"/>
            </w14:solidFill>
          </w14:textFill>
        </w:rPr>
        <w:t>15</w:t>
      </w:r>
      <w:r>
        <w:rPr>
          <w:rFonts w:hint="default" w:ascii="Times New Roman" w:hAnsi="Times New Roman" w:cs="Times New Roman"/>
          <w:bCs/>
          <w:color w:val="000000" w:themeColor="text1"/>
          <w:szCs w:val="24"/>
          <w:highlight w:val="none"/>
          <w14:textFill>
            <w14:solidFill>
              <w14:schemeClr w14:val="tx1"/>
            </w14:solidFill>
          </w14:textFill>
        </w:rPr>
        <w:t>×10</w:t>
      </w:r>
      <w:r>
        <w:rPr>
          <w:rFonts w:hint="default" w:ascii="Times New Roman" w:hAnsi="Times New Roman" w:cs="Times New Roman"/>
          <w:bCs/>
          <w:color w:val="000000" w:themeColor="text1"/>
          <w:szCs w:val="24"/>
          <w:highlight w:val="none"/>
          <w:vertAlign w:val="superscript"/>
          <w14:textFill>
            <w14:solidFill>
              <w14:schemeClr w14:val="tx1"/>
            </w14:solidFill>
          </w14:textFill>
        </w:rPr>
        <w:t>4</w:t>
      </w:r>
      <w:r>
        <w:rPr>
          <w:rFonts w:hint="default" w:ascii="Times New Roman" w:hAnsi="Times New Roman" w:cs="Times New Roman"/>
          <w:bCs/>
          <w:color w:val="000000" w:themeColor="text1"/>
          <w:szCs w:val="24"/>
          <w:highlight w:val="none"/>
          <w14:textFill>
            <w14:solidFill>
              <w14:schemeClr w14:val="tx1"/>
            </w14:solidFill>
          </w14:textFill>
        </w:rPr>
        <w:t>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/d。按照环境风险管理规定，事故状态下在不超过15min内对井场可燃气体实施点火应急处置作业。</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施工期：根据前文计算，本项目事故时CH</w:t>
      </w:r>
      <w:r>
        <w:rPr>
          <w:rFonts w:hint="default" w:ascii="Times New Roman" w:hAnsi="Times New Roman" w:cs="Times New Roman"/>
          <w:color w:val="000000" w:themeColor="text1"/>
          <w:szCs w:val="24"/>
          <w:highlight w:val="none"/>
          <w:vertAlign w:val="subscript"/>
          <w14:textFill>
            <w14:solidFill>
              <w14:schemeClr w14:val="tx1"/>
            </w14:solidFill>
          </w14:textFill>
        </w:rPr>
        <w:t>4</w:t>
      </w:r>
      <w:r>
        <w:rPr>
          <w:rFonts w:hint="default" w:ascii="Times New Roman" w:hAnsi="Times New Roman" w:cs="Times New Roman"/>
          <w:color w:val="000000" w:themeColor="text1"/>
          <w:szCs w:val="24"/>
          <w:highlight w:val="none"/>
          <w:vertAlign w:val="baseline"/>
          <w:lang w:eastAsia="zh-CN"/>
          <w14:textFill>
            <w14:solidFill>
              <w14:schemeClr w14:val="tx1"/>
            </w14:solidFill>
          </w14:textFill>
        </w:rPr>
        <w:t>泄漏</w:t>
      </w:r>
      <w:r>
        <w:rPr>
          <w:rFonts w:hint="default" w:ascii="Times New Roman" w:hAnsi="Times New Roman" w:cs="Times New Roman"/>
          <w:color w:val="000000" w:themeColor="text1"/>
          <w:szCs w:val="24"/>
          <w:highlight w:val="none"/>
          <w14:textFill>
            <w14:solidFill>
              <w14:schemeClr w14:val="tx1"/>
            </w14:solidFill>
          </w14:textFill>
        </w:rPr>
        <w:t>总量按单井计最大为1.69t，小于其临界量10t；</w:t>
      </w:r>
      <w:r>
        <w:rPr>
          <w:rFonts w:hint="default" w:ascii="Times New Roman" w:hAnsi="Times New Roman" w:cs="Times New Roman"/>
          <w:bCs/>
          <w:color w:val="000000" w:themeColor="text1"/>
          <w:szCs w:val="24"/>
          <w:highlight w:val="none"/>
          <w14:textFill>
            <w14:solidFill>
              <w14:schemeClr w14:val="tx1"/>
            </w14:solidFill>
          </w14:textFill>
        </w:rPr>
        <w:t>H</w:t>
      </w:r>
      <w:r>
        <w:rPr>
          <w:rFonts w:hint="default" w:ascii="Times New Roman" w:hAnsi="Times New Roman" w:cs="Times New Roman"/>
          <w:bCs/>
          <w:color w:val="000000" w:themeColor="text1"/>
          <w:szCs w:val="24"/>
          <w:highlight w:val="none"/>
          <w:vertAlign w:val="subscript"/>
          <w14:textFill>
            <w14:solidFill>
              <w14:schemeClr w14:val="tx1"/>
            </w14:solidFill>
          </w14:textFill>
        </w:rPr>
        <w:t>2</w:t>
      </w:r>
      <w:r>
        <w:rPr>
          <w:rFonts w:hint="default" w:ascii="Times New Roman" w:hAnsi="Times New Roman" w:cs="Times New Roman"/>
          <w:bCs/>
          <w:color w:val="000000" w:themeColor="text1"/>
          <w:szCs w:val="24"/>
          <w:highlight w:val="none"/>
          <w14:textFill>
            <w14:solidFill>
              <w14:schemeClr w14:val="tx1"/>
            </w14:solidFill>
          </w14:textFill>
        </w:rPr>
        <w:t>S</w:t>
      </w:r>
      <w:r>
        <w:rPr>
          <w:rFonts w:hint="default" w:ascii="Times New Roman" w:hAnsi="Times New Roman" w:cs="Times New Roman"/>
          <w:bCs/>
          <w:color w:val="000000" w:themeColor="text1"/>
          <w:szCs w:val="24"/>
          <w:highlight w:val="none"/>
          <w:lang w:eastAsia="zh-CN"/>
          <w14:textFill>
            <w14:solidFill>
              <w14:schemeClr w14:val="tx1"/>
            </w14:solidFill>
          </w14:textFill>
        </w:rPr>
        <w:t>泄漏</w:t>
      </w:r>
      <w:r>
        <w:rPr>
          <w:rFonts w:hint="default" w:ascii="Times New Roman" w:hAnsi="Times New Roman" w:cs="Times New Roman"/>
          <w:color w:val="000000" w:themeColor="text1"/>
          <w:szCs w:val="24"/>
          <w:highlight w:val="none"/>
          <w14:textFill>
            <w14:solidFill>
              <w14:schemeClr w14:val="tx1"/>
            </w14:solidFill>
          </w14:textFill>
        </w:rPr>
        <w:t>总量按单井计最大为0.72t，小于其临界量2.5t。钻井阶段现场柴油储存、使用量最大为16t；废油单井产生量约0.7m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，现场采取4个容积为25L的废油收集桶，废油随时回用，废油最大存在量为0.1m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，废油密度约0.85，故废油量最大为0.085t，因此共计油类16.085t，远小于油类物质临界量为2500t。</w:t>
      </w:r>
      <w:bookmarkStart w:id="330" w:name="_Hlk149209123"/>
      <w:r>
        <w:rPr>
          <w:rFonts w:hint="default" w:ascii="Times New Roman" w:hAnsi="Times New Roman" w:cs="Times New Roman"/>
          <w:color w:val="000000" w:themeColor="text1"/>
          <w:szCs w:val="24"/>
          <w:highlight w:val="none"/>
          <w14:textFill>
            <w14:solidFill>
              <w14:schemeClr w14:val="tx1"/>
            </w14:solidFill>
          </w14:textFill>
        </w:rPr>
        <w:t>油基钻井泥浆和油基岩屑，其环境风险主要表现在油基钻井液泄漏环境风险，项目</w:t>
      </w:r>
      <w:r>
        <w:rPr>
          <w:rFonts w:hint="default" w:ascii="Times New Roman" w:hAnsi="Times New Roman" w:cs="Times New Roman"/>
          <w:bCs/>
          <w:color w:val="000000" w:themeColor="text1"/>
          <w:kern w:val="0"/>
          <w:highlight w:val="none"/>
          <w14:textFill>
            <w14:solidFill>
              <w14:schemeClr w14:val="tx1"/>
            </w14:solidFill>
          </w14:textFill>
        </w:rPr>
        <w:t>油基钻井液最大使用量为1360m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，现场最大暂存量约30%，为408m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根据建设单位统计资料油基钻井液密度约为1.2</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1.5t/m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，本次评价保守取1.5t/m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计算得油基泥浆重约612t。</w:t>
      </w:r>
      <w:bookmarkEnd w:id="330"/>
    </w:p>
    <w:p>
      <w:pPr>
        <w:ind w:firstLine="468" w:firstLineChars="195"/>
        <w:rPr>
          <w:rFonts w:hint="default" w:ascii="Times New Roman" w:hAnsi="Times New Roman" w:cs="Times New Roman"/>
          <w:color w:val="000000" w:themeColor="text1"/>
          <w:highlight w:val="none"/>
          <w14:textFill>
            <w14:solidFill>
              <w14:schemeClr w14:val="tx1"/>
            </w14:solidFill>
          </w14:textFill>
        </w:rPr>
      </w:pPr>
      <w:bookmarkStart w:id="331" w:name="_Hlk149209152"/>
      <w:r>
        <w:rPr>
          <w:rFonts w:hint="default" w:ascii="Times New Roman" w:hAnsi="Times New Roman" w:cs="Times New Roman"/>
          <w:color w:val="000000" w:themeColor="text1"/>
          <w:highlight w:val="none"/>
          <w14:textFill>
            <w14:solidFill>
              <w14:schemeClr w14:val="tx1"/>
            </w14:solidFill>
          </w14:textFill>
        </w:rPr>
        <w:t>酸化压裂使用稀盐酸由玻璃钢罐车专业运输车辆拉运至现场使用，每批次约20m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。井场内不再设置储罐暂存，根据预估使用量，分批次运输至井场。现场最大贮存量不超20m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。本项目酸化压裂使用酸液为7%的稀盐酸，根据《企业突发环境</w:t>
      </w:r>
      <w:r>
        <w:rPr>
          <w:rFonts w:hint="default" w:ascii="Times New Roman" w:hAnsi="Times New Roman" w:cs="Times New Roman"/>
          <w:color w:val="000000" w:themeColor="text1"/>
          <w:highlight w:val="none"/>
          <w:lang w:eastAsia="zh-CN"/>
          <w14:textFill>
            <w14:solidFill>
              <w14:schemeClr w14:val="tx1"/>
            </w14:solidFill>
          </w14:textFill>
        </w:rPr>
        <w:t>事件</w:t>
      </w:r>
      <w:r>
        <w:rPr>
          <w:rFonts w:hint="default" w:ascii="Times New Roman" w:hAnsi="Times New Roman" w:cs="Times New Roman"/>
          <w:color w:val="000000" w:themeColor="text1"/>
          <w:highlight w:val="none"/>
          <w14:textFill>
            <w14:solidFill>
              <w14:schemeClr w14:val="tx1"/>
            </w14:solidFill>
          </w14:textFill>
        </w:rPr>
        <w:t>风险分级》（HJ941-2018）中提出“混合或稀释的风险物质按其组分比例折算成纯物质”的原则折算成37%浓度盐酸，同时查表盐酸在37%、温度25℃情况下密度为1.1899t/m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，可计算本项目折算成（37%）盐酸风险物质最大在线量为4.5t。</w:t>
      </w:r>
    </w:p>
    <w:bookmarkEnd w:id="331"/>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试采期：类比川东北地区类似井站经验数据，试采站场工艺设备及管道内天然气在发生事故后可通过截断阀控制，试采期采气设备、管线内单井天然气量约620m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，其中甲烷在线量为0.37t，小于其临界量10t；硫化氢在线量为0.13t，小于其临界量2.5t。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332" w:name="_Ref142859112"/>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bookmarkEnd w:id="332"/>
      <w:r>
        <w:rPr>
          <w:rFonts w:hint="default" w:ascii="Times New Roman" w:hAnsi="Times New Roman" w:cs="Times New Roman"/>
          <w:color w:val="000000" w:themeColor="text1"/>
          <w:highlight w:val="none"/>
          <w14:textFill>
            <w14:solidFill>
              <w14:schemeClr w14:val="tx1"/>
            </w14:solidFill>
          </w14:textFill>
        </w:rPr>
        <w:t xml:space="preserve"> 本项目环境风险物质数量与临界量的比值Q统计表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836"/>
        <w:gridCol w:w="1439"/>
        <w:gridCol w:w="1703"/>
        <w:gridCol w:w="1704"/>
        <w:gridCol w:w="1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restart"/>
            <w:vAlign w:val="center"/>
          </w:tcPr>
          <w:p>
            <w:pPr>
              <w:pStyle w:val="295"/>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钻井施工阶段</w:t>
            </w:r>
          </w:p>
        </w:tc>
        <w:tc>
          <w:tcPr>
            <w:tcW w:w="836"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143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物质</w:t>
            </w:r>
          </w:p>
        </w:tc>
        <w:tc>
          <w:tcPr>
            <w:tcW w:w="1703"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q</w:t>
            </w:r>
            <w:r>
              <w:rPr>
                <w:rFonts w:hint="default" w:ascii="Times New Roman" w:hAnsi="Times New Roman" w:cs="Times New Roman"/>
                <w:b/>
                <w:bCs/>
                <w:color w:val="000000" w:themeColor="text1"/>
                <w:highlight w:val="none"/>
                <w:vertAlign w:val="subscript"/>
                <w14:textFill>
                  <w14:solidFill>
                    <w14:schemeClr w14:val="tx1"/>
                  </w14:solidFill>
                </w14:textFill>
              </w:rPr>
              <w:t>n</w:t>
            </w:r>
            <w:r>
              <w:rPr>
                <w:rFonts w:hint="default" w:ascii="Times New Roman" w:hAnsi="Times New Roman" w:cs="Times New Roman"/>
                <w:b/>
                <w:bCs/>
                <w:color w:val="000000" w:themeColor="text1"/>
                <w:highlight w:val="none"/>
                <w14:textFill>
                  <w14:solidFill>
                    <w14:schemeClr w14:val="tx1"/>
                  </w14:solidFill>
                </w14:textFill>
              </w:rPr>
              <w:t>，储存量，t</w:t>
            </w:r>
          </w:p>
        </w:tc>
        <w:tc>
          <w:tcPr>
            <w:tcW w:w="1704"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Q</w:t>
            </w:r>
            <w:r>
              <w:rPr>
                <w:rFonts w:hint="default" w:ascii="Times New Roman" w:hAnsi="Times New Roman" w:cs="Times New Roman"/>
                <w:b/>
                <w:bCs/>
                <w:color w:val="000000" w:themeColor="text1"/>
                <w:highlight w:val="none"/>
                <w:vertAlign w:val="subscript"/>
                <w14:textFill>
                  <w14:solidFill>
                    <w14:schemeClr w14:val="tx1"/>
                  </w14:solidFill>
                </w14:textFill>
              </w:rPr>
              <w:t>n，</w:t>
            </w:r>
            <w:r>
              <w:rPr>
                <w:rFonts w:hint="default" w:ascii="Times New Roman" w:hAnsi="Times New Roman" w:cs="Times New Roman"/>
                <w:b/>
                <w:bCs/>
                <w:color w:val="000000" w:themeColor="text1"/>
                <w:highlight w:val="none"/>
                <w14:textFill>
                  <w14:solidFill>
                    <w14:schemeClr w14:val="tx1"/>
                  </w14:solidFill>
                </w14:textFill>
              </w:rPr>
              <w:t>临界量，t</w:t>
            </w:r>
          </w:p>
        </w:tc>
        <w:tc>
          <w:tcPr>
            <w:tcW w:w="1703"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3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143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甲烷</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1.69</w:t>
            </w:r>
          </w:p>
        </w:tc>
        <w:tc>
          <w:tcPr>
            <w:tcW w:w="1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1703" w:type="dxa"/>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0.169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3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143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硫化氢</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0.72</w:t>
            </w:r>
          </w:p>
        </w:tc>
        <w:tc>
          <w:tcPr>
            <w:tcW w:w="1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w:t>
            </w:r>
          </w:p>
        </w:tc>
        <w:tc>
          <w:tcPr>
            <w:tcW w:w="1703" w:type="dxa"/>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0.288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3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143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柴油和废油</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16.085</w:t>
            </w:r>
          </w:p>
        </w:tc>
        <w:tc>
          <w:tcPr>
            <w:tcW w:w="1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2500</w:t>
            </w:r>
          </w:p>
        </w:tc>
        <w:tc>
          <w:tcPr>
            <w:tcW w:w="1703" w:type="dxa"/>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0.006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3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143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白油</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40</w:t>
            </w:r>
          </w:p>
        </w:tc>
        <w:tc>
          <w:tcPr>
            <w:tcW w:w="1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2500</w:t>
            </w:r>
          </w:p>
        </w:tc>
        <w:tc>
          <w:tcPr>
            <w:tcW w:w="1703" w:type="dxa"/>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0.016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3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143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油基泥浆</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612</w:t>
            </w:r>
          </w:p>
        </w:tc>
        <w:tc>
          <w:tcPr>
            <w:tcW w:w="1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2500</w:t>
            </w:r>
          </w:p>
        </w:tc>
        <w:tc>
          <w:tcPr>
            <w:tcW w:w="1703" w:type="dxa"/>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0.245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682"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合计</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restart"/>
            <w:vAlign w:val="center"/>
          </w:tcPr>
          <w:p>
            <w:pPr>
              <w:pStyle w:val="295"/>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lang w:eastAsia="zh-CN"/>
                <w14:textFill>
                  <w14:solidFill>
                    <w14:schemeClr w14:val="tx1"/>
                  </w14:solidFill>
                </w14:textFill>
              </w:rPr>
              <w:t>储层改造阶段</w:t>
            </w:r>
          </w:p>
        </w:tc>
        <w:tc>
          <w:tcPr>
            <w:tcW w:w="83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43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盐酸</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4.5</w:t>
            </w:r>
          </w:p>
        </w:tc>
        <w:tc>
          <w:tcPr>
            <w:tcW w:w="1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7.5</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3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143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柴油</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w:t>
            </w:r>
          </w:p>
        </w:tc>
        <w:tc>
          <w:tcPr>
            <w:tcW w:w="1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2500</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0.0064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682"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合计</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0.6064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w:t>
            </w:r>
          </w:p>
        </w:tc>
        <w:tc>
          <w:tcPr>
            <w:tcW w:w="83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序号</w:t>
            </w:r>
          </w:p>
        </w:tc>
        <w:tc>
          <w:tcPr>
            <w:tcW w:w="143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物质</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n</w:t>
            </w:r>
            <w:r>
              <w:rPr>
                <w:rFonts w:hint="default" w:ascii="Times New Roman" w:hAnsi="Times New Roman" w:cs="Times New Roman"/>
                <w:color w:val="000000" w:themeColor="text1"/>
                <w:highlight w:val="none"/>
                <w14:textFill>
                  <w14:solidFill>
                    <w14:schemeClr w14:val="tx1"/>
                  </w14:solidFill>
                </w14:textFill>
              </w:rPr>
              <w:t>，储存量，t</w:t>
            </w:r>
          </w:p>
        </w:tc>
        <w:tc>
          <w:tcPr>
            <w:tcW w:w="1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Q</w:t>
            </w:r>
            <w:r>
              <w:rPr>
                <w:rFonts w:hint="default" w:ascii="Times New Roman" w:hAnsi="Times New Roman" w:cs="Times New Roman"/>
                <w:color w:val="000000" w:themeColor="text1"/>
                <w:highlight w:val="none"/>
                <w:vertAlign w:val="subscript"/>
                <w14:textFill>
                  <w14:solidFill>
                    <w14:schemeClr w14:val="tx1"/>
                  </w14:solidFill>
                </w14:textFill>
              </w:rPr>
              <w:t>n，</w:t>
            </w:r>
            <w:r>
              <w:rPr>
                <w:rFonts w:hint="default" w:ascii="Times New Roman" w:hAnsi="Times New Roman" w:cs="Times New Roman"/>
                <w:color w:val="000000" w:themeColor="text1"/>
                <w:highlight w:val="none"/>
                <w14:textFill>
                  <w14:solidFill>
                    <w14:schemeClr w14:val="tx1"/>
                  </w14:solidFill>
                </w14:textFill>
              </w:rPr>
              <w:t>临界量，t</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3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143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甲烷</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0.37</w:t>
            </w:r>
          </w:p>
        </w:tc>
        <w:tc>
          <w:tcPr>
            <w:tcW w:w="1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1703" w:type="dxa"/>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3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143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硫化氢</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0.13</w:t>
            </w:r>
          </w:p>
        </w:tc>
        <w:tc>
          <w:tcPr>
            <w:tcW w:w="1704"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w:t>
            </w:r>
          </w:p>
        </w:tc>
        <w:tc>
          <w:tcPr>
            <w:tcW w:w="1703" w:type="dxa"/>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682" w:type="dxa"/>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合计</w:t>
            </w:r>
          </w:p>
        </w:tc>
        <w:tc>
          <w:tcPr>
            <w:tcW w:w="170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0.089</w:t>
            </w:r>
          </w:p>
        </w:tc>
      </w:tr>
    </w:tbl>
    <w:p>
      <w:pPr>
        <w:pStyle w:val="250"/>
        <w:ind w:firstLine="480"/>
        <w:rPr>
          <w:rFonts w:hint="default" w:ascii="Times New Roman" w:hAnsi="Times New Roman" w:cs="Times New Roman"/>
          <w:bCs/>
          <w:snapToGrid w:val="0"/>
          <w:color w:val="000000" w:themeColor="text1"/>
          <w:highlight w:val="none"/>
          <w14:textFill>
            <w14:solidFill>
              <w14:schemeClr w14:val="tx1"/>
            </w14:solidFill>
          </w14:textFill>
        </w:rPr>
      </w:pPr>
    </w:p>
    <w:p>
      <w:pPr>
        <w:pStyle w:val="250"/>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snapToGrid w:val="0"/>
          <w:color w:val="000000" w:themeColor="text1"/>
          <w:highlight w:val="none"/>
          <w14:textFill>
            <w14:solidFill>
              <w14:schemeClr w14:val="tx1"/>
            </w14:solidFill>
          </w14:textFill>
        </w:rPr>
        <w:t>根据</w:t>
      </w:r>
      <w:r>
        <w:rPr>
          <w:rFonts w:hint="default" w:ascii="Times New Roman" w:hAnsi="Times New Roman" w:cs="Times New Roman"/>
          <w:bCs/>
          <w:snapToGrid w:val="0"/>
          <w:color w:val="000000" w:themeColor="text1"/>
          <w:highlight w:val="none"/>
          <w14:textFill>
            <w14:solidFill>
              <w14:schemeClr w14:val="tx1"/>
            </w14:solidFill>
          </w14:textFill>
        </w:rPr>
        <w:fldChar w:fldCharType="begin"/>
      </w:r>
      <w:r>
        <w:rPr>
          <w:rFonts w:hint="default" w:ascii="Times New Roman" w:hAnsi="Times New Roman" w:cs="Times New Roman"/>
          <w:bCs/>
          <w:snapToGrid w:val="0"/>
          <w:color w:val="000000" w:themeColor="text1"/>
          <w:highlight w:val="none"/>
          <w14:textFill>
            <w14:solidFill>
              <w14:schemeClr w14:val="tx1"/>
            </w14:solidFill>
          </w14:textFill>
        </w:rPr>
        <w:instrText xml:space="preserve"> REF _Ref142859112 \h  \* MERGEFORMAT </w:instrText>
      </w:r>
      <w:r>
        <w:rPr>
          <w:rFonts w:hint="default" w:ascii="Times New Roman" w:hAnsi="Times New Roman" w:cs="Times New Roman"/>
          <w:bCs/>
          <w:snapToGrid w:val="0"/>
          <w:color w:val="000000" w:themeColor="text1"/>
          <w:highlight w:val="none"/>
          <w14:textFill>
            <w14:solidFill>
              <w14:schemeClr w14:val="tx1"/>
            </w14:solidFill>
          </w14:textFill>
        </w:rPr>
        <w:fldChar w:fldCharType="separate"/>
      </w:r>
      <w:r>
        <w:rPr>
          <w:rFonts w:hint="default" w:ascii="Times New Roman" w:hAnsi="Times New Roman" w:cs="Times New Roman"/>
          <w:bCs/>
          <w:snapToGrid w:val="0"/>
          <w:color w:val="000000" w:themeColor="text1"/>
          <w:highlight w:val="none"/>
          <w14:textFill>
            <w14:solidFill>
              <w14:schemeClr w14:val="tx1"/>
            </w14:solidFill>
          </w14:textFill>
        </w:rPr>
        <w:t>表6.1</w:t>
      </w:r>
      <w:r>
        <w:rPr>
          <w:rFonts w:hint="default" w:ascii="Times New Roman" w:hAnsi="Times New Roman" w:cs="Times New Roman"/>
          <w:bCs/>
          <w:snapToGrid w:val="0"/>
          <w:color w:val="000000" w:themeColor="text1"/>
          <w:highlight w:val="none"/>
          <w14:textFill>
            <w14:solidFill>
              <w14:schemeClr w14:val="tx1"/>
            </w14:solidFill>
          </w14:textFill>
        </w:rPr>
        <w:noBreakHyphen/>
      </w:r>
      <w:r>
        <w:rPr>
          <w:rFonts w:hint="default" w:ascii="Times New Roman" w:hAnsi="Times New Roman" w:cs="Times New Roman"/>
          <w:bCs/>
          <w:snapToGrid w:val="0"/>
          <w:color w:val="000000" w:themeColor="text1"/>
          <w:highlight w:val="none"/>
          <w14:textFill>
            <w14:solidFill>
              <w14:schemeClr w14:val="tx1"/>
            </w14:solidFill>
          </w14:textFill>
        </w:rPr>
        <w:t>6</w:t>
      </w:r>
      <w:r>
        <w:rPr>
          <w:rFonts w:hint="default" w:ascii="Times New Roman" w:hAnsi="Times New Roman" w:cs="Times New Roman"/>
          <w:bCs/>
          <w:snapToGrid w:val="0"/>
          <w:color w:val="000000" w:themeColor="text1"/>
          <w:highlight w:val="none"/>
          <w14:textFill>
            <w14:solidFill>
              <w14:schemeClr w14:val="tx1"/>
            </w14:solidFill>
          </w14:textFill>
        </w:rPr>
        <w:fldChar w:fldCharType="end"/>
      </w:r>
      <w:r>
        <w:rPr>
          <w:rFonts w:hint="default" w:ascii="Times New Roman" w:hAnsi="Times New Roman" w:cs="Times New Roman"/>
          <w:bCs/>
          <w:snapToGrid w:val="0"/>
          <w:color w:val="000000" w:themeColor="text1"/>
          <w:highlight w:val="none"/>
          <w14:textFill>
            <w14:solidFill>
              <w14:schemeClr w14:val="tx1"/>
            </w14:solidFill>
          </w14:textFill>
        </w:rPr>
        <w:t>计算可知，</w:t>
      </w:r>
      <w:bookmarkStart w:id="333" w:name="_Hlk149209482"/>
      <w:r>
        <w:rPr>
          <w:rFonts w:hint="default" w:ascii="Times New Roman" w:hAnsi="Times New Roman" w:cs="Times New Roman"/>
          <w:bCs/>
          <w:snapToGrid w:val="0"/>
          <w:color w:val="000000" w:themeColor="text1"/>
          <w:highlight w:val="none"/>
          <w14:textFill>
            <w14:solidFill>
              <w14:schemeClr w14:val="tx1"/>
            </w14:solidFill>
          </w14:textFill>
        </w:rPr>
        <w:t>企业的主要危险物质：</w:t>
      </w:r>
      <w:bookmarkEnd w:id="333"/>
      <w:r>
        <w:rPr>
          <w:rFonts w:hint="default" w:ascii="Times New Roman" w:hAnsi="Times New Roman" w:cs="Times New Roman"/>
          <w:bCs/>
          <w:snapToGrid w:val="0"/>
          <w:color w:val="000000" w:themeColor="text1"/>
          <w:highlight w:val="none"/>
          <w14:textFill>
            <w14:solidFill>
              <w14:schemeClr w14:val="tx1"/>
            </w14:solidFill>
          </w14:textFill>
        </w:rPr>
        <w:t>施工期</w:t>
      </w:r>
      <w:r>
        <w:rPr>
          <w:rFonts w:hint="default" w:ascii="Times New Roman" w:hAnsi="Times New Roman" w:cs="Times New Roman"/>
          <w:bCs/>
          <w:snapToGrid w:val="0"/>
          <w:color w:val="000000" w:themeColor="text1"/>
          <w:highlight w:val="none"/>
          <w:lang w:eastAsia="zh-CN"/>
          <w14:textFill>
            <w14:solidFill>
              <w14:schemeClr w14:val="tx1"/>
            </w14:solidFill>
          </w14:textFill>
        </w:rPr>
        <w:t>（</w:t>
      </w:r>
      <w:r>
        <w:rPr>
          <w:rFonts w:hint="default" w:ascii="Times New Roman" w:hAnsi="Times New Roman" w:cs="Times New Roman"/>
          <w:bCs/>
          <w:snapToGrid w:val="0"/>
          <w:color w:val="000000" w:themeColor="text1"/>
          <w:highlight w:val="none"/>
          <w:lang w:val="en-US" w:eastAsia="zh-CN"/>
          <w14:textFill>
            <w14:solidFill>
              <w14:schemeClr w14:val="tx1"/>
            </w14:solidFill>
          </w14:textFill>
        </w:rPr>
        <w:t>钻井施工阶段）的</w:t>
      </w:r>
      <w:r>
        <w:rPr>
          <w:rFonts w:hint="default" w:ascii="Times New Roman" w:hAnsi="Times New Roman" w:cs="Times New Roman"/>
          <w:bCs/>
          <w:snapToGrid w:val="0"/>
          <w:color w:val="000000" w:themeColor="text1"/>
          <w:highlight w:val="none"/>
          <w14:textFill>
            <w14:solidFill>
              <w14:schemeClr w14:val="tx1"/>
            </w14:solidFill>
          </w14:textFill>
        </w:rPr>
        <w:t>天然气所含的甲烷、硫化氢和油类物质的Q值计算结果为0.724，Q值＜1；</w:t>
      </w:r>
      <w:r>
        <w:rPr>
          <w:rFonts w:hint="default" w:ascii="Times New Roman" w:hAnsi="Times New Roman" w:cs="Times New Roman"/>
          <w:bCs/>
          <w:snapToGrid w:val="0"/>
          <w:color w:val="000000" w:themeColor="text1"/>
          <w:highlight w:val="none"/>
          <w:lang w:val="en-US" w:eastAsia="zh-CN"/>
          <w14:textFill>
            <w14:solidFill>
              <w14:schemeClr w14:val="tx1"/>
            </w14:solidFill>
          </w14:textFill>
        </w:rPr>
        <w:t>施工期（储层改造</w:t>
      </w:r>
      <w:r>
        <w:rPr>
          <w:rFonts w:hint="default" w:ascii="Times New Roman" w:hAnsi="Times New Roman" w:cs="Times New Roman"/>
          <w:bCs/>
          <w:snapToGrid w:val="0"/>
          <w:color w:val="000000" w:themeColor="text1"/>
          <w:highlight w:val="none"/>
          <w14:textFill>
            <w14:solidFill>
              <w14:schemeClr w14:val="tx1"/>
            </w14:solidFill>
          </w14:textFill>
        </w:rPr>
        <w:t>阶段</w:t>
      </w:r>
      <w:r>
        <w:rPr>
          <w:rFonts w:hint="default" w:ascii="Times New Roman" w:hAnsi="Times New Roman" w:cs="Times New Roman"/>
          <w:bCs/>
          <w:snapToGrid w:val="0"/>
          <w:color w:val="000000" w:themeColor="text1"/>
          <w:highlight w:val="none"/>
          <w:lang w:eastAsia="zh-CN"/>
          <w14:textFill>
            <w14:solidFill>
              <w14:schemeClr w14:val="tx1"/>
            </w14:solidFill>
          </w14:textFill>
        </w:rPr>
        <w:t>）</w:t>
      </w:r>
      <w:r>
        <w:rPr>
          <w:rFonts w:hint="default" w:ascii="Times New Roman" w:hAnsi="Times New Roman" w:cs="Times New Roman"/>
          <w:bCs/>
          <w:snapToGrid w:val="0"/>
          <w:color w:val="000000" w:themeColor="text1"/>
          <w:highlight w:val="none"/>
          <w14:textFill>
            <w14:solidFill>
              <w14:schemeClr w14:val="tx1"/>
            </w14:solidFill>
          </w14:textFill>
        </w:rPr>
        <w:t>的风险物质</w:t>
      </w:r>
      <w:r>
        <w:rPr>
          <w:rFonts w:hint="default" w:ascii="Times New Roman" w:hAnsi="Times New Roman" w:cs="Times New Roman"/>
          <w:color w:val="000000" w:themeColor="text1"/>
          <w:highlight w:val="none"/>
          <w14:textFill>
            <w14:solidFill>
              <w14:schemeClr w14:val="tx1"/>
            </w14:solidFill>
          </w14:textFill>
        </w:rPr>
        <w:t>37%浓度盐酸和柴油的</w:t>
      </w:r>
      <w:r>
        <w:rPr>
          <w:rFonts w:hint="default" w:ascii="Times New Roman" w:hAnsi="Times New Roman" w:cs="Times New Roman"/>
          <w:bCs/>
          <w:snapToGrid w:val="0"/>
          <w:color w:val="000000" w:themeColor="text1"/>
          <w:highlight w:val="none"/>
          <w14:textFill>
            <w14:solidFill>
              <w14:schemeClr w14:val="tx1"/>
            </w14:solidFill>
          </w14:textFill>
        </w:rPr>
        <w:t>Q值计算结果为0.6064，Q值＜1；试采期天然气所含的甲烷和硫化氢的Q值计算结果为0.089，Q值＜1。</w:t>
      </w:r>
      <w:r>
        <w:rPr>
          <w:rFonts w:hint="default" w:ascii="Times New Roman" w:hAnsi="Times New Roman" w:cs="Times New Roman"/>
          <w:b w:val="0"/>
          <w:bCs w:val="0"/>
          <w:color w:val="000000" w:themeColor="text1"/>
          <w:highlight w:val="none"/>
          <w:lang w:val="en-US" w:eastAsia="zh-CN"/>
          <w14:textFill>
            <w14:solidFill>
              <w14:schemeClr w14:val="tx1"/>
            </w14:solidFill>
          </w14:textFill>
        </w:rPr>
        <w:t>本项目各阶段对应的</w:t>
      </w:r>
      <w:r>
        <w:rPr>
          <w:rFonts w:hint="default" w:ascii="Times New Roman" w:hAnsi="Times New Roman" w:cs="Times New Roman"/>
          <w:b w:val="0"/>
          <w:bCs w:val="0"/>
          <w:color w:val="000000" w:themeColor="text1"/>
          <w:szCs w:val="24"/>
          <w:highlight w:val="none"/>
          <w:lang w:val="zh-CN"/>
          <w14:textFill>
            <w14:solidFill>
              <w14:schemeClr w14:val="tx1"/>
            </w14:solidFill>
          </w14:textFill>
        </w:rPr>
        <w:t>危险物质数量与临界量的比值（Q）</w:t>
      </w:r>
      <w:r>
        <w:rPr>
          <w:rFonts w:hint="default" w:ascii="Times New Roman" w:hAnsi="Times New Roman" w:cs="Times New Roman"/>
          <w:b w:val="0"/>
          <w:bCs w:val="0"/>
          <w:color w:val="000000" w:themeColor="text1"/>
          <w:szCs w:val="24"/>
          <w:highlight w:val="none"/>
          <w:lang w:val="en-US" w:eastAsia="zh-CN"/>
          <w14:textFill>
            <w14:solidFill>
              <w14:schemeClr w14:val="tx1"/>
            </w14:solidFill>
          </w14:textFill>
        </w:rPr>
        <w:t>均小于1，项目</w:t>
      </w:r>
      <w:r>
        <w:rPr>
          <w:rFonts w:hint="default" w:ascii="Times New Roman" w:hAnsi="Times New Roman" w:cs="Times New Roman"/>
          <w:b w:val="0"/>
          <w:bCs w:val="0"/>
          <w:color w:val="000000" w:themeColor="text1"/>
          <w:highlight w:val="none"/>
          <w14:textFill>
            <w14:solidFill>
              <w14:schemeClr w14:val="tx1"/>
            </w14:solidFill>
          </w14:textFill>
        </w:rPr>
        <w:t>环境风险潜势为I。</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334" w:name="_Toc120173173"/>
      <w:r>
        <w:rPr>
          <w:rFonts w:hint="default" w:ascii="Times New Roman" w:hAnsi="Times New Roman" w:cs="Times New Roman"/>
          <w:color w:val="000000" w:themeColor="text1"/>
          <w:highlight w:val="none"/>
          <w:lang w:eastAsia="zh-CN"/>
          <w14:textFill>
            <w14:solidFill>
              <w14:schemeClr w14:val="tx1"/>
            </w14:solidFill>
          </w14:textFill>
        </w:rPr>
        <w:t>评价工作等级</w:t>
      </w:r>
      <w:bookmarkEnd w:id="334"/>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评价等级根据《建设项目环境风险评价技术导则》（HJ169-2018）评价等级划分原则，建设项目环境风险评价工作等级判定标准表见</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_Ref142859136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表6.1</w:t>
      </w:r>
      <w:r>
        <w:rPr>
          <w:rFonts w:hint="default" w:ascii="Times New Roman" w:hAnsi="Times New Roman" w:cs="Times New Roman"/>
          <w:bCs/>
          <w:color w:val="000000" w:themeColor="text1"/>
          <w:kern w:val="2"/>
          <w:highlight w:val="none"/>
          <w:lang w:eastAsia="zh-CN"/>
          <w14:textFill>
            <w14:solidFill>
              <w14:schemeClr w14:val="tx1"/>
            </w14:solidFill>
          </w14:textFill>
        </w:rPr>
        <w:noBreakHyphen/>
      </w:r>
      <w:r>
        <w:rPr>
          <w:rFonts w:hint="default" w:ascii="Times New Roman" w:hAnsi="Times New Roman" w:cs="Times New Roman"/>
          <w:bCs/>
          <w:color w:val="000000" w:themeColor="text1"/>
          <w:kern w:val="2"/>
          <w:highlight w:val="none"/>
          <w:lang w:eastAsia="zh-CN"/>
          <w14:textFill>
            <w14:solidFill>
              <w14:schemeClr w14:val="tx1"/>
            </w14:solidFill>
          </w14:textFill>
        </w:rPr>
        <w:t>7</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335" w:name="_Ref142859136"/>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fldChar w:fldCharType="end"/>
      </w:r>
      <w:bookmarkEnd w:id="335"/>
      <w:r>
        <w:rPr>
          <w:rFonts w:hint="default" w:ascii="Times New Roman" w:hAnsi="Times New Roman" w:cs="Times New Roman"/>
          <w:color w:val="000000" w:themeColor="text1"/>
          <w:highlight w:val="none"/>
          <w14:textFill>
            <w14:solidFill>
              <w14:schemeClr w14:val="tx1"/>
            </w14:solidFill>
          </w14:textFill>
        </w:rPr>
        <w:t xml:space="preserve"> 项目环境风险评价分级判定</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586"/>
        <w:gridCol w:w="1601"/>
        <w:gridCol w:w="1916"/>
        <w:gridCol w:w="1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环境风险潜势</w:t>
            </w:r>
          </w:p>
        </w:tc>
        <w:tc>
          <w:tcPr>
            <w:tcW w:w="15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Ⅳ、Ⅴ</w:t>
            </w:r>
            <w:r>
              <w:rPr>
                <w:rFonts w:hint="default" w:ascii="Times New Roman" w:hAnsi="Times New Roman" w:cs="Times New Roman"/>
                <w:color w:val="000000" w:themeColor="text1"/>
                <w:highlight w:val="none"/>
                <w:vertAlign w:val="superscript"/>
                <w14:textFill>
                  <w14:solidFill>
                    <w14:schemeClr w14:val="tx1"/>
                  </w14:solidFill>
                </w14:textFill>
              </w:rPr>
              <w:t>+</w:t>
            </w:r>
          </w:p>
        </w:tc>
        <w:tc>
          <w:tcPr>
            <w:tcW w:w="16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Ⅲ</w:t>
            </w:r>
          </w:p>
        </w:tc>
        <w:tc>
          <w:tcPr>
            <w:tcW w:w="191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Ⅱ</w:t>
            </w:r>
          </w:p>
        </w:tc>
        <w:tc>
          <w:tcPr>
            <w:tcW w:w="1564" w:type="dxa"/>
            <w:vAlign w:val="center"/>
          </w:tcPr>
          <w:p>
            <w:pPr>
              <w:pStyle w:val="295"/>
              <w:rPr>
                <w:rFonts w:hint="default" w:ascii="Times New Roman" w:hAnsi="Times New Roman" w:cs="Times New Roman"/>
                <w:color w:val="000000" w:themeColor="text1"/>
                <w:highlight w:val="none"/>
                <w:shd w:val="pct10" w:color="auto" w:fill="FFFFFF"/>
                <w14:textFill>
                  <w14:solidFill>
                    <w14:schemeClr w14:val="tx1"/>
                  </w14:solidFill>
                </w14:textFill>
              </w:rPr>
            </w:pPr>
            <w:r>
              <w:rPr>
                <w:rFonts w:hint="default" w:ascii="Times New Roman" w:hAnsi="Times New Roman" w:cs="Times New Roman"/>
                <w:color w:val="000000" w:themeColor="text1"/>
                <w:highlight w:val="none"/>
                <w:shd w:val="pct10" w:color="auto" w:fill="FFFFFF"/>
                <w14:textFill>
                  <w14:solidFill>
                    <w14:schemeClr w14:val="tx1"/>
                  </w14:solidFill>
                </w14:textFill>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评价工作等级</w:t>
            </w:r>
          </w:p>
        </w:tc>
        <w:tc>
          <w:tcPr>
            <w:tcW w:w="15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w:t>
            </w:r>
          </w:p>
        </w:tc>
        <w:tc>
          <w:tcPr>
            <w:tcW w:w="16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w:t>
            </w:r>
          </w:p>
        </w:tc>
        <w:tc>
          <w:tcPr>
            <w:tcW w:w="191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w:t>
            </w:r>
          </w:p>
        </w:tc>
        <w:tc>
          <w:tcPr>
            <w:tcW w:w="1564" w:type="dxa"/>
            <w:vAlign w:val="center"/>
          </w:tcPr>
          <w:p>
            <w:pPr>
              <w:pStyle w:val="295"/>
              <w:rPr>
                <w:rFonts w:hint="default" w:ascii="Times New Roman" w:hAnsi="Times New Roman" w:cs="Times New Roman"/>
                <w:color w:val="000000" w:themeColor="text1"/>
                <w:highlight w:val="none"/>
                <w:shd w:val="pct10" w:color="auto" w:fill="FFFFFF"/>
                <w14:textFill>
                  <w14:solidFill>
                    <w14:schemeClr w14:val="tx1"/>
                  </w14:solidFill>
                </w14:textFill>
              </w:rPr>
            </w:pPr>
            <w:r>
              <w:rPr>
                <w:rFonts w:hint="default" w:ascii="Times New Roman" w:hAnsi="Times New Roman" w:cs="Times New Roman"/>
                <w:color w:val="000000" w:themeColor="text1"/>
                <w:highlight w:val="none"/>
                <w:shd w:val="pct10" w:color="auto" w:fill="FFFFFF"/>
                <w14:textFill>
                  <w14:solidFill>
                    <w14:schemeClr w14:val="tx1"/>
                  </w14:solidFill>
                </w14:textFill>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2" w:type="dxa"/>
            <w:gridSpan w:val="5"/>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a 是相对于详细评价工作内容而言，在描述危险物质、环境影响途径、环境危害后果、</w:t>
            </w:r>
          </w:p>
          <w:p>
            <w:pPr>
              <w:pStyle w:val="295"/>
              <w:rPr>
                <w:rFonts w:hint="default" w:ascii="Times New Roman" w:hAnsi="Times New Roman" w:cs="Times New Roman"/>
                <w:color w:val="000000" w:themeColor="text1"/>
                <w:highlight w:val="none"/>
                <w:shd w:val="pct10" w:color="auto" w:fill="FFFFFF"/>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风险防范措施等方面给出定性的说明。</w:t>
            </w:r>
          </w:p>
        </w:tc>
      </w:tr>
    </w:tbl>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本项目为天然气钻井及试采工程，其风险潜势判定为Ⅰ，则其环境风险评价等级为“简单分析”。</w:t>
      </w:r>
    </w:p>
    <w:p>
      <w:pPr>
        <w:pStyle w:val="21"/>
        <w:spacing w:before="0"/>
        <w:ind w:left="0" w:firstLine="482"/>
        <w:jc w:val="both"/>
        <w:rPr>
          <w:rFonts w:hint="default" w:ascii="Times New Roman" w:hAnsi="Times New Roman" w:cs="Times New Roman"/>
          <w:b/>
          <w:color w:val="000000" w:themeColor="text1"/>
          <w:highlight w:val="none"/>
          <w:lang w:eastAsia="zh-CN"/>
          <w14:textFill>
            <w14:solidFill>
              <w14:schemeClr w14:val="tx1"/>
            </w14:solidFill>
          </w14:textFill>
        </w:rPr>
      </w:pPr>
      <w:r>
        <w:rPr>
          <w:rFonts w:hint="default" w:ascii="Times New Roman" w:hAnsi="Times New Roman" w:cs="Times New Roman"/>
          <w:b/>
          <w:color w:val="000000" w:themeColor="text1"/>
          <w:highlight w:val="none"/>
          <w:lang w:eastAsia="zh-CN"/>
          <w14:textFill>
            <w14:solidFill>
              <w14:schemeClr w14:val="tx1"/>
            </w14:solidFill>
          </w14:textFill>
        </w:rPr>
        <w:t xml:space="preserve"> 但考虑到硫化氢毒性较大，一旦发生井喷事故后对环境空气影响较大，进而会对周边居民生命财产安全造成影响，因此本次评价将环境风险评价等级中的大气环境定为二级，地下水环境、地表水环境仍简单分析，因此本项目整体环境风险评价等级确定为二级。</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336" w:name="5.3.2环境敏感目标概况"/>
      <w:bookmarkEnd w:id="336"/>
      <w:bookmarkStart w:id="337" w:name="_Toc28695"/>
      <w:r>
        <w:rPr>
          <w:rFonts w:hint="default" w:ascii="Times New Roman" w:hAnsi="Times New Roman" w:cs="Times New Roman"/>
          <w:color w:val="000000" w:themeColor="text1"/>
          <w:highlight w:val="none"/>
          <w:lang w:eastAsia="zh-CN"/>
          <w14:textFill>
            <w14:solidFill>
              <w14:schemeClr w14:val="tx1"/>
            </w14:solidFill>
          </w14:textFill>
        </w:rPr>
        <w:t>环境敏感目标概况</w:t>
      </w:r>
      <w:bookmarkEnd w:id="337"/>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highlight w:val="none"/>
          <w:lang w:eastAsia="zh-CN"/>
          <w14:textFill>
            <w14:solidFill>
              <w14:schemeClr w14:val="tx1"/>
            </w14:solidFill>
          </w14:textFill>
        </w:rPr>
        <w:t>考虑本项目为含硫天然气井，若发生井喷事故后对周边居民影响较大，根据后文预测，本项目设置了大气环境风险影响评价范围为距井口5km范围内居民，敏感目标见后文</w:t>
      </w:r>
      <w:r>
        <w:rPr>
          <w:rFonts w:hint="default" w:ascii="Times New Roman" w:hAnsi="Times New Roman" w:cs="Times New Roman"/>
          <w:bCs/>
          <w:color w:val="000000" w:themeColor="text1"/>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highlight w:val="none"/>
          <w:lang w:eastAsia="zh-CN"/>
          <w14:textFill>
            <w14:solidFill>
              <w14:schemeClr w14:val="tx1"/>
            </w14:solidFill>
          </w14:textFill>
        </w:rPr>
        <w:instrText xml:space="preserve"> REF _Ref142859160 \h  \* MERGEFORMAT </w:instrText>
      </w:r>
      <w:r>
        <w:rPr>
          <w:rFonts w:hint="default" w:ascii="Times New Roman" w:hAnsi="Times New Roman" w:cs="Times New Roman"/>
          <w:bCs/>
          <w:color w:val="000000" w:themeColor="text1"/>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highlight w:val="none"/>
          <w:lang w:eastAsia="zh-CN"/>
          <w14:textFill>
            <w14:solidFill>
              <w14:schemeClr w14:val="tx1"/>
            </w14:solidFill>
          </w14:textFill>
        </w:rPr>
        <w:t>表6.4</w:t>
      </w:r>
      <w:r>
        <w:rPr>
          <w:rFonts w:hint="default" w:ascii="Times New Roman" w:hAnsi="Times New Roman" w:cs="Times New Roman"/>
          <w:bCs/>
          <w:color w:val="000000" w:themeColor="text1"/>
          <w:highlight w:val="none"/>
          <w:lang w:eastAsia="zh-CN"/>
          <w14:textFill>
            <w14:solidFill>
              <w14:schemeClr w14:val="tx1"/>
            </w14:solidFill>
          </w14:textFill>
        </w:rPr>
        <w:noBreakHyphen/>
      </w:r>
      <w:r>
        <w:rPr>
          <w:rFonts w:hint="default" w:ascii="Times New Roman" w:hAnsi="Times New Roman" w:cs="Times New Roman"/>
          <w:bCs/>
          <w:color w:val="000000" w:themeColor="text1"/>
          <w:highlight w:val="none"/>
          <w:lang w:eastAsia="zh-CN"/>
          <w14:textFill>
            <w14:solidFill>
              <w14:schemeClr w14:val="tx1"/>
            </w14:solidFill>
          </w14:textFill>
        </w:rPr>
        <w:t>3</w:t>
      </w:r>
      <w:r>
        <w:rPr>
          <w:rFonts w:hint="default" w:ascii="Times New Roman" w:hAnsi="Times New Roman" w:cs="Times New Roman"/>
          <w:bCs/>
          <w:color w:val="000000" w:themeColor="text1"/>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highlight w:val="none"/>
          <w:lang w:eastAsia="zh-CN"/>
          <w14:textFill>
            <w14:solidFill>
              <w14:schemeClr w14:val="tx1"/>
            </w14:solidFill>
          </w14:textFill>
        </w:rPr>
        <w:t>。</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338" w:name="_Toc1189"/>
      <w:r>
        <w:rPr>
          <w:rFonts w:hint="default" w:ascii="Times New Roman" w:hAnsi="Times New Roman" w:cs="Times New Roman"/>
          <w:color w:val="000000" w:themeColor="text1"/>
          <w:highlight w:val="none"/>
          <w:lang w:eastAsia="zh-CN"/>
          <w14:textFill>
            <w14:solidFill>
              <w14:schemeClr w14:val="tx1"/>
            </w14:solidFill>
          </w14:textFill>
        </w:rPr>
        <w:t>环境风险识别</w:t>
      </w:r>
      <w:bookmarkEnd w:id="338"/>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339" w:name="_Toc120173176"/>
      <w:r>
        <w:rPr>
          <w:rFonts w:hint="default" w:ascii="Times New Roman" w:hAnsi="Times New Roman" w:cs="Times New Roman"/>
          <w:color w:val="000000" w:themeColor="text1"/>
          <w:highlight w:val="none"/>
          <w:lang w:eastAsia="zh-CN"/>
          <w14:textFill>
            <w14:solidFill>
              <w14:schemeClr w14:val="tx1"/>
            </w14:solidFill>
          </w14:textFill>
        </w:rPr>
        <w:t>物质危险性识别</w:t>
      </w:r>
      <w:bookmarkEnd w:id="339"/>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本项目生产过程中涉及的危险物质有天然气、天然气中的硫化氢、甲烷、天然气燃烧后的二氧化硫、二氧化碳、柴油、钻井废水、压裂液及返排液、废油和气田水（含初期压裂返排液）等，具体见“6.1 评价依据”章节内容。本项目涉及的主要危险物质包括CH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（易燃易爆）、H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S和油类物质等。</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340" w:name="_Toc120173177"/>
      <w:r>
        <w:rPr>
          <w:rFonts w:hint="default" w:ascii="Times New Roman" w:hAnsi="Times New Roman" w:cs="Times New Roman"/>
          <w:color w:val="000000" w:themeColor="text1"/>
          <w:highlight w:val="none"/>
          <w:lang w:eastAsia="zh-CN"/>
          <w14:textFill>
            <w14:solidFill>
              <w14:schemeClr w14:val="tx1"/>
            </w14:solidFill>
          </w14:textFill>
        </w:rPr>
        <w:t>生产系统风险识别</w:t>
      </w:r>
      <w:bookmarkEnd w:id="340"/>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（1）井喷失控造成天然气释放</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钻井过程中遇到地下气、水层时，气或水窜进井内的泥浆里，加快了泥浆流动和循环的速度，如果井底压力小于地层压力，地层流体将进入井筒并推动泥浆外溢，即发生溢流。此时如果对地下气压平衡控制不当，不能及时控制溢流，会造成气、水或其混合物沿着环形空间迅速喷到地面，即发生井喷。井喷后会有大量的天然气逸散到空气中，对周围的环境空气造成一定的影响。</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导致井喷失控的主要因素涉及以下几个方面：</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①地层压力：当钻井钻至高压气层期间，由于对地层压力预测不准，出现异常超压情况，如果操作处置失当，将导致井口装置和井控汇管失控发生井喷失控事故。</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②遇山洪、地震、滑坡等自然灾害，导致井口所在地地层位移甚至塌陷损坏井控装置，导致井喷失控事故。这类事故目前还未见报道。</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③压井泥浆密度偏低，不能满足压井要求。</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④操作因素：当出现井喷前兆，如泥浆溢流、泥浆井涌等现象，作业人员未及时发现或采取有效的控制措施，从而可能导致井喷。</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典型事故案例：</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1976年赵1井井喷事故：发生于钻进过程，3人死亡，6人中毒。事故原因：无井控制度、无防喷设备、未储备重型泥浆材料、无H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S防护装备。</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1992年龙会2井井喷事故：发生于钻进过程。事故原因：对地层高压认识不足而钻井液密度偏低、发现溢流不及时、井控装置质量不合格（设计压力35MPa，防喷器半封闸板芯子在套压28MPa时损坏且无备用件）。</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1994年赵48井井喷事故：发生于射孔过程，井喷时间18h20min，6人死亡，24人中度中毒。事故原因：该井为预探井，未预见气藏含H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S，井下工具不抗硫。</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1995年渡1井井喷事故：发生于钻进过程，天然气H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S含量231.93g/m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发生多位员工中毒，但未造成抢险人员及周围村民死亡。事故原因：钻井液密度低于设计值、关井处置措施不当、储备的加重钻井液粘切过高、回压阀堵塞（无内防喷工具）、防喷器与防喷闸门压力等级不匹配（防喷器70MPa，上四通缩内控闸门35MPa）。</w:t>
      </w:r>
    </w:p>
    <w:p>
      <w:pPr>
        <w:pStyle w:val="12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2003年罗家16H井井喷事故：发生于起、下钻过程，H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S含量约9.46%，（134.4g/m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人员伤亡严重。事故原因：坐岗制度不落实未及时发现气侵和溢流、起钻时未按井控要求及时灌注钻井液、未按要求安装回压阀无法实现内防喷、无剪切闸板防喷器而全封防喷器不能剪断钻杆控制井口，高含硫天然气喷出且未点火，持续了约18h。造成严重的人员伤亡。</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2006年罗家2井复杂井漏事故：发生于修井作业过程，通过放喷点火卸压，及时疏散人群，未造成人员伤亡。事故主要原因：固井质量缺陷。</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（2）井漏导致泥浆泄漏</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当井下泥浆压力大于地层压力会发生井漏事故；水平井钻井液密度选择范围变小，容易出现井漏和井塌或者钻遇到大面积裂缝发育带容易发生严重井漏、井喷；固井施工中可能会因水泥浆对漏失层强烈的挤压作用发生漏失等。井漏如果发生在含水层，则泄漏的泥浆可能会污染含水层。</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（3）油类物质泄漏</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柴油和废油等油类物质在使用、储运过程中的风险主要来自于油罐、油桶自身缺陷、人员误操作、老化等造成的泄漏以及外部破坏产生的事故，包括人为破坏及洪水、地震等不可抗拒因素。油类物质泄漏可能污染土壤、地表水和地下水，对生态环境和社会影响很大，也可能引起火灾爆炸，造成人员伤亡及财产损失。</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（4）钻井液、压裂液泄漏</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钻井泥浆、压裂液在施工过程中的泄漏风险主要来自设备老化、管道破损或人员误操作等造成的泄漏以及外部破坏产生的事故，包括人为破坏及洪水、地震等不可抗拒因素。钻井泥浆、压裂液泄漏可能污染地表水、地下水及土壤，影响农作物生长发育和产量。</w:t>
      </w:r>
    </w:p>
    <w:p>
      <w:pPr>
        <w:pStyle w:val="21"/>
        <w:spacing w:before="0"/>
        <w:ind w:left="0" w:firstLine="482"/>
        <w:jc w:val="both"/>
        <w:rPr>
          <w:rFonts w:hint="default" w:ascii="Times New Roman" w:hAnsi="Times New Roman" w:cs="Times New Roman"/>
          <w:b/>
          <w:bCs/>
          <w:color w:val="000000" w:themeColor="text1"/>
          <w:kern w:val="2"/>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kern w:val="2"/>
          <w:highlight w:val="none"/>
          <w:lang w:eastAsia="zh-CN"/>
          <w14:textFill>
            <w14:solidFill>
              <w14:schemeClr w14:val="tx1"/>
            </w14:solidFill>
          </w14:textFill>
        </w:rPr>
        <w:t>5）井场、站场废水泄漏</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项目废水泄漏包括钻井期废水收集设施泄漏，试采期站场污水罐泄漏。废水泄漏原因可能为罐体老化、管道破损或人为破坏及洪水、地震等不可抗拒因素。泄漏废水可能污染地表水、地下水及土壤，影响农作物生长发育和产量。</w:t>
      </w:r>
    </w:p>
    <w:p>
      <w:pPr>
        <w:ind w:firstLine="470" w:firstLineChars="195"/>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（6）盐酸泄漏的环境风险</w:t>
      </w:r>
    </w:p>
    <w:p>
      <w:pPr>
        <w:ind w:firstLine="468" w:firstLineChars="1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本项目酸化压裂使用酸液为7%的稀盐酸，成品由玻璃钢罐车专业运输车辆拉运至现场使用，每批次约3车、20m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/车。井场内不再设置储罐暂存，根据预估使用量，分批次运输至井场。每批次约3车、20m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/车，现场最大贮存量不超60m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盐酸在拉运过程和现场存储一旦发生泄漏后，一方面，挥发的酸雾会造成一定范围内的环境空气污染；另一方面，泄漏的盐酸将引起土壤酸化，破坏土壤的结构，危害植物生长，若控制不当流入井场周围的水体将会污染水体。</w:t>
      </w:r>
    </w:p>
    <w:p>
      <w:pPr>
        <w:pStyle w:val="21"/>
        <w:spacing w:before="0"/>
        <w:ind w:left="0" w:firstLine="482"/>
        <w:jc w:val="both"/>
        <w:rPr>
          <w:rFonts w:hint="default" w:ascii="Times New Roman" w:hAnsi="Times New Roman" w:cs="Times New Roman"/>
          <w:b/>
          <w:bCs/>
          <w:color w:val="000000" w:themeColor="text1"/>
          <w:kern w:val="2"/>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kern w:val="2"/>
          <w:highlight w:val="none"/>
          <w:lang w:eastAsia="zh-CN"/>
          <w14:textFill>
            <w14:solidFill>
              <w14:schemeClr w14:val="tx1"/>
            </w14:solidFill>
          </w14:textFill>
        </w:rPr>
        <w:t>7）废水转运过程泄漏</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本项目钻井废水、</w:t>
      </w:r>
      <w:r>
        <w:rPr>
          <w:rFonts w:hint="default" w:ascii="Times New Roman" w:hAnsi="Times New Roman" w:cs="Times New Roman"/>
          <w:bCs/>
          <w:color w:val="000000" w:themeColor="text1"/>
          <w:kern w:val="2"/>
          <w:highlight w:val="none"/>
          <w:lang w:val="en-US" w:eastAsia="zh-CN"/>
          <w14:textFill>
            <w14:solidFill>
              <w14:schemeClr w14:val="tx1"/>
            </w14:solidFill>
          </w14:textFill>
        </w:rPr>
        <w:t>场地初期雨水、洗井废水、</w:t>
      </w:r>
      <w:r>
        <w:rPr>
          <w:rFonts w:hint="default" w:ascii="Times New Roman" w:hAnsi="Times New Roman" w:cs="Times New Roman"/>
          <w:bCs/>
          <w:color w:val="000000" w:themeColor="text1"/>
          <w:kern w:val="2"/>
          <w:highlight w:val="none"/>
          <w:lang w:eastAsia="zh-CN"/>
          <w14:textFill>
            <w14:solidFill>
              <w14:schemeClr w14:val="tx1"/>
            </w14:solidFill>
          </w14:textFill>
        </w:rPr>
        <w:t>废压裂返排液及气田水</w:t>
      </w:r>
      <w:r>
        <w:rPr>
          <w:rFonts w:hint="default" w:ascii="Times New Roman" w:hAnsi="Times New Roman" w:cs="Times New Roman"/>
          <w:bCs/>
          <w:color w:val="000000" w:themeColor="text1"/>
          <w:kern w:val="2"/>
          <w:highlight w:val="none"/>
          <w:lang w:val="en-US" w:eastAsia="zh-CN"/>
          <w14:textFill>
            <w14:solidFill>
              <w14:schemeClr w14:val="tx1"/>
            </w14:solidFill>
          </w14:textFill>
        </w:rPr>
        <w:t>等均会</w:t>
      </w:r>
      <w:r>
        <w:rPr>
          <w:rFonts w:hint="default" w:ascii="Times New Roman" w:hAnsi="Times New Roman" w:cs="Times New Roman"/>
          <w:bCs/>
          <w:color w:val="000000" w:themeColor="text1"/>
          <w:kern w:val="2"/>
          <w:highlight w:val="none"/>
          <w:lang w:eastAsia="zh-CN"/>
          <w14:textFill>
            <w14:solidFill>
              <w14:schemeClr w14:val="tx1"/>
            </w14:solidFill>
          </w14:textFill>
        </w:rPr>
        <w:t>通过罐车转运</w:t>
      </w:r>
      <w:r>
        <w:rPr>
          <w:rFonts w:hint="default" w:ascii="Times New Roman" w:hAnsi="Times New Roman" w:cs="Times New Roman"/>
          <w:bCs/>
          <w:color w:val="000000" w:themeColor="text1"/>
          <w:kern w:val="2"/>
          <w:highlight w:val="none"/>
          <w:lang w:val="en-US" w:eastAsia="zh-CN"/>
          <w14:textFill>
            <w14:solidFill>
              <w14:schemeClr w14:val="tx1"/>
            </w14:solidFill>
          </w14:textFill>
        </w:rPr>
        <w:t>处理</w:t>
      </w:r>
      <w:r>
        <w:rPr>
          <w:rFonts w:hint="default" w:ascii="Times New Roman" w:hAnsi="Times New Roman" w:cs="Times New Roman"/>
          <w:bCs/>
          <w:color w:val="000000" w:themeColor="text1"/>
          <w:kern w:val="2"/>
          <w:highlight w:val="none"/>
          <w:lang w:eastAsia="zh-CN"/>
          <w14:textFill>
            <w14:solidFill>
              <w14:schemeClr w14:val="tx1"/>
            </w14:solidFill>
          </w14:textFill>
        </w:rPr>
        <w:t>。废水转运过程中可能存在罐体泄漏、运输车侧翻导致污水外溢的风险。如途经集中式饮用水水源地、水产种质保护区等特别敏感区域时发生泄漏，将产生一定的影响。</w:t>
      </w:r>
    </w:p>
    <w:p>
      <w:pPr>
        <w:pStyle w:val="21"/>
        <w:spacing w:before="0"/>
        <w:ind w:left="0" w:firstLine="482"/>
        <w:jc w:val="both"/>
        <w:rPr>
          <w:rFonts w:hint="default" w:ascii="Times New Roman" w:hAnsi="Times New Roman" w:cs="Times New Roman"/>
          <w:b/>
          <w:bCs/>
          <w:color w:val="000000" w:themeColor="text1"/>
          <w:kern w:val="2"/>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kern w:val="2"/>
          <w:highlight w:val="none"/>
          <w:lang w:eastAsia="zh-CN"/>
          <w14:textFill>
            <w14:solidFill>
              <w14:schemeClr w14:val="tx1"/>
            </w14:solidFill>
          </w14:textFill>
        </w:rPr>
        <w:t>8）试采站场及集输管线</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天然气泄漏情形为试采站场内部的管线或设备泄漏。试采站场内部管线为井口～水套加热炉～外输截止阀，井场可能存在天然气泄漏的设备为撬装卧式分离器。本项目站内集输管线为天然气管线和设备破裂原因为内、外腐蚀作用，母体材料缺陷或焊口缺陷隐患，意外重大的机械损伤或地震、地陷、洪水等自然灾害破坏作用。管线或设备破裂会造成天然气泄漏，本项目井口300m范围内无居民分布，区域大气扩散条件较好，天然气中硫化氢浓度较低，发生泄漏后及时关闭阀门，泄漏的天然气量较少，因此天然气泄漏对空气影响较小。</w:t>
      </w:r>
    </w:p>
    <w:p>
      <w:pPr>
        <w:pStyle w:val="21"/>
        <w:spacing w:before="0"/>
        <w:ind w:left="0" w:firstLine="482"/>
        <w:jc w:val="both"/>
        <w:rPr>
          <w:rFonts w:hint="default" w:ascii="Times New Roman" w:hAnsi="Times New Roman" w:cs="Times New Roman"/>
          <w:b/>
          <w:bCs/>
          <w:color w:val="000000" w:themeColor="text1"/>
          <w:kern w:val="2"/>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kern w:val="2"/>
          <w:highlight w:val="none"/>
          <w:lang w:eastAsia="zh-CN"/>
          <w14:textFill>
            <w14:solidFill>
              <w14:schemeClr w14:val="tx1"/>
            </w14:solidFill>
          </w14:textFill>
        </w:rPr>
        <w:t>8）火灾爆炸引发次生污染</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本项目发生火灾爆炸情形有如下几种：①钻井过程发生井喷失控，天然气逸散到空气中遇明火发生火灾爆炸或主动点火发生火灾爆炸，产生污染物CO、SO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进入大气；②施工期柴油泄漏后，遇明火燃烧产生污染物CO进入大气；③试采过程站场或集输管线发生天然气泄漏后，遇明火燃烧产生污染物CO、SO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进入大气。</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341" w:name="_Toc120173178"/>
      <w:r>
        <w:rPr>
          <w:rFonts w:hint="default" w:ascii="Times New Roman" w:hAnsi="Times New Roman" w:cs="Times New Roman"/>
          <w:color w:val="000000" w:themeColor="text1"/>
          <w:highlight w:val="none"/>
          <w:lang w:eastAsia="zh-CN"/>
          <w14:textFill>
            <w14:solidFill>
              <w14:schemeClr w14:val="tx1"/>
            </w14:solidFill>
          </w14:textFill>
        </w:rPr>
        <w:t>危险物质可能影响环境的途径</w:t>
      </w:r>
      <w:bookmarkEnd w:id="341"/>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通过以上物质识别、生产系统危险性识别过程可以看出，本项目涉及危险物质的向环境转移的途径主要有：</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（1）井场发生井喷后，天然气进入大气对环境空气的影响；</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（2）井漏如果发生在含水层，则泄漏的泥浆可能会污染含水层；</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（3）柴油泄漏可能污染土壤、地表水和地下水；</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（4）钻井泥浆、压裂液泄漏可能污染地表水、地下水及土壤；</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（5）井场、放喷池、站场废水泄漏可能污染地表水、地下水及土壤；</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（6）盐酸转运和现场储存过程中发生泄漏可能污染地表水、地下水及土壤；</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（7）废水转运过程发生泄漏可能污染地表水、地下水及土壤；</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（8）试采站场及集输管线发生天然气泄漏对环境空气的影响；</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（9）天然气、柴油泄漏后，遇明火燃烧次生污染物CO进入大气对环境空气的影响。</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342" w:name="_Toc23532"/>
      <w:bookmarkStart w:id="343" w:name="_Toc474725972"/>
      <w:r>
        <w:rPr>
          <w:rFonts w:hint="default" w:ascii="Times New Roman" w:hAnsi="Times New Roman" w:cs="Times New Roman"/>
          <w:color w:val="000000" w:themeColor="text1"/>
          <w:highlight w:val="none"/>
          <w:lang w:eastAsia="zh-CN"/>
          <w14:textFill>
            <w14:solidFill>
              <w14:schemeClr w14:val="tx1"/>
            </w14:solidFill>
          </w14:textFill>
        </w:rPr>
        <w:t>环境风险分析</w:t>
      </w:r>
      <w:bookmarkEnd w:id="342"/>
      <w:bookmarkEnd w:id="343"/>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344" w:name="_Toc120173180"/>
      <w:r>
        <w:rPr>
          <w:rFonts w:hint="default" w:ascii="Times New Roman" w:hAnsi="Times New Roman" w:cs="Times New Roman"/>
          <w:color w:val="000000" w:themeColor="text1"/>
          <w:highlight w:val="none"/>
          <w:lang w:eastAsia="zh-CN"/>
          <w14:textFill>
            <w14:solidFill>
              <w14:schemeClr w14:val="tx1"/>
            </w14:solidFill>
          </w14:textFill>
        </w:rPr>
        <w:t>大气环境风险影响分析</w:t>
      </w:r>
      <w:bookmarkEnd w:id="344"/>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（1）井喷环境风险影响分析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1）最大可信事故及概率</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最大可信事故是指在所有预测的概率不为零的事故中，对环境（或健康）危害最严重的重大事故。本项目钻井过程中影响最大的风险事故是井喷事故。</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在钻井或修井过程中，若出现井喷失控，气藏内的天然气在地层压力作用下，将以极高的动能速度从井口喷出，若释放的含硫天然气立即被点火燃烧排放，对环境空气的影响主要是SO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；若释放的含硫天然气自始至终未遇火源，将在其自身动量与气象条件控制下，喷涌后与空气混合、扩散形成H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S毒性云团，将造成严重的人员中毒伤亡，并对周围环境造成严重的污染。井喷事故事件树见</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_Ref142860210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图6.4</w:t>
      </w:r>
      <w:r>
        <w:rPr>
          <w:rFonts w:hint="default" w:ascii="Times New Roman" w:hAnsi="Times New Roman" w:cs="Times New Roman"/>
          <w:bCs/>
          <w:color w:val="000000" w:themeColor="text1"/>
          <w:kern w:val="2"/>
          <w:highlight w:val="none"/>
          <w:lang w:eastAsia="zh-CN"/>
          <w14:textFill>
            <w14:solidFill>
              <w14:schemeClr w14:val="tx1"/>
            </w14:solidFill>
          </w14:textFill>
        </w:rPr>
        <w:noBreakHyphen/>
      </w:r>
      <w:r>
        <w:rPr>
          <w:rFonts w:hint="default" w:ascii="Times New Roman" w:hAnsi="Times New Roman" w:cs="Times New Roman"/>
          <w:bCs/>
          <w:color w:val="000000" w:themeColor="text1"/>
          <w:kern w:val="2"/>
          <w:highlight w:val="none"/>
          <w:lang w:eastAsia="zh-CN"/>
          <w14:textFill>
            <w14:solidFill>
              <w14:schemeClr w14:val="tx1"/>
            </w14:solidFill>
          </w14:textFill>
        </w:rPr>
        <w:t>1</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综合考虑本项目涉及有毒有害物质中可能发生的事故及产生的影响，本次评价确定的最大可信事故主要为：井喷失控造成含硫化氢天然气释放。</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0" distR="0">
            <wp:extent cx="5031740" cy="532003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5035598" cy="5324038"/>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345" w:name="_Ref142860210"/>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345"/>
      <w:r>
        <w:rPr>
          <w:rFonts w:hint="default" w:ascii="Times New Roman" w:hAnsi="Times New Roman" w:cs="Times New Roman"/>
          <w:color w:val="000000" w:themeColor="text1"/>
          <w:highlight w:val="none"/>
          <w14:textFill>
            <w14:solidFill>
              <w14:schemeClr w14:val="tx1"/>
            </w14:solidFill>
          </w14:textFill>
        </w:rPr>
        <w:t xml:space="preserve">  井喷事故事件树</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2）最大可信事故概率</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据不完全统计，在油气勘探开发的40年间（1950年～1990年），累计发生井喷失控事故230次，占完井总数的2.41‰，其中，井喷失控着火78次，占井喷失控总数的34%，因此，井喷失控的事故率约为0.603×10</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次/年，其中井喷失控着火的事故率约为0.203×10</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次/年，未着火的事故率约为0.4×10</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次/年，其中井喷事故未着火的多数为非含硫气田开发。</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（2）最大可信事故源项</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发生井喷的过程主要是泥浆溢流→井涌→井喷。根据开发方案和设计单位的解释，在钻井过程中，井下监控发现井内泥浆溢流量达1m</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3</w:t>
      </w:r>
      <w:r>
        <w:rPr>
          <w:rFonts w:hint="default" w:ascii="Times New Roman" w:hAnsi="Times New Roman" w:cs="Times New Roman"/>
          <w:bCs/>
          <w:color w:val="000000" w:themeColor="text1"/>
          <w:kern w:val="2"/>
          <w:highlight w:val="none"/>
          <w:lang w:eastAsia="zh-CN"/>
          <w14:textFill>
            <w14:solidFill>
              <w14:schemeClr w14:val="tx1"/>
            </w14:solidFill>
          </w14:textFill>
        </w:rPr>
        <w:t>时报警，达到2m</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3</w:t>
      </w:r>
      <w:r>
        <w:rPr>
          <w:rFonts w:hint="default" w:ascii="Times New Roman" w:hAnsi="Times New Roman" w:cs="Times New Roman"/>
          <w:bCs/>
          <w:color w:val="000000" w:themeColor="text1"/>
          <w:kern w:val="2"/>
          <w:highlight w:val="none"/>
          <w:lang w:eastAsia="zh-CN"/>
          <w14:textFill>
            <w14:solidFill>
              <w14:schemeClr w14:val="tx1"/>
            </w14:solidFill>
          </w14:textFill>
        </w:rPr>
        <w:t>时马上采取关井措施。当所有关断措施全部失效，井口失控后，即发生井喷事故。由此看出，井喷不是突如其来的，由发生溢流开始一直到天然气从井口喷出，这段时间大约在20min～60min。在发生井涌开始，井下阀门自动关断时间大约在一分半至三分钟，因此可以说，在工程上，天然气从井口喷出后即可通过井场的自动点火装置立即点火，若井场自动点火装置失灵，也可以用点火枪远距离实施点火，从井涌至井喷至少要20min，足够井场工作人员安全撤离并且做好远距离点火准备。在工程技术看，天然气从井口喷出15min内，完全可以实现点火成功。</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天然气喷射速率，将随着井内泥浆液柱的减小而增大，当井内的泥浆喷完后，达到最大喷射释放速率，其值取决于井的最大无阻流量。根据建设单位提供的本项目酸性天然气组分预测见</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_Ref142859204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表6.4</w:t>
      </w:r>
      <w:r>
        <w:rPr>
          <w:rFonts w:hint="default" w:ascii="Times New Roman" w:hAnsi="Times New Roman" w:cs="Times New Roman"/>
          <w:bCs/>
          <w:color w:val="000000" w:themeColor="text1"/>
          <w:kern w:val="2"/>
          <w:highlight w:val="none"/>
          <w:lang w:eastAsia="zh-CN"/>
          <w14:textFill>
            <w14:solidFill>
              <w14:schemeClr w14:val="tx1"/>
            </w14:solidFill>
          </w14:textFill>
        </w:rPr>
        <w:noBreakHyphen/>
      </w:r>
      <w:r>
        <w:rPr>
          <w:rFonts w:hint="default" w:ascii="Times New Roman" w:hAnsi="Times New Roman" w:cs="Times New Roman"/>
          <w:bCs/>
          <w:color w:val="000000" w:themeColor="text1"/>
          <w:kern w:val="2"/>
          <w:highlight w:val="none"/>
          <w:lang w:eastAsia="zh-CN"/>
          <w14:textFill>
            <w14:solidFill>
              <w14:schemeClr w14:val="tx1"/>
            </w14:solidFill>
          </w14:textFill>
        </w:rPr>
        <w:t>1</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bookmarkStart w:id="346" w:name="_Ref142859204"/>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346"/>
      <w:r>
        <w:rPr>
          <w:rFonts w:hint="default" w:ascii="Times New Roman" w:hAnsi="Times New Roman" w:cs="Times New Roman"/>
          <w:color w:val="000000" w:themeColor="text1"/>
          <w:highlight w:val="none"/>
          <w14:textFill>
            <w14:solidFill>
              <w14:schemeClr w14:val="tx1"/>
            </w14:solidFill>
          </w14:textFill>
        </w:rPr>
        <w:t xml:space="preserve"> 本项目天然气组分统计表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1095"/>
        <w:gridCol w:w="1310"/>
        <w:gridCol w:w="1310"/>
        <w:gridCol w:w="1310"/>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组分</w:t>
            </w:r>
          </w:p>
        </w:tc>
        <w:tc>
          <w:tcPr>
            <w:tcW w:w="64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CO</w:t>
            </w:r>
            <w:r>
              <w:rPr>
                <w:rFonts w:hint="default" w:ascii="Times New Roman" w:hAnsi="Times New Roman" w:cs="Times New Roman"/>
                <w:b/>
                <w:bCs/>
                <w:color w:val="000000" w:themeColor="text1"/>
                <w:highlight w:val="none"/>
                <w:vertAlign w:val="subscript"/>
                <w14:textFill>
                  <w14:solidFill>
                    <w14:schemeClr w14:val="tx1"/>
                  </w14:solidFill>
                </w14:textFill>
              </w:rPr>
              <w:t>2</w:t>
            </w:r>
          </w:p>
        </w:tc>
        <w:tc>
          <w:tcPr>
            <w:tcW w:w="76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H</w:t>
            </w:r>
            <w:r>
              <w:rPr>
                <w:rFonts w:hint="default" w:ascii="Times New Roman" w:hAnsi="Times New Roman" w:cs="Times New Roman"/>
                <w:b/>
                <w:bCs/>
                <w:color w:val="000000" w:themeColor="text1"/>
                <w:highlight w:val="none"/>
                <w:vertAlign w:val="subscript"/>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S</w:t>
            </w:r>
          </w:p>
        </w:tc>
        <w:tc>
          <w:tcPr>
            <w:tcW w:w="76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CH</w:t>
            </w:r>
            <w:r>
              <w:rPr>
                <w:rFonts w:hint="default" w:ascii="Times New Roman" w:hAnsi="Times New Roman" w:cs="Times New Roman"/>
                <w:b/>
                <w:bCs/>
                <w:color w:val="000000" w:themeColor="text1"/>
                <w:highlight w:val="none"/>
                <w:vertAlign w:val="subscript"/>
                <w14:textFill>
                  <w14:solidFill>
                    <w14:schemeClr w14:val="tx1"/>
                  </w14:solidFill>
                </w14:textFill>
              </w:rPr>
              <w:t>4</w:t>
            </w:r>
          </w:p>
        </w:tc>
        <w:tc>
          <w:tcPr>
            <w:tcW w:w="76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C</w:t>
            </w:r>
            <w:r>
              <w:rPr>
                <w:rFonts w:hint="default" w:ascii="Times New Roman" w:hAnsi="Times New Roman" w:cs="Times New Roman"/>
                <w:b/>
                <w:bCs/>
                <w:color w:val="000000" w:themeColor="text1"/>
                <w:highlight w:val="none"/>
                <w:vertAlign w:val="subscript"/>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H</w:t>
            </w:r>
            <w:r>
              <w:rPr>
                <w:rFonts w:hint="default" w:ascii="Times New Roman" w:hAnsi="Times New Roman" w:cs="Times New Roman"/>
                <w:b/>
                <w:bCs/>
                <w:color w:val="000000" w:themeColor="text1"/>
                <w:highlight w:val="none"/>
                <w:vertAlign w:val="subscript"/>
                <w14:textFill>
                  <w14:solidFill>
                    <w14:schemeClr w14:val="tx1"/>
                  </w14:solidFill>
                </w14:textFill>
              </w:rPr>
              <w:t>6</w:t>
            </w:r>
          </w:p>
        </w:tc>
        <w:tc>
          <w:tcPr>
            <w:tcW w:w="569"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N</w:t>
            </w:r>
            <w:r>
              <w:rPr>
                <w:rFonts w:hint="default" w:ascii="Times New Roman" w:hAnsi="Times New Roman" w:cs="Times New Roman"/>
                <w:b/>
                <w:bCs/>
                <w:color w:val="000000" w:themeColor="text1"/>
                <w:highlight w:val="none"/>
                <w:vertAlign w:val="subscript"/>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含量（mol%）</w:t>
            </w:r>
          </w:p>
        </w:tc>
        <w:tc>
          <w:tcPr>
            <w:tcW w:w="64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8.64</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15.16</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75.52</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0.12</w:t>
            </w:r>
          </w:p>
        </w:tc>
        <w:tc>
          <w:tcPr>
            <w:tcW w:w="5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组分</w:t>
            </w:r>
          </w:p>
        </w:tc>
        <w:tc>
          <w:tcPr>
            <w:tcW w:w="64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H</w:t>
            </w:r>
            <w:r>
              <w:rPr>
                <w:rFonts w:hint="default" w:ascii="Times New Roman" w:hAnsi="Times New Roman" w:cs="Times New Roman"/>
                <w:b/>
                <w:bCs/>
                <w:color w:val="000000" w:themeColor="text1"/>
                <w:highlight w:val="none"/>
                <w:vertAlign w:val="subscript"/>
                <w14:textFill>
                  <w14:solidFill>
                    <w14:schemeClr w14:val="tx1"/>
                  </w14:solidFill>
                </w14:textFill>
              </w:rPr>
              <w:t>2</w:t>
            </w:r>
          </w:p>
        </w:tc>
        <w:tc>
          <w:tcPr>
            <w:tcW w:w="76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He</w:t>
            </w:r>
          </w:p>
        </w:tc>
        <w:tc>
          <w:tcPr>
            <w:tcW w:w="76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含量（mol%）</w:t>
            </w:r>
          </w:p>
        </w:tc>
        <w:tc>
          <w:tcPr>
            <w:tcW w:w="64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0.028</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0.012</w:t>
            </w: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6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bl>
    <w:p>
      <w:pPr>
        <w:pStyle w:val="21"/>
        <w:spacing w:before="120"/>
        <w:ind w:left="136"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根据企业提供的资料，预计本项目可能放喷的最大天然气流量为30×10</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m</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3</w:t>
      </w:r>
      <w:r>
        <w:rPr>
          <w:rFonts w:hint="default" w:ascii="Times New Roman" w:hAnsi="Times New Roman" w:cs="Times New Roman"/>
          <w:bCs/>
          <w:color w:val="000000" w:themeColor="text1"/>
          <w:kern w:val="2"/>
          <w:highlight w:val="none"/>
          <w:lang w:eastAsia="zh-CN"/>
          <w14:textFill>
            <w14:solidFill>
              <w14:schemeClr w14:val="tx1"/>
            </w14:solidFill>
          </w14:textFill>
        </w:rPr>
        <w:t>/d（酸化压裂前最大无阻流量），根据《含硫化氢天然气井失控井口点火时间规定》（AQ2016-2008），含H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S天然气井发生井喷，至少应在15min内实施井口点火（中国石化普光气田开发及川气东送管道工程普光气田开发工程环境风险评价专题报告中提出了落实发生井喷失控（或放喷）时5分钟内实施点火、30分钟内紧急疏散伤害浓度范围内居民的措施，本项目保守考虑仍以15min内实施井口点火为源强进行评价分析）。类比普光气田现有管理规定，按照井喷后15min点火，点火前主要污染物是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S，点火后主要污染物是SO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本项目井喷点火前释放的H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S及甲烷源强见</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_Ref142859210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表6.4</w:t>
      </w:r>
      <w:r>
        <w:rPr>
          <w:rFonts w:hint="default" w:ascii="Times New Roman" w:hAnsi="Times New Roman" w:cs="Times New Roman"/>
          <w:bCs/>
          <w:color w:val="000000" w:themeColor="text1"/>
          <w:kern w:val="2"/>
          <w:highlight w:val="none"/>
          <w:lang w:eastAsia="zh-CN"/>
          <w14:textFill>
            <w14:solidFill>
              <w14:schemeClr w14:val="tx1"/>
            </w14:solidFill>
          </w14:textFill>
        </w:rPr>
        <w:noBreakHyphen/>
      </w:r>
      <w:r>
        <w:rPr>
          <w:rFonts w:hint="default" w:ascii="Times New Roman" w:hAnsi="Times New Roman" w:cs="Times New Roman"/>
          <w:bCs/>
          <w:color w:val="000000" w:themeColor="text1"/>
          <w:kern w:val="2"/>
          <w:highlight w:val="none"/>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bookmarkStart w:id="347" w:name="_Ref142859210"/>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bookmarkEnd w:id="347"/>
      <w:r>
        <w:rPr>
          <w:rFonts w:hint="default" w:ascii="Times New Roman" w:hAnsi="Times New Roman" w:cs="Times New Roman"/>
          <w:color w:val="000000" w:themeColor="text1"/>
          <w:highlight w:val="none"/>
          <w14:textFill>
            <w14:solidFill>
              <w14:schemeClr w14:val="tx1"/>
            </w14:solidFill>
          </w14:textFill>
        </w:rPr>
        <w:t xml:space="preserve"> 井喷污染物源强</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1029"/>
        <w:gridCol w:w="1255"/>
        <w:gridCol w:w="1112"/>
        <w:gridCol w:w="1112"/>
        <w:gridCol w:w="1015"/>
        <w:gridCol w:w="1015"/>
        <w:gridCol w:w="1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93"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时段</w:t>
            </w:r>
          </w:p>
        </w:tc>
        <w:tc>
          <w:tcPr>
            <w:tcW w:w="60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污染物名称</w:t>
            </w:r>
          </w:p>
        </w:tc>
        <w:tc>
          <w:tcPr>
            <w:tcW w:w="736"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含量（mg/m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w:t>
            </w:r>
          </w:p>
        </w:tc>
        <w:tc>
          <w:tcPr>
            <w:tcW w:w="65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天然气排放量（m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/s）</w:t>
            </w:r>
          </w:p>
        </w:tc>
        <w:tc>
          <w:tcPr>
            <w:tcW w:w="65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排放速率（kg/s）</w:t>
            </w:r>
          </w:p>
        </w:tc>
        <w:tc>
          <w:tcPr>
            <w:tcW w:w="59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持续时间（min）</w:t>
            </w:r>
          </w:p>
        </w:tc>
        <w:tc>
          <w:tcPr>
            <w:tcW w:w="595"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排气筒内径（mm）</w:t>
            </w:r>
          </w:p>
        </w:tc>
        <w:tc>
          <w:tcPr>
            <w:tcW w:w="673"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总泄漏量（kg）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493" w:type="pct"/>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点火前</w:t>
            </w:r>
          </w:p>
        </w:tc>
        <w:tc>
          <w:tcPr>
            <w:tcW w:w="604"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H</w:t>
            </w:r>
            <w:r>
              <w:rPr>
                <w:rFonts w:hint="default" w:ascii="Times New Roman" w:hAnsi="Times New Roman" w:eastAsia="等线" w:cs="Times New Roman"/>
                <w:color w:val="000000" w:themeColor="text1"/>
                <w:szCs w:val="21"/>
                <w:highlight w:val="none"/>
                <w:vertAlign w:val="subscript"/>
                <w14:textFill>
                  <w14:solidFill>
                    <w14:schemeClr w14:val="tx1"/>
                  </w14:solidFill>
                </w14:textFill>
              </w:rPr>
              <w:t>2</w:t>
            </w:r>
            <w:r>
              <w:rPr>
                <w:rFonts w:hint="default" w:ascii="Times New Roman" w:hAnsi="Times New Roman" w:eastAsia="等线" w:cs="Times New Roman"/>
                <w:color w:val="000000" w:themeColor="text1"/>
                <w:szCs w:val="21"/>
                <w:highlight w:val="none"/>
                <w14:textFill>
                  <w14:solidFill>
                    <w14:schemeClr w14:val="tx1"/>
                  </w14:solidFill>
                </w14:textFill>
              </w:rPr>
              <w:t>S</w:t>
            </w:r>
          </w:p>
        </w:tc>
        <w:tc>
          <w:tcPr>
            <w:tcW w:w="73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230107</w:t>
            </w:r>
          </w:p>
        </w:tc>
        <w:tc>
          <w:tcPr>
            <w:tcW w:w="652"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3.47</w:t>
            </w:r>
          </w:p>
        </w:tc>
        <w:tc>
          <w:tcPr>
            <w:tcW w:w="652"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 xml:space="preserve">0.798 </w:t>
            </w:r>
          </w:p>
        </w:tc>
        <w:tc>
          <w:tcPr>
            <w:tcW w:w="595"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15</w:t>
            </w:r>
          </w:p>
        </w:tc>
        <w:tc>
          <w:tcPr>
            <w:tcW w:w="595"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149.2</w:t>
            </w:r>
          </w:p>
        </w:tc>
        <w:tc>
          <w:tcPr>
            <w:tcW w:w="673" w:type="pct"/>
            <w:vAlign w:val="center"/>
          </w:tcPr>
          <w:p>
            <w:pPr>
              <w:pStyle w:val="295"/>
              <w:rPr>
                <w:rFonts w:hint="default" w:ascii="Times New Roman" w:hAnsi="Times New Roman" w:eastAsia="等线"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 xml:space="preserve">718.6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493"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604"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CH</w:t>
            </w:r>
            <w:r>
              <w:rPr>
                <w:rFonts w:hint="default" w:ascii="Times New Roman" w:hAnsi="Times New Roman" w:eastAsia="等线" w:cs="Times New Roman"/>
                <w:color w:val="000000" w:themeColor="text1"/>
                <w:szCs w:val="21"/>
                <w:highlight w:val="none"/>
                <w:vertAlign w:val="subscript"/>
                <w14:textFill>
                  <w14:solidFill>
                    <w14:schemeClr w14:val="tx1"/>
                  </w14:solidFill>
                </w14:textFill>
              </w:rPr>
              <w:t>4</w:t>
            </w:r>
          </w:p>
        </w:tc>
        <w:tc>
          <w:tcPr>
            <w:tcW w:w="73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539429</w:t>
            </w:r>
          </w:p>
        </w:tc>
        <w:tc>
          <w:tcPr>
            <w:tcW w:w="652"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3.47</w:t>
            </w:r>
          </w:p>
        </w:tc>
        <w:tc>
          <w:tcPr>
            <w:tcW w:w="652"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 xml:space="preserve">1.872 </w:t>
            </w:r>
          </w:p>
        </w:tc>
        <w:tc>
          <w:tcPr>
            <w:tcW w:w="595"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15</w:t>
            </w:r>
          </w:p>
        </w:tc>
        <w:tc>
          <w:tcPr>
            <w:tcW w:w="595" w:type="pct"/>
            <w:vAlign w:val="center"/>
          </w:tcPr>
          <w:p>
            <w:pPr>
              <w:pStyle w:val="295"/>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149.2</w:t>
            </w:r>
          </w:p>
        </w:tc>
        <w:tc>
          <w:tcPr>
            <w:tcW w:w="673" w:type="pct"/>
            <w:vAlign w:val="center"/>
          </w:tcPr>
          <w:p>
            <w:pPr>
              <w:pStyle w:val="295"/>
              <w:rPr>
                <w:rFonts w:hint="default" w:ascii="Times New Roman" w:hAnsi="Times New Roman" w:eastAsia="等线"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 xml:space="preserve">1684.6 </w:t>
            </w:r>
          </w:p>
        </w:tc>
      </w:tr>
    </w:tbl>
    <w:p>
      <w:pPr>
        <w:pStyle w:val="21"/>
        <w:spacing w:before="120" w:beforeLines="5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（2）事故后果预测及危害分析</w:t>
      </w:r>
    </w:p>
    <w:p>
      <w:pPr>
        <w:pStyle w:val="21"/>
        <w:ind w:left="0" w:firstLine="480"/>
        <w:jc w:val="both"/>
        <w:rPr>
          <w:rFonts w:hint="default" w:ascii="Times New Roman" w:hAnsi="Times New Roman" w:cs="Times New Roman"/>
          <w:b/>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1）</w:t>
      </w:r>
      <w:r>
        <w:rPr>
          <w:rFonts w:hint="default" w:ascii="Times New Roman" w:hAnsi="Times New Roman" w:cs="Times New Roman"/>
          <w:b/>
          <w:bCs/>
          <w:color w:val="000000" w:themeColor="text1"/>
          <w:kern w:val="2"/>
          <w:highlight w:val="none"/>
          <w:lang w:eastAsia="zh-CN"/>
          <w14:textFill>
            <w14:solidFill>
              <w14:schemeClr w14:val="tx1"/>
            </w14:solidFill>
          </w14:textFill>
        </w:rPr>
        <w:t>预测模型筛选</w:t>
      </w:r>
    </w:p>
    <w:p>
      <w:pPr>
        <w:pStyle w:val="21"/>
        <w:spacing w:before="0"/>
        <w:ind w:left="0" w:firstLine="480"/>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大气环境风险后果预测主要采用导则推荐的模型。重质气体排放的扩散模型选用SLAB模型，中性气体和轻质气体排放以及液池蒸发气体的扩散模拟选用AFTOX模型。重质气体和轻质气体采用理查德森数进行判定。</w:t>
      </w:r>
    </w:p>
    <w:p>
      <w:pPr>
        <w:pStyle w:val="21"/>
        <w:spacing w:before="0"/>
        <w:ind w:left="0" w:firstLine="480"/>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本次评价根据《建设项目环境风险评价技术导则》（HJ 169-2018），判定连续排放还是瞬时排放，可以通过对比排放时间</w:t>
      </w:r>
      <w:r>
        <w:rPr>
          <w:rFonts w:hint="default" w:ascii="Times New Roman" w:hAnsi="Times New Roman" w:cs="Times New Roman"/>
          <w:bCs/>
          <w:i/>
          <w:iCs/>
          <w:color w:val="000000" w:themeColor="text1"/>
          <w:kern w:val="2"/>
          <w:highlight w:val="none"/>
          <w:lang w:eastAsia="zh-CN"/>
          <w14:textFill>
            <w14:solidFill>
              <w14:schemeClr w14:val="tx1"/>
            </w14:solidFill>
          </w14:textFill>
        </w:rPr>
        <w:t>T</w:t>
      </w:r>
      <w:r>
        <w:rPr>
          <w:rFonts w:hint="default" w:ascii="Times New Roman" w:hAnsi="Times New Roman" w:cs="Times New Roman"/>
          <w:bCs/>
          <w:i/>
          <w:iCs/>
          <w:color w:val="000000" w:themeColor="text1"/>
          <w:kern w:val="2"/>
          <w:highlight w:val="none"/>
          <w:vertAlign w:val="subscript"/>
          <w:lang w:eastAsia="zh-CN"/>
          <w14:textFill>
            <w14:solidFill>
              <w14:schemeClr w14:val="tx1"/>
            </w14:solidFill>
          </w14:textFill>
        </w:rPr>
        <w:t>d</w:t>
      </w:r>
      <w:r>
        <w:rPr>
          <w:rFonts w:hint="default" w:ascii="Times New Roman" w:hAnsi="Times New Roman" w:cs="Times New Roman"/>
          <w:bCs/>
          <w:color w:val="000000" w:themeColor="text1"/>
          <w:kern w:val="2"/>
          <w:highlight w:val="none"/>
          <w:lang w:eastAsia="zh-CN"/>
          <w14:textFill>
            <w14:solidFill>
              <w14:schemeClr w14:val="tx1"/>
            </w14:solidFill>
          </w14:textFill>
        </w:rPr>
        <w:t>和污染物到达最近的受体点（网格点或敏感点）的时间T确定。</w:t>
      </w:r>
    </w:p>
    <w:p>
      <w:pPr>
        <w:pStyle w:val="21"/>
        <w:spacing w:before="0"/>
        <w:ind w:firstLine="480"/>
        <w:jc w:val="center"/>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i/>
          <w:iCs/>
          <w:color w:val="000000" w:themeColor="text1"/>
          <w:kern w:val="2"/>
          <w:highlight w:val="none"/>
          <w:lang w:eastAsia="zh-CN"/>
          <w14:textFill>
            <w14:solidFill>
              <w14:schemeClr w14:val="tx1"/>
            </w14:solidFill>
          </w14:textFill>
        </w:rPr>
        <w:t>T</w:t>
      </w:r>
      <w:r>
        <w:rPr>
          <w:rFonts w:hint="default" w:ascii="Times New Roman" w:hAnsi="Times New Roman" w:cs="Times New Roman"/>
          <w:bCs/>
          <w:color w:val="000000" w:themeColor="text1"/>
          <w:kern w:val="2"/>
          <w:highlight w:val="none"/>
          <w:lang w:eastAsia="zh-CN"/>
          <w14:textFill>
            <w14:solidFill>
              <w14:schemeClr w14:val="tx1"/>
            </w14:solidFill>
          </w14:textFill>
        </w:rPr>
        <w:t>=</w:t>
      </w:r>
      <w:r>
        <w:rPr>
          <w:rFonts w:hint="default" w:ascii="Times New Roman" w:hAnsi="Times New Roman" w:cs="Times New Roman"/>
          <w:bCs/>
          <w:i/>
          <w:iCs/>
          <w:color w:val="000000" w:themeColor="text1"/>
          <w:kern w:val="2"/>
          <w:highlight w:val="none"/>
          <w:lang w:eastAsia="zh-CN"/>
          <w14:textFill>
            <w14:solidFill>
              <w14:schemeClr w14:val="tx1"/>
            </w14:solidFill>
          </w14:textFill>
        </w:rPr>
        <w:t>2X/U</w:t>
      </w:r>
      <w:r>
        <w:rPr>
          <w:rFonts w:hint="default" w:ascii="Times New Roman" w:hAnsi="Times New Roman" w:cs="Times New Roman"/>
          <w:bCs/>
          <w:i/>
          <w:iCs/>
          <w:color w:val="000000" w:themeColor="text1"/>
          <w:kern w:val="2"/>
          <w:highlight w:val="none"/>
          <w:vertAlign w:val="subscript"/>
          <w:lang w:eastAsia="zh-CN"/>
          <w14:textFill>
            <w14:solidFill>
              <w14:schemeClr w14:val="tx1"/>
            </w14:solidFill>
          </w14:textFill>
        </w:rPr>
        <w:t>r</w:t>
      </w:r>
    </w:p>
    <w:p>
      <w:pPr>
        <w:pStyle w:val="21"/>
        <w:spacing w:before="0"/>
        <w:ind w:left="0" w:firstLine="480"/>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式中</w:t>
      </w:r>
      <w:r>
        <w:rPr>
          <w:rFonts w:hint="default" w:ascii="Times New Roman" w:hAnsi="Times New Roman" w:cs="Times New Roman"/>
          <w:bCs/>
          <w:i/>
          <w:iCs/>
          <w:color w:val="000000" w:themeColor="text1"/>
          <w:kern w:val="2"/>
          <w:highlight w:val="none"/>
          <w:lang w:eastAsia="zh-CN"/>
          <w14:textFill>
            <w14:solidFill>
              <w14:schemeClr w14:val="tx1"/>
            </w14:solidFill>
          </w14:textFill>
        </w:rPr>
        <w:t>X</w:t>
      </w:r>
      <w:r>
        <w:rPr>
          <w:rFonts w:hint="default" w:ascii="Times New Roman" w:hAnsi="Times New Roman" w:cs="Times New Roman"/>
          <w:bCs/>
          <w:color w:val="000000" w:themeColor="text1"/>
          <w:kern w:val="2"/>
          <w:highlight w:val="none"/>
          <w:lang w:eastAsia="zh-CN"/>
          <w14:textFill>
            <w14:solidFill>
              <w14:schemeClr w14:val="tx1"/>
            </w14:solidFill>
          </w14:textFill>
        </w:rPr>
        <w:t>——事故发生地与计算点的距离，m。本项目保守考虑，选取距离井口最近的较为集中居民点作为该距离（虽东南侧264m处居民有居民分布，但根据建设单位管理要求，将对300m范围内居民进行搬迁，因此，X保守取值按300m计）。</w:t>
      </w:r>
    </w:p>
    <w:p>
      <w:pPr>
        <w:pStyle w:val="21"/>
        <w:spacing w:before="0"/>
        <w:ind w:left="0" w:firstLine="480"/>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i/>
          <w:iCs/>
          <w:color w:val="000000" w:themeColor="text1"/>
          <w:kern w:val="2"/>
          <w:highlight w:val="none"/>
          <w:lang w:eastAsia="zh-CN"/>
          <w14:textFill>
            <w14:solidFill>
              <w14:schemeClr w14:val="tx1"/>
            </w14:solidFill>
          </w14:textFill>
        </w:rPr>
        <w:t>U</w:t>
      </w:r>
      <w:r>
        <w:rPr>
          <w:rFonts w:hint="default" w:ascii="Times New Roman" w:hAnsi="Times New Roman" w:cs="Times New Roman"/>
          <w:bCs/>
          <w:i/>
          <w:iCs/>
          <w:color w:val="000000" w:themeColor="text1"/>
          <w:kern w:val="2"/>
          <w:highlight w:val="none"/>
          <w:vertAlign w:val="subscript"/>
          <w:lang w:eastAsia="zh-CN"/>
          <w14:textFill>
            <w14:solidFill>
              <w14:schemeClr w14:val="tx1"/>
            </w14:solidFill>
          </w14:textFill>
        </w:rPr>
        <w:t>r</w:t>
      </w:r>
      <w:r>
        <w:rPr>
          <w:rFonts w:hint="default" w:ascii="Times New Roman" w:hAnsi="Times New Roman" w:cs="Times New Roman"/>
          <w:bCs/>
          <w:color w:val="000000" w:themeColor="text1"/>
          <w:kern w:val="2"/>
          <w:highlight w:val="none"/>
          <w:lang w:eastAsia="zh-CN"/>
          <w14:textFill>
            <w14:solidFill>
              <w14:schemeClr w14:val="tx1"/>
            </w14:solidFill>
          </w14:textFill>
        </w:rPr>
        <w:t>——10m高处风速，m/s。假设风速风向在</w:t>
      </w:r>
      <w:r>
        <w:rPr>
          <w:rFonts w:hint="default" w:ascii="Times New Roman" w:hAnsi="Times New Roman" w:cs="Times New Roman"/>
          <w:bCs/>
          <w:i/>
          <w:iCs/>
          <w:color w:val="000000" w:themeColor="text1"/>
          <w:kern w:val="2"/>
          <w:highlight w:val="none"/>
          <w:lang w:eastAsia="zh-CN"/>
          <w14:textFill>
            <w14:solidFill>
              <w14:schemeClr w14:val="tx1"/>
            </w14:solidFill>
          </w14:textFill>
        </w:rPr>
        <w:t>T</w:t>
      </w:r>
      <w:r>
        <w:rPr>
          <w:rFonts w:hint="default" w:ascii="Times New Roman" w:hAnsi="Times New Roman" w:cs="Times New Roman"/>
          <w:bCs/>
          <w:color w:val="000000" w:themeColor="text1"/>
          <w:kern w:val="2"/>
          <w:highlight w:val="none"/>
          <w:lang w:eastAsia="zh-CN"/>
          <w14:textFill>
            <w14:solidFill>
              <w14:schemeClr w14:val="tx1"/>
            </w14:solidFill>
          </w14:textFill>
        </w:rPr>
        <w:t>时间段内保持不变。本项目最不利气象条件取1.5m/s。</w:t>
      </w:r>
    </w:p>
    <w:p>
      <w:pPr>
        <w:pStyle w:val="21"/>
        <w:spacing w:before="0"/>
        <w:ind w:left="0" w:firstLine="480"/>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当</w:t>
      </w:r>
      <w:r>
        <w:rPr>
          <w:rFonts w:hint="default" w:ascii="Times New Roman" w:hAnsi="Times New Roman" w:cs="Times New Roman"/>
          <w:bCs/>
          <w:i/>
          <w:iCs/>
          <w:color w:val="000000" w:themeColor="text1"/>
          <w:kern w:val="2"/>
          <w:highlight w:val="none"/>
          <w:lang w:eastAsia="zh-CN"/>
          <w14:textFill>
            <w14:solidFill>
              <w14:schemeClr w14:val="tx1"/>
            </w14:solidFill>
          </w14:textFill>
        </w:rPr>
        <w:t>T</w:t>
      </w:r>
      <w:r>
        <w:rPr>
          <w:rFonts w:hint="default" w:ascii="Times New Roman" w:hAnsi="Times New Roman" w:cs="Times New Roman"/>
          <w:bCs/>
          <w:i/>
          <w:iCs/>
          <w:color w:val="000000" w:themeColor="text1"/>
          <w:kern w:val="2"/>
          <w:highlight w:val="none"/>
          <w:vertAlign w:val="subscript"/>
          <w:lang w:eastAsia="zh-CN"/>
          <w14:textFill>
            <w14:solidFill>
              <w14:schemeClr w14:val="tx1"/>
            </w14:solidFill>
          </w14:textFill>
        </w:rPr>
        <w:t>d</w:t>
      </w:r>
      <w:r>
        <w:rPr>
          <w:rFonts w:hint="default" w:ascii="Times New Roman" w:hAnsi="Times New Roman" w:cs="Times New Roman"/>
          <w:bCs/>
          <w:color w:val="000000" w:themeColor="text1"/>
          <w:kern w:val="2"/>
          <w:highlight w:val="none"/>
          <w:lang w:eastAsia="zh-CN"/>
          <w14:textFill>
            <w14:solidFill>
              <w14:schemeClr w14:val="tx1"/>
            </w14:solidFill>
          </w14:textFill>
        </w:rPr>
        <w:t>＞</w:t>
      </w:r>
      <w:r>
        <w:rPr>
          <w:rFonts w:hint="default" w:ascii="Times New Roman" w:hAnsi="Times New Roman" w:cs="Times New Roman"/>
          <w:bCs/>
          <w:i/>
          <w:iCs/>
          <w:color w:val="000000" w:themeColor="text1"/>
          <w:kern w:val="2"/>
          <w:highlight w:val="none"/>
          <w:lang w:eastAsia="zh-CN"/>
          <w14:textFill>
            <w14:solidFill>
              <w14:schemeClr w14:val="tx1"/>
            </w14:solidFill>
          </w14:textFill>
        </w:rPr>
        <w:t>T</w:t>
      </w:r>
      <w:r>
        <w:rPr>
          <w:rFonts w:hint="default" w:ascii="Times New Roman" w:hAnsi="Times New Roman" w:cs="Times New Roman"/>
          <w:bCs/>
          <w:color w:val="000000" w:themeColor="text1"/>
          <w:kern w:val="2"/>
          <w:highlight w:val="none"/>
          <w:lang w:eastAsia="zh-CN"/>
          <w14:textFill>
            <w14:solidFill>
              <w14:schemeClr w14:val="tx1"/>
            </w14:solidFill>
          </w14:textFill>
        </w:rPr>
        <w:t>时，可被认为是连续排放的；当</w:t>
      </w:r>
      <w:r>
        <w:rPr>
          <w:rFonts w:hint="default" w:ascii="Times New Roman" w:hAnsi="Times New Roman" w:cs="Times New Roman"/>
          <w:bCs/>
          <w:i/>
          <w:iCs/>
          <w:color w:val="000000" w:themeColor="text1"/>
          <w:kern w:val="2"/>
          <w:highlight w:val="none"/>
          <w:lang w:eastAsia="zh-CN"/>
          <w14:textFill>
            <w14:solidFill>
              <w14:schemeClr w14:val="tx1"/>
            </w14:solidFill>
          </w14:textFill>
        </w:rPr>
        <w:t>T</w:t>
      </w:r>
      <w:r>
        <w:rPr>
          <w:rFonts w:hint="default" w:ascii="Times New Roman" w:hAnsi="Times New Roman" w:cs="Times New Roman"/>
          <w:bCs/>
          <w:i/>
          <w:iCs/>
          <w:color w:val="000000" w:themeColor="text1"/>
          <w:kern w:val="2"/>
          <w:highlight w:val="none"/>
          <w:vertAlign w:val="subscript"/>
          <w:lang w:eastAsia="zh-CN"/>
          <w14:textFill>
            <w14:solidFill>
              <w14:schemeClr w14:val="tx1"/>
            </w14:solidFill>
          </w14:textFill>
        </w:rPr>
        <w:t>d</w:t>
      </w:r>
      <w:r>
        <w:rPr>
          <w:rFonts w:hint="default" w:ascii="Times New Roman" w:hAnsi="Times New Roman" w:cs="Times New Roman"/>
          <w:bCs/>
          <w:color w:val="000000" w:themeColor="text1"/>
          <w:kern w:val="2"/>
          <w:highlight w:val="none"/>
          <w:lang w:eastAsia="zh-CN"/>
          <w14:textFill>
            <w14:solidFill>
              <w14:schemeClr w14:val="tx1"/>
            </w14:solidFill>
          </w14:textFill>
        </w:rPr>
        <w:t>≤</w:t>
      </w:r>
      <w:r>
        <w:rPr>
          <w:rFonts w:hint="default" w:ascii="Times New Roman" w:hAnsi="Times New Roman" w:cs="Times New Roman"/>
          <w:bCs/>
          <w:i/>
          <w:iCs/>
          <w:color w:val="000000" w:themeColor="text1"/>
          <w:kern w:val="2"/>
          <w:highlight w:val="none"/>
          <w:lang w:eastAsia="zh-CN"/>
          <w14:textFill>
            <w14:solidFill>
              <w14:schemeClr w14:val="tx1"/>
            </w14:solidFill>
          </w14:textFill>
        </w:rPr>
        <w:t>T</w:t>
      </w:r>
      <w:r>
        <w:rPr>
          <w:rFonts w:hint="default" w:ascii="Times New Roman" w:hAnsi="Times New Roman" w:cs="Times New Roman"/>
          <w:bCs/>
          <w:color w:val="000000" w:themeColor="text1"/>
          <w:kern w:val="2"/>
          <w:highlight w:val="none"/>
          <w:lang w:eastAsia="zh-CN"/>
          <w14:textFill>
            <w14:solidFill>
              <w14:schemeClr w14:val="tx1"/>
            </w14:solidFill>
          </w14:textFill>
        </w:rPr>
        <w:t>时，可被认为是瞬时排放的。</w:t>
      </w:r>
    </w:p>
    <w:p>
      <w:pPr>
        <w:pStyle w:val="21"/>
        <w:spacing w:before="0"/>
        <w:ind w:left="0" w:firstLine="480"/>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经计算可得</w:t>
      </w:r>
      <w:r>
        <w:rPr>
          <w:rFonts w:hint="default" w:ascii="Times New Roman" w:hAnsi="Times New Roman" w:cs="Times New Roman"/>
          <w:bCs/>
          <w:i/>
          <w:iCs/>
          <w:color w:val="000000" w:themeColor="text1"/>
          <w:kern w:val="2"/>
          <w:highlight w:val="none"/>
          <w:lang w:eastAsia="zh-CN"/>
          <w14:textFill>
            <w14:solidFill>
              <w14:schemeClr w14:val="tx1"/>
            </w14:solidFill>
          </w14:textFill>
        </w:rPr>
        <w:t>T</w:t>
      </w:r>
      <w:r>
        <w:rPr>
          <w:rFonts w:hint="default" w:ascii="Times New Roman" w:hAnsi="Times New Roman" w:cs="Times New Roman"/>
          <w:bCs/>
          <w:color w:val="000000" w:themeColor="text1"/>
          <w:kern w:val="2"/>
          <w:highlight w:val="none"/>
          <w:lang w:eastAsia="zh-CN"/>
          <w14:textFill>
            <w14:solidFill>
              <w14:schemeClr w14:val="tx1"/>
            </w14:solidFill>
          </w14:textFill>
        </w:rPr>
        <w:t>=400s（最不利气象条件）；</w:t>
      </w:r>
    </w:p>
    <w:p>
      <w:pPr>
        <w:pStyle w:val="21"/>
        <w:spacing w:before="0"/>
        <w:ind w:left="0" w:firstLine="480"/>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井喷事故产生的H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S时间为900s，为连续排放；</w:t>
      </w:r>
    </w:p>
    <w:p>
      <w:pPr>
        <w:pStyle w:val="21"/>
        <w:spacing w:before="0"/>
        <w:ind w:left="0" w:firstLine="480"/>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井喷事故产生的CH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时间为900s，为连续排放；</w:t>
      </w:r>
    </w:p>
    <w:p>
      <w:pPr>
        <w:pStyle w:val="21"/>
        <w:spacing w:before="0"/>
        <w:ind w:left="0" w:firstLine="480"/>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井喷事故硫化氢和甲烷烟团初始密度未大于空气密度，不计算理查德森数。扩散计算建议采用AFTOX模式。</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2）预测范围与预测点</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本次评价预测范围为井喷井口为中心，外围5000m。预测点包括一般计算点和关心点，一般计算点为本项目下风向，其下风向距离风险源间距为50m；关心点主要统计了项目5000m范围内的敏感点，敏感点坐标如</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_Ref142859160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表6.4</w:t>
      </w:r>
      <w:r>
        <w:rPr>
          <w:rFonts w:hint="default" w:ascii="Times New Roman" w:hAnsi="Times New Roman" w:cs="Times New Roman"/>
          <w:bCs/>
          <w:color w:val="000000" w:themeColor="text1"/>
          <w:kern w:val="2"/>
          <w:highlight w:val="none"/>
          <w:lang w:eastAsia="zh-CN"/>
          <w14:textFill>
            <w14:solidFill>
              <w14:schemeClr w14:val="tx1"/>
            </w14:solidFill>
          </w14:textFill>
        </w:rPr>
        <w:noBreakHyphen/>
      </w:r>
      <w:r>
        <w:rPr>
          <w:rFonts w:hint="default" w:ascii="Times New Roman" w:hAnsi="Times New Roman" w:cs="Times New Roman"/>
          <w:bCs/>
          <w:color w:val="000000" w:themeColor="text1"/>
          <w:kern w:val="2"/>
          <w:highlight w:val="none"/>
          <w:lang w:eastAsia="zh-CN"/>
          <w14:textFill>
            <w14:solidFill>
              <w14:schemeClr w14:val="tx1"/>
            </w14:solidFill>
          </w14:textFill>
        </w:rPr>
        <w:t>3</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，以井口为坐标原点。</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348" w:name="_Ref142859160"/>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bookmarkEnd w:id="348"/>
      <w:r>
        <w:rPr>
          <w:rFonts w:hint="default" w:ascii="Times New Roman" w:hAnsi="Times New Roman" w:cs="Times New Roman"/>
          <w:color w:val="000000" w:themeColor="text1"/>
          <w:highlight w:val="none"/>
          <w14:textFill>
            <w14:solidFill>
              <w14:schemeClr w14:val="tx1"/>
            </w14:solidFill>
          </w14:textFill>
        </w:rPr>
        <w:t xml:space="preserve"> 大气风险预测敏感点</w:t>
      </w:r>
    </w:p>
    <w:tbl>
      <w:tblPr>
        <w:tblStyle w:val="52"/>
        <w:tblW w:w="49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2290"/>
        <w:gridCol w:w="1292"/>
        <w:gridCol w:w="1202"/>
        <w:gridCol w:w="1041"/>
        <w:gridCol w:w="1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序号</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敏感目标名称</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相对方位</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距离/m</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属性</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人口数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1#居民点</w:t>
            </w: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455~500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1户4人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2#居民点</w:t>
            </w: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343~475</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7户约28人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3</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3#居民点</w:t>
            </w: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400~500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10户约40人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4</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4#居民点</w:t>
            </w: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290~311</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1户4人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5</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5#居民点</w:t>
            </w: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435~481</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2户8人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6</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6#居民点</w:t>
            </w: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西南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517~783</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54户216人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7</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7#居民点</w:t>
            </w:r>
            <w:r>
              <w:rPr>
                <w:rFonts w:hint="default" w:ascii="Times New Roman" w:hAnsi="Times New Roman" w:cs="Times New Roman"/>
                <w:color w:val="000000" w:themeColor="text1"/>
                <w:sz w:val="21"/>
                <w:szCs w:val="21"/>
                <w:highlight w:val="none"/>
                <w14:textFill>
                  <w14:solidFill>
                    <w14:schemeClr w14:val="tx1"/>
                  </w14:solidFill>
                </w14:textFill>
              </w:rPr>
              <w:t>（沙坝村）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东</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811~1030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16户64人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8</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8#居民点</w:t>
            </w: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962~1137</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highlight w:val="none"/>
                <w:lang w:eastAsia="en-US"/>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9户36人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9</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9#居民点</w:t>
            </w: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995~1142</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21户44人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10</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10#居民点</w:t>
            </w: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1451~1919</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29户116人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11</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11#居民点（北斗村）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2022~2400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22户88人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12</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12#居民点</w:t>
            </w:r>
            <w:r>
              <w:rPr>
                <w:rFonts w:hint="default" w:ascii="Times New Roman" w:hAnsi="Times New Roman" w:cs="Times New Roman"/>
                <w:color w:val="000000" w:themeColor="text1"/>
                <w:sz w:val="21"/>
                <w:szCs w:val="21"/>
                <w:highlight w:val="none"/>
                <w14:textFill>
                  <w14:solidFill>
                    <w14:schemeClr w14:val="tx1"/>
                  </w14:solidFill>
                </w14:textFill>
              </w:rPr>
              <w:t>（北斗村）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2650~3700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约65户260人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13</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13#居民点</w:t>
            </w:r>
            <w:r>
              <w:rPr>
                <w:rFonts w:hint="default" w:ascii="Times New Roman" w:hAnsi="Times New Roman" w:cs="Times New Roman"/>
                <w:color w:val="000000" w:themeColor="text1"/>
                <w:sz w:val="21"/>
                <w:szCs w:val="21"/>
                <w:highlight w:val="none"/>
                <w14:textFill>
                  <w14:solidFill>
                    <w14:schemeClr w14:val="tx1"/>
                  </w14:solidFill>
                </w14:textFill>
              </w:rPr>
              <w:t>（塔垭村）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东南</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1286~2700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约280户1120人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14</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14#居民点</w:t>
            </w:r>
            <w:r>
              <w:rPr>
                <w:rFonts w:hint="default" w:ascii="Times New Roman" w:hAnsi="Times New Roman" w:cs="Times New Roman"/>
                <w:color w:val="000000" w:themeColor="text1"/>
                <w:sz w:val="21"/>
                <w:szCs w:val="21"/>
                <w:highlight w:val="none"/>
                <w14:textFill>
                  <w14:solidFill>
                    <w14:schemeClr w14:val="tx1"/>
                  </w14:solidFill>
                </w14:textFill>
              </w:rPr>
              <w:t>（沙坝村）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1325~2430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约70户280人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15</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15#居民点</w:t>
            </w:r>
            <w:r>
              <w:rPr>
                <w:rFonts w:hint="default" w:ascii="Times New Roman" w:hAnsi="Times New Roman" w:cs="Times New Roman"/>
                <w:color w:val="000000" w:themeColor="text1"/>
                <w:sz w:val="21"/>
                <w:szCs w:val="21"/>
                <w:highlight w:val="none"/>
                <w14:textFill>
                  <w14:solidFill>
                    <w14:schemeClr w14:val="tx1"/>
                  </w14:solidFill>
                </w14:textFill>
              </w:rPr>
              <w:t>（沙坝村）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1950~3290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约80户320人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16</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16#居民点</w:t>
            </w:r>
            <w:r>
              <w:rPr>
                <w:rFonts w:hint="default" w:ascii="Times New Roman" w:hAnsi="Times New Roman" w:cs="Times New Roman"/>
                <w:color w:val="000000" w:themeColor="text1"/>
                <w:sz w:val="21"/>
                <w:szCs w:val="21"/>
                <w:highlight w:val="none"/>
                <w14:textFill>
                  <w14:solidFill>
                    <w14:schemeClr w14:val="tx1"/>
                  </w14:solidFill>
                </w14:textFill>
              </w:rPr>
              <w:t>（芭蕉村）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西北</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西</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1349~4150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约320户1280人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17</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lang w:eastAsia="en-US"/>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7</w:t>
            </w:r>
            <w:r>
              <w:rPr>
                <w:rFonts w:hint="default" w:ascii="Times New Roman" w:hAnsi="Times New Roman" w:cs="Times New Roman"/>
                <w:color w:val="000000" w:themeColor="text1"/>
                <w:sz w:val="21"/>
                <w:szCs w:val="21"/>
                <w:highlight w:val="none"/>
                <w:lang w:eastAsia="en-US"/>
                <w14:textFill>
                  <w14:solidFill>
                    <w14:schemeClr w14:val="tx1"/>
                  </w14:solidFill>
                </w14:textFill>
              </w:rPr>
              <w:t>#居民点</w:t>
            </w:r>
            <w:r>
              <w:rPr>
                <w:rFonts w:hint="default" w:ascii="Times New Roman" w:hAnsi="Times New Roman" w:cs="Times New Roman"/>
                <w:color w:val="000000" w:themeColor="text1"/>
                <w:sz w:val="21"/>
                <w:szCs w:val="21"/>
                <w:highlight w:val="none"/>
                <w14:textFill>
                  <w14:solidFill>
                    <w14:schemeClr w14:val="tx1"/>
                  </w14:solidFill>
                </w14:textFill>
              </w:rPr>
              <w:t>（官寨村）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3410~5000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约43户1172人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18</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18#黄金镇居民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3190~5000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约350户1400人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19</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19#居民点（支溪村）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1830~4790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约160户640人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20</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20#居民点（灯笼村）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2560~5000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约57户228人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21</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21#居民点（龙凤村）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2490~4400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约190户760人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22</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22#居民点（铁尖村）</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1740~5000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居民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约120户480人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23</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23#黄金太平小学</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4037</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学校</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约师生300人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24</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24#黄金初级中学</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东北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1552</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学校民</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约师生300人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25</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25#普光中学</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4818</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学校</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约师生500人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26</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26#普光卫生院区</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4950</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医护、病人</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约40人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27</w:t>
            </w:r>
          </w:p>
        </w:tc>
        <w:tc>
          <w:tcPr>
            <w:tcW w:w="136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27#普光中心校</w:t>
            </w:r>
          </w:p>
        </w:tc>
        <w:tc>
          <w:tcPr>
            <w:tcW w:w="76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西南</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4948</w:t>
            </w:r>
          </w:p>
        </w:tc>
        <w:tc>
          <w:tcPr>
            <w:tcW w:w="61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学校</w:t>
            </w:r>
          </w:p>
        </w:tc>
        <w:tc>
          <w:tcPr>
            <w:tcW w:w="11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约师生500人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28</w:t>
            </w:r>
          </w:p>
        </w:tc>
        <w:tc>
          <w:tcPr>
            <w:tcW w:w="4571" w:type="pct"/>
            <w:gridSpan w:val="5"/>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井口周围5km范围内其他散居居民约2500人</w:t>
            </w:r>
          </w:p>
        </w:tc>
      </w:tr>
    </w:tbl>
    <w:p>
      <w:pPr>
        <w:pStyle w:val="93"/>
        <w:rPr>
          <w:rFonts w:hint="default" w:ascii="Times New Roman" w:hAnsi="Times New Roman" w:cs="Times New Roman"/>
          <w:color w:val="000000" w:themeColor="text1"/>
          <w:sz w:val="10"/>
          <w:szCs w:val="10"/>
          <w:highlight w:val="none"/>
          <w:lang w:eastAsia="zh-CN"/>
          <w14:textFill>
            <w14:solidFill>
              <w14:schemeClr w14:val="tx1"/>
            </w14:solidFill>
          </w14:textFill>
        </w:rPr>
      </w:pP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1684020</wp:posOffset>
                </wp:positionH>
                <wp:positionV relativeFrom="paragraph">
                  <wp:posOffset>2908935</wp:posOffset>
                </wp:positionV>
                <wp:extent cx="281940" cy="198120"/>
                <wp:effectExtent l="0" t="0" r="3810" b="11430"/>
                <wp:wrapNone/>
                <wp:docPr id="85" name="文本框 85"/>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16#</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2.6pt;margin-top:229.05pt;height:15.6pt;width:22.2pt;z-index:251680768;mso-width-relative:page;mso-height-relative:page;" filled="f" stroked="f" coordsize="21600,21600" o:gfxdata="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60EWBNoAAAALAQAA&#10;DwAAAAAAAAABACAAAAAiAAAAZHJzL2Rvd25yZXYueG1sUEsBAhQAFAAAAAgAh07iQGh2KWxQAgAA&#10;iAQAAA4AAAAAAAAAAQAgAAAAKQ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16#</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1684020</wp:posOffset>
                </wp:positionH>
                <wp:positionV relativeFrom="paragraph">
                  <wp:posOffset>2676525</wp:posOffset>
                </wp:positionV>
                <wp:extent cx="281940" cy="198120"/>
                <wp:effectExtent l="0" t="0" r="3810" b="11430"/>
                <wp:wrapNone/>
                <wp:docPr id="84" name="文本框 8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15#</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2.6pt;margin-top:210.75pt;height:15.6pt;width:22.2pt;z-index:251679744;mso-width-relative:page;mso-height-relative:page;" filled="f" stroked="f" coordsize="21600,21600" o:gfxdata="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9zypEdoAAAALAQAA&#10;DwAAAAAAAAABACAAAAAiAAAAZHJzL2Rvd25yZXYueG1sUEsBAhQAFAAAAAgAh07iQBr1z55QAgAA&#10;iAQAAA4AAAAAAAAAAQAgAAAAKQ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15#</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2245360</wp:posOffset>
                </wp:positionH>
                <wp:positionV relativeFrom="paragraph">
                  <wp:posOffset>2743835</wp:posOffset>
                </wp:positionV>
                <wp:extent cx="281940" cy="198120"/>
                <wp:effectExtent l="0" t="0" r="3810" b="11430"/>
                <wp:wrapNone/>
                <wp:docPr id="1850" name="文本框 1850"/>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9#</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76.8pt;margin-top:216.05pt;height:15.6pt;width:22.2pt;z-index:251674624;mso-width-relative:page;mso-height-relative:page;" filled="f" stroked="f" coordsize="21600,21600" o:gfxdata="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ewnajaAAAACwEA&#10;AA8AAAAAAAAAAQAgAAAAIgAAAGRycy9kb3ducmV2LnhtbFBLAQIUABQAAAAIAIdO4kCkdYJt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9#</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1508125</wp:posOffset>
                </wp:positionH>
                <wp:positionV relativeFrom="paragraph">
                  <wp:posOffset>913765</wp:posOffset>
                </wp:positionV>
                <wp:extent cx="281940" cy="198120"/>
                <wp:effectExtent l="0" t="0" r="3810" b="11430"/>
                <wp:wrapNone/>
                <wp:docPr id="1852" name="文本框 1852"/>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14#</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8.75pt;margin-top:71.95pt;height:15.6pt;width:22.2pt;z-index:251676672;mso-width-relative:page;mso-height-relative:page;" filled="f" stroked="f" coordsize="21600,21600" o:gfxdata="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YqCZ/aAAAACwEA&#10;AA8AAAAAAAAAAQAgAAAAIgAAAGRycy9kb3ducmV2LnhtbFBLAQIUABQAAAAIAIdO4kCjzvBJ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14#</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1078230</wp:posOffset>
                </wp:positionH>
                <wp:positionV relativeFrom="paragraph">
                  <wp:posOffset>1628775</wp:posOffset>
                </wp:positionV>
                <wp:extent cx="281940" cy="198120"/>
                <wp:effectExtent l="0" t="0" r="3810" b="11430"/>
                <wp:wrapNone/>
                <wp:docPr id="1853" name="文本框 185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13#</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84.9pt;margin-top:128.25pt;height:15.6pt;width:22.2pt;z-index:251677696;mso-width-relative:page;mso-height-relative:page;" filled="f" stroked="f" coordsize="21600,21600" o:gfxdata="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T9EkHaAAAACwEA&#10;AA8AAAAAAAAAAQAgAAAAIgAAAGRycy9kb3ducmV2LnhtbFBLAQIUABQAAAAIAIdO4kAAEHG2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13#</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2360930</wp:posOffset>
                </wp:positionH>
                <wp:positionV relativeFrom="paragraph">
                  <wp:posOffset>3326130</wp:posOffset>
                </wp:positionV>
                <wp:extent cx="281940" cy="198120"/>
                <wp:effectExtent l="0" t="0" r="3810" b="11430"/>
                <wp:wrapNone/>
                <wp:docPr id="1848" name="文本框 1848"/>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8#</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5.9pt;margin-top:261.9pt;height:15.6pt;width:22.2pt;z-index:251672576;mso-width-relative:page;mso-height-relative:page;" filled="f" stroked="f" coordsize="21600,21600" o:gfxdata="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gbghxdoAAAALAQAA&#10;DwAAAAAAAAABACAAAAAiAAAAZHJzL2Rvd25yZXYueG1sUEsBAhQAFAAAAAgAh07iQDTqaLNQAgAA&#10;jAQAAA4AAAAAAAAAAQAgAAAAKQ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8#</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3100705</wp:posOffset>
                </wp:positionH>
                <wp:positionV relativeFrom="paragraph">
                  <wp:posOffset>3390265</wp:posOffset>
                </wp:positionV>
                <wp:extent cx="281940" cy="198120"/>
                <wp:effectExtent l="0" t="0" r="3810" b="11430"/>
                <wp:wrapNone/>
                <wp:docPr id="1847" name="文本框 1847"/>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7#</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44.15pt;margin-top:266.95pt;height:15.6pt;width:22.2pt;z-index:251671552;mso-width-relative:page;mso-height-relative:page;" filled="f" stroked="f" coordsize="21600,21600" o:gfxdata="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b5KhB2wAAAAsB&#10;AAAPAAAAAAAAAAEAIAAAACIAAABkcnMvZG93bnJldi54bWxQSwECFAAUAAAACACHTuJAghW0sVEC&#10;AACMBAAADgAAAAAAAAABACAAAAAqAQAAZHJzL2Uyb0RvYy54bWxQSwUGAAAAAAYABgBZAQAA7QUA&#10;A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7#</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3662045</wp:posOffset>
                </wp:positionH>
                <wp:positionV relativeFrom="paragraph">
                  <wp:posOffset>2940050</wp:posOffset>
                </wp:positionV>
                <wp:extent cx="281940" cy="198120"/>
                <wp:effectExtent l="0" t="0" r="3810" b="11430"/>
                <wp:wrapNone/>
                <wp:docPr id="1845" name="文本框 1845"/>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6#</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88.35pt;margin-top:231.5pt;height:15.6pt;width:22.2pt;z-index:251669504;mso-width-relative:page;mso-height-relative:page;" filled="f" stroked="f" coordsize="21600,21600" o:gfxdata="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fNP3PaAAAACwEA&#10;AA8AAAAAAAAAAQAgAAAAIgAAAGRycy9kb3ducmV2LnhtbFBLAQIUABQAAAAIAIdO4kCFrsaV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6#</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2359025</wp:posOffset>
                </wp:positionH>
                <wp:positionV relativeFrom="paragraph">
                  <wp:posOffset>1788795</wp:posOffset>
                </wp:positionV>
                <wp:extent cx="281940" cy="198120"/>
                <wp:effectExtent l="0" t="0" r="3810" b="11430"/>
                <wp:wrapNone/>
                <wp:docPr id="1837" name="文本框 1837"/>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5.75pt;margin-top:140.85pt;height:15.6pt;width:22.2pt;z-index:251666432;mso-width-relative:page;mso-height-relative:page;" filled="f" stroked="f" coordsize="21600,21600" o:gfxdata="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nwZ3XaAAAACwEA&#10;AA8AAAAAAAAAAQAgAAAAIgAAAGRycy9kb3ducmV2LnhtbFBLAQIUABQAAAAIAIdO4kBnSSSH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1132205</wp:posOffset>
                </wp:positionH>
                <wp:positionV relativeFrom="paragraph">
                  <wp:posOffset>2508250</wp:posOffset>
                </wp:positionV>
                <wp:extent cx="281940" cy="198120"/>
                <wp:effectExtent l="0" t="0" r="3810" b="11430"/>
                <wp:wrapNone/>
                <wp:docPr id="1854" name="文本框 185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12#</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89.15pt;margin-top:197.5pt;height:15.6pt;width:22.2pt;z-index:251678720;mso-width-relative:page;mso-height-relative:page;" filled="f" stroked="f" coordsize="21600,21600" o:gfxdata="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PSJxPaAAAACwEA&#10;AA8AAAAAAAAAAQAgAAAAIgAAAGRycy9kb3ducmV2LnhtbFBLAQIUABQAAAAIAIdO4kCqA2cl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12#</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1724025</wp:posOffset>
                </wp:positionH>
                <wp:positionV relativeFrom="paragraph">
                  <wp:posOffset>2157730</wp:posOffset>
                </wp:positionV>
                <wp:extent cx="281940" cy="198120"/>
                <wp:effectExtent l="0" t="0" r="3810" b="11430"/>
                <wp:wrapNone/>
                <wp:docPr id="1851" name="文本框 1851"/>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11#</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5.75pt;margin-top:169.9pt;height:15.6pt;width:22.2pt;z-index:251675648;mso-width-relative:page;mso-height-relative:page;" filled="f" stroked="f" coordsize="21600,21600" o:gfxdata="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Heub9oAAAALAQAA&#10;DwAAAAAAAAABACAAAAAiAAAAZHJzL2Rvd25yZXYueG1sUEsBAhQAFAAAAAgAh07iQAerA5JQAgAA&#10;jAQAAA4AAAAAAAAAAQAgAAAAKQ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11#</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1684020</wp:posOffset>
                </wp:positionH>
                <wp:positionV relativeFrom="paragraph">
                  <wp:posOffset>3127375</wp:posOffset>
                </wp:positionV>
                <wp:extent cx="281940" cy="198120"/>
                <wp:effectExtent l="0" t="0" r="3810" b="11430"/>
                <wp:wrapNone/>
                <wp:docPr id="1849" name="文本框 1849"/>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2.6pt;margin-top:246.25pt;height:15.6pt;width:22.2pt;z-index:251673600;mso-width-relative:page;mso-height-relative:page;" filled="f" stroked="f" coordsize="21600,21600" o:gfxdata="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rqmN2wAAAAsB&#10;AAAPAAAAAAAAAAEAIAAAACIAAABkcnMvZG93bnJldi54bWxQSwECFAAUAAAACACHTuJAlzTpTFEC&#10;AACMBAAADgAAAAAAAAABACAAAAAqAQAAZHJzL2Uyb0RvYy54bWxQSwUGAAAAAAYABgBZAQAA7QUA&#10;A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10#</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3148965</wp:posOffset>
                </wp:positionH>
                <wp:positionV relativeFrom="paragraph">
                  <wp:posOffset>2661920</wp:posOffset>
                </wp:positionV>
                <wp:extent cx="281940" cy="198120"/>
                <wp:effectExtent l="0" t="0" r="3810" b="11430"/>
                <wp:wrapNone/>
                <wp:docPr id="1846" name="文本框 184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5#</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47.95pt;margin-top:209.6pt;height:15.6pt;width:22.2pt;z-index:251670528;mso-width-relative:page;mso-height-relative:page;" filled="f" stroked="f" coordsize="21600,21600" o:gfxdata="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9y+7tkAAAALAQAA&#10;DwAAAAAAAAABACAAAAAiAAAAZHJzL2Rvd25yZXYueG1sUEsBAhQAFAAAAAgAh07iQCHLNU5RAgAA&#10;jAQAAA4AAAAAAAAAAQAgAAAAKA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5#</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3886835</wp:posOffset>
                </wp:positionH>
                <wp:positionV relativeFrom="paragraph">
                  <wp:posOffset>1915160</wp:posOffset>
                </wp:positionV>
                <wp:extent cx="281940" cy="198120"/>
                <wp:effectExtent l="0" t="0" r="3810" b="11430"/>
                <wp:wrapNone/>
                <wp:docPr id="1844" name="文本框 184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4#</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06.05pt;margin-top:150.8pt;height:15.6pt;width:22.2pt;z-index:251668480;mso-width-relative:page;mso-height-relative:page;" filled="f" stroked="f" coordsize="21600,21600" o:gfxdata="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sPwf/aAAAACwEA&#10;AA8AAAAAAAAAAQAgAAAAIgAAAGRycy9kb3ducmV2LnhtbFBLAQIUABQAAAAIAIdO4kAmcEdq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4#</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4087495</wp:posOffset>
                </wp:positionH>
                <wp:positionV relativeFrom="paragraph">
                  <wp:posOffset>1054735</wp:posOffset>
                </wp:positionV>
                <wp:extent cx="281940" cy="198120"/>
                <wp:effectExtent l="0" t="0" r="3810" b="11430"/>
                <wp:wrapNone/>
                <wp:docPr id="1843" name="文本框 184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3#</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21.85pt;margin-top:83.05pt;height:15.6pt;width:22.2pt;z-index:251667456;mso-width-relative:page;mso-height-relative:page;" filled="f" stroked="f" coordsize="21600,21600" o:gfxdata="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vJc7/9kAAAALAQAA&#10;DwAAAAAAAAABACAAAAAiAAAAZHJzL2Rvd25yZXYueG1sUEsBAhQAFAAAAAgAh07iQIxjUflRAgAA&#10;jAQAAA4AAAAAAAAAAQAgAAAAKA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3#</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2946400</wp:posOffset>
                </wp:positionH>
                <wp:positionV relativeFrom="paragraph">
                  <wp:posOffset>1146810</wp:posOffset>
                </wp:positionV>
                <wp:extent cx="281940" cy="198120"/>
                <wp:effectExtent l="0" t="0" r="3810" b="11430"/>
                <wp:wrapNone/>
                <wp:docPr id="1836" name="文本框 183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2#</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32pt;margin-top:90.3pt;height:15.6pt;width:22.2pt;z-index:251665408;mso-width-relative:page;mso-height-relative:page;" filled="f" stroked="f" coordsize="21600,21600" o:gfxdata="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WGmW9NkAAAALAQAA&#10;DwAAAAAAAAABACAAAAAiAAAAZHJzL2Rvd25yZXYueG1sUEsBAhQAFAAAAAgAh07iQMSXpXhRAgAA&#10;jAQAAA4AAAAAAAAAAQAgAAAAKA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2#</w:t>
                      </w:r>
                    </w:p>
                  </w:txbxContent>
                </v:textbox>
              </v:shape>
            </w:pict>
          </mc:Fallback>
        </mc:AlternateContent>
      </w:r>
      <w:r>
        <w:rPr>
          <w:rFonts w:hint="default" w:ascii="Times New Roman" w:hAnsi="Times New Roman" w:cs="Times New Roman"/>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2330450</wp:posOffset>
                </wp:positionH>
                <wp:positionV relativeFrom="paragraph">
                  <wp:posOffset>281940</wp:posOffset>
                </wp:positionV>
                <wp:extent cx="281940" cy="198120"/>
                <wp:effectExtent l="0" t="0" r="3810" b="11430"/>
                <wp:wrapNone/>
                <wp:docPr id="70" name="文本框 70"/>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3.5pt;margin-top:22.2pt;height:15.6pt;width:22.2pt;z-index:251664384;mso-width-relative:page;mso-height-relative:page;" filled="f" stroked="f" coordsize="21600,21600" o:gfxdata="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8TErM2QAAAAkBAAAP&#10;AAAAAAAAAAEAIAAAACIAAABkcnMvZG93bnJldi54bWxQSwECFAAUAAAACACHTuJAdJ4gmlACAACI&#10;BAAADgAAAAAAAAABACAAAAAoAQAAZHJzL2Uyb0RvYy54bWxQSwUGAAAAAAYABgBZAQAA6gUAA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w:t>
                      </w:r>
                    </w:p>
                  </w:txbxContent>
                </v:textbox>
              </v:shape>
            </w:pict>
          </mc:Fallback>
        </mc:AlternateContent>
      </w:r>
      <w:r>
        <w:rPr>
          <w:rFonts w:hint="default" w:ascii="Times New Roman" w:hAnsi="Times New Roman" w:cs="Times New Roman"/>
          <w:color w:val="000000" w:themeColor="text1"/>
          <w:sz w:val="10"/>
          <w:szCs w:val="10"/>
          <w:highlight w:val="none"/>
          <w:lang w:eastAsia="zh-CN"/>
          <w14:textFill>
            <w14:solidFill>
              <w14:schemeClr w14:val="tx1"/>
            </w14:solidFill>
          </w14:textFill>
        </w:rPr>
        <w:t xml:space="preserve"> </w:t>
      </w:r>
    </w:p>
    <w:p>
      <w:pPr>
        <w:pStyle w:val="93"/>
        <w:jc w:val="both"/>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3969385</wp:posOffset>
                </wp:positionH>
                <wp:positionV relativeFrom="paragraph">
                  <wp:posOffset>946150</wp:posOffset>
                </wp:positionV>
                <wp:extent cx="1176655" cy="335915"/>
                <wp:effectExtent l="0" t="0" r="0" b="0"/>
                <wp:wrapNone/>
                <wp:docPr id="1426055939" name="文本框 4"/>
                <wp:cNvGraphicFramePr/>
                <a:graphic xmlns:a="http://schemas.openxmlformats.org/drawingml/2006/main">
                  <a:graphicData uri="http://schemas.microsoft.com/office/word/2010/wordprocessingShape">
                    <wps:wsp>
                      <wps:cNvSpPr txBox="1"/>
                      <wps:spPr bwMode="auto">
                        <a:xfrm>
                          <a:off x="0" y="0"/>
                          <a:ext cx="1176793" cy="335666"/>
                        </a:xfrm>
                        <a:prstGeom prst="rect">
                          <a:avLst/>
                        </a:prstGeom>
                        <a:noFill/>
                        <a:ln w="9525">
                          <a:noFill/>
                          <a:miter lim="800000"/>
                        </a:ln>
                      </wps:spPr>
                      <wps:txbx>
                        <w:txbxContent>
                          <w:p>
                            <w:pPr>
                              <w:ind w:firstLine="0" w:firstLineChars="0"/>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5</w:t>
                            </w:r>
                            <w:r>
                              <w:rPr>
                                <w:b/>
                                <w:bCs/>
                                <w:color w:val="FFFFFF" w:themeColor="background1"/>
                                <w14:textFill>
                                  <w14:solidFill>
                                    <w14:schemeClr w14:val="bg1"/>
                                  </w14:solidFill>
                                </w14:textFill>
                              </w:rPr>
                              <w:t>km范围</w:t>
                            </w:r>
                            <w:r>
                              <w:rPr>
                                <w:rFonts w:hint="eastAsia"/>
                                <w:b/>
                                <w:bCs/>
                                <w:color w:val="FFFFFF" w:themeColor="background1"/>
                                <w14:textFill>
                                  <w14:solidFill>
                                    <w14:schemeClr w14:val="bg1"/>
                                  </w14:solidFill>
                                </w14:textFill>
                              </w:rPr>
                              <w:t>线</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4" o:spid="_x0000_s1026" o:spt="202" type="#_x0000_t202" style="position:absolute;left:0pt;margin-left:312.55pt;margin-top:74.5pt;height:26.45pt;width:92.65pt;z-index:251713536;mso-width-relative:page;mso-height-relative:page;" filled="f" stroked="f" coordsize="21600,21600" o:gfxdata="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zT1x3XAAAACwEAAA8AAAAAAAAAAQAgAAAAIgAAAGRycy9kb3ducmV2LnhtbFBLAQIUABQAAAAI&#10;AIdO4kCCWh/aYAIAAKAEAAAOAAAAAAAAAAEAIAAAACYBAABkcnMvZTJvRG9jLnhtbFBLBQYAAAAA&#10;BgAGAFkBAAD4BQAAAAA=&#10;">
                <v:fill on="f" focussize="0,0"/>
                <v:stroke on="f" miterlimit="8" joinstyle="miter"/>
                <v:imagedata o:title=""/>
                <o:lock v:ext="edit" aspectratio="f"/>
                <v:textbox>
                  <w:txbxContent>
                    <w:p>
                      <w:pPr>
                        <w:ind w:firstLine="0" w:firstLineChars="0"/>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5</w:t>
                      </w:r>
                      <w:r>
                        <w:rPr>
                          <w:b/>
                          <w:bCs/>
                          <w:color w:val="FFFFFF" w:themeColor="background1"/>
                          <w14:textFill>
                            <w14:solidFill>
                              <w14:schemeClr w14:val="bg1"/>
                            </w14:solidFill>
                          </w14:textFill>
                        </w:rPr>
                        <w:t>km范围</w:t>
                      </w:r>
                      <w:r>
                        <w:rPr>
                          <w:rFonts w:hint="eastAsia"/>
                          <w:b/>
                          <w:bCs/>
                          <w:color w:val="FFFFFF" w:themeColor="background1"/>
                          <w14:textFill>
                            <w14:solidFill>
                              <w14:schemeClr w14:val="bg1"/>
                            </w14:solidFill>
                          </w14:textFill>
                        </w:rPr>
                        <w:t>线</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2068830</wp:posOffset>
                </wp:positionH>
                <wp:positionV relativeFrom="paragraph">
                  <wp:posOffset>1446530</wp:posOffset>
                </wp:positionV>
                <wp:extent cx="2059305" cy="1200785"/>
                <wp:effectExtent l="0" t="0" r="17145" b="19050"/>
                <wp:wrapNone/>
                <wp:docPr id="2043116977" name="矩形 2"/>
                <wp:cNvGraphicFramePr/>
                <a:graphic xmlns:a="http://schemas.openxmlformats.org/drawingml/2006/main">
                  <a:graphicData uri="http://schemas.microsoft.com/office/word/2010/wordprocessingShape">
                    <wps:wsp>
                      <wps:cNvSpPr/>
                      <wps:spPr>
                        <a:xfrm>
                          <a:off x="0" y="0"/>
                          <a:ext cx="2059388" cy="1200647"/>
                        </a:xfrm>
                        <a:prstGeom prst="rect">
                          <a:avLst/>
                        </a:prstGeom>
                        <a:noFill/>
                        <a:ln>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162.9pt;margin-top:113.9pt;height:94.55pt;width:162.15pt;z-index:251710464;v-text-anchor:middle;mso-width-relative:page;mso-height-relative:page;" filled="f" stroked="t" coordsize="21600,21600" o:gfxdata="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Nw433bAAAACwEAAA8AAAAAAAAAAQAgAAAAIgAAAGRy&#10;cy9kb3ducmV2LnhtbFBLAQIUABQAAAAIAIdO4kDOrI/AdAIAANQEAAAOAAAAAAAAAAEAIAAAACoB&#10;AABkcnMvZTJvRG9jLnhtbFBLBQYAAAAABgAGAFkBAAAQBgAAAAA=&#10;">
                <v:fill on="f" focussize="0,0"/>
                <v:stroke weight="1pt" color="#FF0000 [3204]" miterlimit="8" joinstyle="miter" dashstyle="dash"/>
                <v:imagedata o:title=""/>
                <o:lock v:ext="edit" aspectratio="f"/>
              </v:rect>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2745740</wp:posOffset>
                </wp:positionH>
                <wp:positionV relativeFrom="paragraph">
                  <wp:posOffset>2945130</wp:posOffset>
                </wp:positionV>
                <wp:extent cx="541655" cy="1261745"/>
                <wp:effectExtent l="38100" t="0" r="30480" b="53340"/>
                <wp:wrapNone/>
                <wp:docPr id="1892691705" name="直接箭头连接符 3"/>
                <wp:cNvGraphicFramePr/>
                <a:graphic xmlns:a="http://schemas.openxmlformats.org/drawingml/2006/main">
                  <a:graphicData uri="http://schemas.microsoft.com/office/word/2010/wordprocessingShape">
                    <wps:wsp>
                      <wps:cNvCnPr/>
                      <wps:spPr>
                        <a:xfrm flipH="1">
                          <a:off x="0" y="0"/>
                          <a:ext cx="541558" cy="12616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flip:x;margin-left:216.2pt;margin-top:231.9pt;height:99.35pt;width:42.65pt;z-index:251711488;mso-width-relative:page;mso-height-relative:page;" filled="f" stroked="t" coordsize="21600,21600" o:gfxdata="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UP4e&#10;TNwAAAALAQAADwAAAAAAAAABACAAAAAiAAAAZHJzL2Rvd25yZXYueG1sUEsBAhQAFAAAAAgAh07i&#10;QEurzSMeAgAA+QMAAA4AAAAAAAAAAQAgAAAAKwEAAGRycy9lMm9Eb2MueG1sUEsFBgAAAAAGAAYA&#10;WQEAALsFAAAAAA==&#10;">
                <v:fill on="f" focussize="0,0"/>
                <v:stroke weight="0.5pt" color="#FF0000 [3204]" miterlimit="8" joinstyle="miter" endarrow="block"/>
                <v:imagedata o:title=""/>
                <o:lock v:ext="edit" aspectratio="f"/>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76850" cy="3890645"/>
            <wp:effectExtent l="0" t="0" r="0" b="0"/>
            <wp:docPr id="866565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6566" name="图片 1"/>
                    <pic:cNvPicPr>
                      <a:picLocks noChangeAspect="1"/>
                    </pic:cNvPicPr>
                  </pic:nvPicPr>
                  <pic:blipFill>
                    <a:blip r:embed="rId101"/>
                    <a:stretch>
                      <a:fillRect/>
                    </a:stretch>
                  </pic:blipFill>
                  <pic:spPr>
                    <a:xfrm>
                      <a:off x="0" y="0"/>
                      <a:ext cx="5276850" cy="3890645"/>
                    </a:xfrm>
                    <a:prstGeom prst="rect">
                      <a:avLst/>
                    </a:prstGeom>
                  </pic:spPr>
                </pic:pic>
              </a:graphicData>
            </a:graphic>
          </wp:inline>
        </w:drawing>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66040</wp:posOffset>
                </wp:positionH>
                <wp:positionV relativeFrom="paragraph">
                  <wp:posOffset>33655</wp:posOffset>
                </wp:positionV>
                <wp:extent cx="995680" cy="335915"/>
                <wp:effectExtent l="0" t="0" r="14605" b="26670"/>
                <wp:wrapNone/>
                <wp:docPr id="1704807086" name="文本框 4"/>
                <wp:cNvGraphicFramePr/>
                <a:graphic xmlns:a="http://schemas.openxmlformats.org/drawingml/2006/main">
                  <a:graphicData uri="http://schemas.microsoft.com/office/word/2010/wordprocessingShape">
                    <wps:wsp>
                      <wps:cNvSpPr txBox="1"/>
                      <wps:spPr bwMode="auto">
                        <a:xfrm>
                          <a:off x="0" y="0"/>
                          <a:ext cx="995423" cy="335666"/>
                        </a:xfrm>
                        <a:prstGeom prst="rect">
                          <a:avLst/>
                        </a:prstGeom>
                        <a:solidFill>
                          <a:srgbClr val="FFFFFF"/>
                        </a:solidFill>
                        <a:ln w="9525">
                          <a:solidFill>
                            <a:srgbClr val="000000"/>
                          </a:solidFill>
                          <a:miter lim="800000"/>
                        </a:ln>
                      </wps:spPr>
                      <wps:txbx>
                        <w:txbxContent>
                          <w:p>
                            <w:pPr>
                              <w:ind w:firstLine="0" w:firstLineChars="0"/>
                            </w:pPr>
                            <w:r>
                              <w:rPr>
                                <w:rFonts w:hint="eastAsia"/>
                              </w:rPr>
                              <w:t>局部放大图</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4" o:spid="_x0000_s1026" o:spt="202" type="#_x0000_t202" style="position:absolute;left:0pt;margin-left:5.2pt;margin-top:2.65pt;height:26.45pt;width:78.4pt;z-index:251712512;mso-width-relative:page;mso-height-relative:page;" fillcolor="#FFFFFF" filled="t" stroked="t" coordsize="21600,21600" o:gfxdata="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3bWck1QAAAAcBAAAPAAAAAAAAAAEAIAAAACIAAABkcnMv&#10;ZG93bnJldi54bWxQSwECFAAUAAAACACHTuJAeb1XYngCAADxBAAADgAAAAAAAAABACAAAAAkAQAA&#10;ZHJzL2Uyb0RvYy54bWxQSwUGAAAAAAYABgBZAQAADgYAAAAA&#10;">
                <v:fill on="t" focussize="0,0"/>
                <v:stroke color="#000000" miterlimit="8" joinstyle="miter"/>
                <v:imagedata o:title=""/>
                <o:lock v:ext="edit" aspectratio="f"/>
                <v:textbox>
                  <w:txbxContent>
                    <w:p>
                      <w:pPr>
                        <w:ind w:firstLine="0" w:firstLineChars="0"/>
                      </w:pPr>
                      <w:r>
                        <w:rPr>
                          <w:rFonts w:hint="eastAsia"/>
                        </w:rPr>
                        <w:t>局部放大图</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76850" cy="3596005"/>
            <wp:effectExtent l="38100" t="38100" r="38100" b="42545"/>
            <wp:docPr id="1962285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8515" name="图片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5276850" cy="3596005"/>
                    </a:xfrm>
                    <a:prstGeom prst="rect">
                      <a:avLst/>
                    </a:prstGeom>
                    <a:noFill/>
                    <a:ln w="38100">
                      <a:solidFill>
                        <a:srgbClr val="FF0000"/>
                      </a:solid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349" w:name="_Ref143335575"/>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bookmarkEnd w:id="349"/>
      <w:r>
        <w:rPr>
          <w:rFonts w:hint="default" w:ascii="Times New Roman" w:hAnsi="Times New Roman" w:cs="Times New Roman"/>
          <w:color w:val="000000" w:themeColor="text1"/>
          <w:highlight w:val="none"/>
          <w14:textFill>
            <w14:solidFill>
              <w14:schemeClr w14:val="tx1"/>
            </w14:solidFill>
          </w14:textFill>
        </w:rPr>
        <w:t xml:space="preserve"> 大气环境风险调查范围及敏感点分布图</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3）气象参数</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大气风险预测模型主要参数表</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77"/>
        <w:gridCol w:w="1755"/>
        <w:gridCol w:w="52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参数类型</w:t>
            </w:r>
          </w:p>
        </w:tc>
        <w:tc>
          <w:tcPr>
            <w:tcW w:w="1049"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选项</w:t>
            </w:r>
          </w:p>
        </w:tc>
        <w:tc>
          <w:tcPr>
            <w:tcW w:w="3128"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基本情况</w:t>
            </w: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事故源经度/（°）</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107.81197205°E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事故源纬度/（°）</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31.55657136°N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事故源类型</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含硫天然气井发生井喷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气象参数</w:t>
            </w: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气象条件类型</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最不利气象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风速/（m/s）</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环境温度/℃</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相对湿度/%</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稳定度</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其他参数</w:t>
            </w: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地表粗糙度/m</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是否考虑地形</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049"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地形数据精度/m</w:t>
            </w:r>
          </w:p>
        </w:tc>
        <w:tc>
          <w:tcPr>
            <w:tcW w:w="3128"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90m</w:t>
            </w:r>
          </w:p>
        </w:tc>
      </w:tr>
    </w:tbl>
    <w:p>
      <w:pPr>
        <w:pStyle w:val="93"/>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drawing>
          <wp:inline distT="0" distB="0" distL="0" distR="0">
            <wp:extent cx="4818380" cy="3236595"/>
            <wp:effectExtent l="0" t="0" r="1270" b="1905"/>
            <wp:docPr id="4939745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74557" name="图片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4824006" cy="3240385"/>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硫化氢事故状态参数输入</w:t>
      </w:r>
    </w:p>
    <w:p>
      <w:pPr>
        <w:pStyle w:val="93"/>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drawing>
          <wp:inline distT="0" distB="0" distL="0" distR="0">
            <wp:extent cx="5088255" cy="3346450"/>
            <wp:effectExtent l="0" t="0" r="0" b="6350"/>
            <wp:docPr id="16710315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31572" name="图片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090900" cy="3347987"/>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甲烷事故状态参数输入</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4）大气毒性终点浓度选取见</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_Ref142859261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表6.4</w:t>
      </w:r>
      <w:r>
        <w:rPr>
          <w:rFonts w:hint="default" w:ascii="Times New Roman" w:hAnsi="Times New Roman" w:cs="Times New Roman"/>
          <w:bCs/>
          <w:color w:val="000000" w:themeColor="text1"/>
          <w:kern w:val="2"/>
          <w:highlight w:val="none"/>
          <w:lang w:eastAsia="zh-CN"/>
          <w14:textFill>
            <w14:solidFill>
              <w14:schemeClr w14:val="tx1"/>
            </w14:solidFill>
          </w14:textFill>
        </w:rPr>
        <w:noBreakHyphen/>
      </w:r>
      <w:r>
        <w:rPr>
          <w:rFonts w:hint="default" w:ascii="Times New Roman" w:hAnsi="Times New Roman" w:cs="Times New Roman"/>
          <w:bCs/>
          <w:color w:val="000000" w:themeColor="text1"/>
          <w:kern w:val="2"/>
          <w:highlight w:val="none"/>
          <w:lang w:eastAsia="zh-CN"/>
          <w14:textFill>
            <w14:solidFill>
              <w14:schemeClr w14:val="tx1"/>
            </w14:solidFill>
          </w14:textFill>
        </w:rPr>
        <w:t>5</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350" w:name="_Ref142859261"/>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fldChar w:fldCharType="end"/>
      </w:r>
      <w:bookmarkEnd w:id="350"/>
      <w:r>
        <w:rPr>
          <w:rFonts w:hint="default" w:ascii="Times New Roman" w:hAnsi="Times New Roman" w:cs="Times New Roman"/>
          <w:color w:val="000000" w:themeColor="text1"/>
          <w:highlight w:val="none"/>
          <w14:textFill>
            <w14:solidFill>
              <w14:schemeClr w14:val="tx1"/>
            </w14:solidFill>
          </w14:textFill>
        </w:rPr>
        <w:t xml:space="preserve"> 大气毒性终点浓度选取表</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020"/>
        <w:gridCol w:w="3448"/>
        <w:gridCol w:w="2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07"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名称</w:t>
            </w:r>
          </w:p>
        </w:tc>
        <w:tc>
          <w:tcPr>
            <w:tcW w:w="2061"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毒性终点浓度-1/（mg/m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w:t>
            </w:r>
          </w:p>
        </w:tc>
        <w:tc>
          <w:tcPr>
            <w:tcW w:w="1732"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毒性终点浓度-2/（mg/m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07"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硫化氢</w:t>
            </w:r>
          </w:p>
        </w:tc>
        <w:tc>
          <w:tcPr>
            <w:tcW w:w="2061"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w:t>
            </w:r>
          </w:p>
        </w:tc>
        <w:tc>
          <w:tcPr>
            <w:tcW w:w="173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07" w:type="pct"/>
            <w:shd w:val="clear" w:color="auto" w:fill="auto"/>
            <w:vAlign w:val="center"/>
          </w:tcPr>
          <w:p>
            <w:pPr>
              <w:pStyle w:val="295"/>
              <w:rPr>
                <w:rFonts w:hint="default" w:ascii="Times New Roman" w:hAnsi="Times New Roman" w:cs="Times New Roman"/>
                <w:color w:val="000000" w:themeColor="text1"/>
                <w:highlight w:val="none"/>
                <w:vertAlign w:val="subscript"/>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甲烷</w:t>
            </w:r>
          </w:p>
        </w:tc>
        <w:tc>
          <w:tcPr>
            <w:tcW w:w="2061"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260000</w:t>
            </w:r>
          </w:p>
        </w:tc>
        <w:tc>
          <w:tcPr>
            <w:tcW w:w="173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150000 </w:t>
            </w:r>
          </w:p>
        </w:tc>
      </w:tr>
    </w:tbl>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5）预测结果</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①一般计算点影响情况</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最不利气象条件下的一般计算点浓度，预测结果如下：</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大气毒性终点浓度影响区域</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42"/>
        <w:gridCol w:w="1242"/>
        <w:gridCol w:w="1208"/>
        <w:gridCol w:w="1208"/>
        <w:gridCol w:w="1423"/>
        <w:gridCol w:w="2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物质名称</w:t>
            </w:r>
          </w:p>
        </w:tc>
        <w:tc>
          <w:tcPr>
            <w:tcW w:w="742"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阈值mg/m</w:t>
            </w:r>
            <w:r>
              <w:rPr>
                <w:rFonts w:hint="default" w:ascii="Times New Roman" w:hAnsi="Times New Roman" w:cs="Times New Roman"/>
                <w:b/>
                <w:bCs/>
                <w:color w:val="000000" w:themeColor="text1"/>
                <w:highlight w:val="none"/>
                <w:vertAlign w:val="superscript"/>
                <w14:textFill>
                  <w14:solidFill>
                    <w14:schemeClr w14:val="tx1"/>
                  </w14:solidFill>
                </w14:textFill>
              </w:rPr>
              <w:t>3</w:t>
            </w:r>
          </w:p>
        </w:tc>
        <w:tc>
          <w:tcPr>
            <w:tcW w:w="722"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X起点，m</w:t>
            </w:r>
          </w:p>
        </w:tc>
        <w:tc>
          <w:tcPr>
            <w:tcW w:w="722"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X终点，m</w:t>
            </w:r>
          </w:p>
        </w:tc>
        <w:tc>
          <w:tcPr>
            <w:tcW w:w="850"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最大半宽，m</w:t>
            </w:r>
          </w:p>
        </w:tc>
        <w:tc>
          <w:tcPr>
            <w:tcW w:w="1221"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最大半宽对应X，m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硫化氢</w:t>
            </w:r>
          </w:p>
        </w:tc>
        <w:tc>
          <w:tcPr>
            <w:tcW w:w="74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72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w:t>
            </w:r>
          </w:p>
        </w:tc>
        <w:tc>
          <w:tcPr>
            <w:tcW w:w="72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2170</w:t>
            </w:r>
          </w:p>
        </w:tc>
        <w:tc>
          <w:tcPr>
            <w:tcW w:w="850"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82</w:t>
            </w:r>
          </w:p>
        </w:tc>
        <w:tc>
          <w:tcPr>
            <w:tcW w:w="1221"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4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w:t>
            </w:r>
          </w:p>
        </w:tc>
        <w:tc>
          <w:tcPr>
            <w:tcW w:w="72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w:t>
            </w:r>
          </w:p>
        </w:tc>
        <w:tc>
          <w:tcPr>
            <w:tcW w:w="72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1380</w:t>
            </w:r>
          </w:p>
        </w:tc>
        <w:tc>
          <w:tcPr>
            <w:tcW w:w="850"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58</w:t>
            </w:r>
          </w:p>
        </w:tc>
        <w:tc>
          <w:tcPr>
            <w:tcW w:w="1221"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甲烷</w:t>
            </w:r>
          </w:p>
        </w:tc>
        <w:tc>
          <w:tcPr>
            <w:tcW w:w="74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150000</w:t>
            </w:r>
          </w:p>
        </w:tc>
        <w:tc>
          <w:tcPr>
            <w:tcW w:w="72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c>
          <w:tcPr>
            <w:tcW w:w="72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c>
          <w:tcPr>
            <w:tcW w:w="850"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c>
          <w:tcPr>
            <w:tcW w:w="1221"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4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260000</w:t>
            </w:r>
          </w:p>
        </w:tc>
        <w:tc>
          <w:tcPr>
            <w:tcW w:w="72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c>
          <w:tcPr>
            <w:tcW w:w="722"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c>
          <w:tcPr>
            <w:tcW w:w="850"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c>
          <w:tcPr>
            <w:tcW w:w="1221"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r>
    </w:tbl>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76850" cy="3255645"/>
            <wp:effectExtent l="0" t="0" r="0" b="1905"/>
            <wp:docPr id="12664747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74706" name="图片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5276850" cy="3255645"/>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最不利气象条件下H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S扩散最大影响区域图</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76850" cy="2707640"/>
            <wp:effectExtent l="0" t="0" r="0" b="0"/>
            <wp:docPr id="19770335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033591" name="图片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5276850" cy="2707640"/>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最不利气象条件下CH</w:t>
      </w:r>
      <w:r>
        <w:rPr>
          <w:rFonts w:hint="default" w:ascii="Times New Roman" w:hAnsi="Times New Roman" w:cs="Times New Roman"/>
          <w:color w:val="000000" w:themeColor="text1"/>
          <w:highlight w:val="none"/>
          <w:vertAlign w:val="sub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扩散轴线扩散最大浓度图</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污染物扩散轴线各点的最大浓度列表（最不利气象）</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603"/>
        <w:gridCol w:w="1566"/>
        <w:gridCol w:w="1815"/>
        <w:gridCol w:w="1566"/>
        <w:gridCol w:w="1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trPr>
        <w:tc>
          <w:tcPr>
            <w:tcW w:w="958" w:type="pct"/>
            <w:vMerge w:val="restar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轴线距离（m）</w:t>
            </w:r>
          </w:p>
        </w:tc>
        <w:tc>
          <w:tcPr>
            <w:tcW w:w="2021" w:type="pct"/>
            <w:gridSpan w:val="2"/>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硫化氢</w:t>
            </w:r>
          </w:p>
        </w:tc>
        <w:tc>
          <w:tcPr>
            <w:tcW w:w="2021" w:type="pct"/>
            <w:gridSpan w:val="2"/>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甲烷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trPr>
        <w:tc>
          <w:tcPr>
            <w:tcW w:w="958" w:type="pct"/>
            <w:vMerge w:val="continue"/>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p>
        </w:tc>
        <w:tc>
          <w:tcPr>
            <w:tcW w:w="936"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出现时间，min</w:t>
            </w:r>
          </w:p>
        </w:tc>
        <w:tc>
          <w:tcPr>
            <w:tcW w:w="1085"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高峰浓度，mg/m</w:t>
            </w:r>
            <w:r>
              <w:rPr>
                <w:rFonts w:hint="default" w:ascii="Times New Roman" w:hAnsi="Times New Roman" w:cs="Times New Roman"/>
                <w:b/>
                <w:bCs/>
                <w:color w:val="000000" w:themeColor="text1"/>
                <w:highlight w:val="none"/>
                <w:vertAlign w:val="superscript"/>
                <w14:textFill>
                  <w14:solidFill>
                    <w14:schemeClr w14:val="tx1"/>
                  </w14:solidFill>
                </w14:textFill>
              </w:rPr>
              <w:t>3</w:t>
            </w:r>
          </w:p>
        </w:tc>
        <w:tc>
          <w:tcPr>
            <w:tcW w:w="936"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出现时间，min</w:t>
            </w:r>
          </w:p>
        </w:tc>
        <w:tc>
          <w:tcPr>
            <w:tcW w:w="1085" w:type="pc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高峰浓度，mg/m</w:t>
            </w:r>
            <w:r>
              <w:rPr>
                <w:rFonts w:hint="default" w:ascii="Times New Roman" w:hAnsi="Times New Roman" w:cs="Times New Roman"/>
                <w:b/>
                <w:bCs/>
                <w:color w:val="000000" w:themeColor="text1"/>
                <w:highlight w:val="none"/>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10.00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1.1111E-01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1.2123E+01</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1.1111E-01</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2.8439E+01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50.00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5.5556E-01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4.4498E+03</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5.5556E-01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1.0439E+04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100.00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1.1111E+00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2.9651E+03</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1.1111E+00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6.9557E+03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150.00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1.6667E+00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1.9900E+03</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1.6667E+00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4.6683E+03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200.00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2.2222E+00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1.4034E+03</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2.2222E+00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3.2921E+03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300.00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3.3333E+00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8.0066E+02</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3.3333E+00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1.8782E+03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400.00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4.4444E+00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5.2002E+02</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4.4444E+00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1.2199E+03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500.00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5.5556E+00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3.6742E+02</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5.5556E+00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8.6191E+02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600.00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6.6667E+00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2.7500E+02</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6.6667E+00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6.4512E+02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700.00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7.7778E+00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2.1458E+02</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7.7778E+00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5.0338E+02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800.00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8.8889E+00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1.7277E+02</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8.8889E+00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4.0529E+02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900.00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1.0000E+01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1.4254E+02</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1.0000E+01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3.3437E+02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1000.00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1.1111E+01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1.1991E+02</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1.1111E+01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2.8130E+02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1200.00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1.3333E+01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8.8790E+01</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1.3333E+01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2.0829E+02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1400.00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1.9556E+01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6.8788E+01</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1.9556E+01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1.6137E+02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1600.00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2.1778E+01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5.7167E+01</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2.1778E+01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1.3411E+02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1800.00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2.5000E+01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4.8905E+01</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2.5000E+01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1.1473E+02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2000.00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2.7222E+01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4.2527E+01</w:t>
            </w:r>
          </w:p>
        </w:tc>
        <w:tc>
          <w:tcPr>
            <w:tcW w:w="936"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 xml:space="preserve">2.7222E+01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9.9762E+01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2500.00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3.3778E+01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3.1621E+01</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3.3778E+01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7.4179E+01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3000.00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4.0333E+01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2.4814E+01</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4.0333E+01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5.8211E+01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3500.00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4.6889E+01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2.0211E+01</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4.6889E+01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4.7413E+01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4000.00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5.1444E+01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1.6912E+01</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5.1444E+01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3.9674E+01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4500.00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5.7000E+01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1.4440E+01</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5.7000E+01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3.3874E+01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5000.00</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6.2555E+01      </w:t>
            </w:r>
          </w:p>
        </w:tc>
        <w:tc>
          <w:tcPr>
            <w:tcW w:w="1085" w:type="pct"/>
            <w:shd w:val="clear" w:color="auto" w:fill="auto"/>
            <w:vAlign w:val="bottom"/>
          </w:tcPr>
          <w:p>
            <w:pPr>
              <w:autoSpaceDE w:val="0"/>
              <w:autoSpaceDN w:val="0"/>
              <w:snapToGrid/>
              <w:spacing w:line="240" w:lineRule="auto"/>
              <w:ind w:firstLine="0" w:firstLineChars="0"/>
              <w:jc w:val="center"/>
              <w:rPr>
                <w:rFonts w:hint="default" w:ascii="Times New Roman" w:hAnsi="Times New Roman" w:eastAsia="等线" w:cs="Times New Roman"/>
                <w:color w:val="000000" w:themeColor="text1"/>
                <w:sz w:val="22"/>
                <w:highlight w:val="none"/>
                <w14:textFill>
                  <w14:solidFill>
                    <w14:schemeClr w14:val="tx1"/>
                  </w14:solidFill>
                </w14:textFill>
              </w:rPr>
            </w:pPr>
            <w:r>
              <w:rPr>
                <w:rFonts w:hint="default" w:ascii="Times New Roman" w:hAnsi="Times New Roman" w:eastAsia="等线" w:cs="Times New Roman"/>
                <w:color w:val="000000" w:themeColor="text1"/>
                <w:sz w:val="22"/>
                <w:highlight w:val="none"/>
                <w14:textFill>
                  <w14:solidFill>
                    <w14:schemeClr w14:val="tx1"/>
                  </w14:solidFill>
                </w14:textFill>
              </w:rPr>
              <w:t>1.2518E+01</w:t>
            </w:r>
          </w:p>
        </w:tc>
        <w:tc>
          <w:tcPr>
            <w:tcW w:w="936"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 xml:space="preserve">6.2555E+01      </w:t>
            </w:r>
          </w:p>
        </w:tc>
        <w:tc>
          <w:tcPr>
            <w:tcW w:w="1085" w:type="pct"/>
            <w:shd w:val="clear" w:color="auto" w:fill="auto"/>
            <w:vAlign w:val="bottom"/>
          </w:tcPr>
          <w:p>
            <w:pPr>
              <w:pStyle w:val="295"/>
              <w:rPr>
                <w:rFonts w:hint="default" w:ascii="Times New Roman" w:hAnsi="Times New Roman" w:eastAsia="等线" w:cs="Times New Roman"/>
                <w:color w:val="000000" w:themeColor="text1"/>
                <w:sz w:val="22"/>
                <w:szCs w:val="22"/>
                <w:highlight w:val="none"/>
                <w14:textFill>
                  <w14:solidFill>
                    <w14:schemeClr w14:val="tx1"/>
                  </w14:solidFill>
                </w14:textFill>
              </w:rPr>
            </w:pPr>
            <w:r>
              <w:rPr>
                <w:rFonts w:hint="default" w:ascii="Times New Roman" w:hAnsi="Times New Roman" w:eastAsia="等线" w:cs="Times New Roman"/>
                <w:color w:val="000000" w:themeColor="text1"/>
                <w:sz w:val="22"/>
                <w:szCs w:val="22"/>
                <w:highlight w:val="none"/>
                <w14:textFill>
                  <w14:solidFill>
                    <w14:schemeClr w14:val="tx1"/>
                  </w14:solidFill>
                </w14:textFill>
              </w:rPr>
              <w:t>2.9365E+01</w:t>
            </w:r>
          </w:p>
        </w:tc>
      </w:tr>
    </w:tbl>
    <w:p>
      <w:pPr>
        <w:pStyle w:val="21"/>
        <w:spacing w:before="120" w:beforeLines="5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p>
    <w:p>
      <w:pPr>
        <w:pStyle w:val="21"/>
        <w:spacing w:before="120" w:beforeLines="5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预测结果分析：发生井喷时，以井口为源点，H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S扩散后达到毒性终点浓度-2的最远距离为下风向2178m，到达时间为29.1min，达到毒性终点浓度-1的最远距离为下风向1380m，到达时间为19.3min。CH</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扩散后下风向最大浓度为10735mg/m</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3</w:t>
      </w:r>
      <w:r>
        <w:rPr>
          <w:rFonts w:hint="default" w:ascii="Times New Roman" w:hAnsi="Times New Roman" w:cs="Times New Roman"/>
          <w:bCs/>
          <w:color w:val="000000" w:themeColor="text1"/>
          <w:kern w:val="2"/>
          <w:highlight w:val="none"/>
          <w:lang w:eastAsia="zh-CN"/>
          <w14:textFill>
            <w14:solidFill>
              <w14:schemeClr w14:val="tx1"/>
            </w14:solidFill>
          </w14:textFill>
        </w:rPr>
        <w:t>，对应时间为0.44min，无达到毒性终点浓度-2和毒性终点浓度-1的对应位置。</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最不利气象下污染物扩散对周围敏感点的影响</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15"/>
        <w:gridCol w:w="2321"/>
        <w:gridCol w:w="725"/>
        <w:gridCol w:w="577"/>
        <w:gridCol w:w="1607"/>
        <w:gridCol w:w="1182"/>
        <w:gridCol w:w="14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blHeader/>
          <w:jc w:val="center"/>
        </w:trPr>
        <w:tc>
          <w:tcPr>
            <w:tcW w:w="308" w:type="pct"/>
            <w:vMerge w:val="restar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分类</w:t>
            </w:r>
          </w:p>
        </w:tc>
        <w:tc>
          <w:tcPr>
            <w:tcW w:w="1387" w:type="pct"/>
            <w:vMerge w:val="restar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名称</w:t>
            </w:r>
          </w:p>
        </w:tc>
        <w:tc>
          <w:tcPr>
            <w:tcW w:w="778" w:type="pct"/>
            <w:gridSpan w:val="2"/>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坐标</w:t>
            </w:r>
          </w:p>
        </w:tc>
        <w:tc>
          <w:tcPr>
            <w:tcW w:w="960" w:type="pct"/>
            <w:vMerge w:val="restart"/>
            <w:shd w:val="clear" w:color="auto" w:fill="auto"/>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最大浓度及出现时间</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（mg/m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|min）</w:t>
            </w:r>
          </w:p>
        </w:tc>
        <w:tc>
          <w:tcPr>
            <w:tcW w:w="706"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毒性终点浓度2</w:t>
            </w:r>
          </w:p>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（mg/m</w:t>
            </w:r>
            <w:r>
              <w:rPr>
                <w:rFonts w:hint="default" w:ascii="Times New Roman" w:hAnsi="Times New Roman" w:cs="Times New Roman"/>
                <w:b/>
                <w:bCs/>
                <w:color w:val="000000" w:themeColor="text1"/>
                <w:highlight w:val="none"/>
                <w:vertAlign w:val="superscript"/>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w:t>
            </w:r>
          </w:p>
        </w:tc>
        <w:tc>
          <w:tcPr>
            <w:tcW w:w="860" w:type="pct"/>
            <w:vMerge w:val="restar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blHeade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433"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X</w:t>
            </w:r>
          </w:p>
        </w:tc>
        <w:tc>
          <w:tcPr>
            <w:tcW w:w="345" w:type="pc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Y</w:t>
            </w:r>
          </w:p>
        </w:tc>
        <w:tc>
          <w:tcPr>
            <w:tcW w:w="960"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06"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60"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w:t>
            </w: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431</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-140</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0.00E+00|5</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189</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-300</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0.00E+00|5</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-218</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-344</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3.19E-07|5</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8.39E-07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-284</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-136</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9.75E+00|5</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shd w:val="pct10" w:color="auto" w:fill="FFFFFF"/>
                <w14:textFill>
                  <w14:solidFill>
                    <w14:schemeClr w14:val="tx1"/>
                  </w14:solidFill>
                </w14:textFill>
              </w:rPr>
              <w:t>2.57E+01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-443</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-97</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1.83E-15|5</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4.82E-15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-262</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-449</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4.49E-08|5</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1.18E-07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7#居民点（沙坝村）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789</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145</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0.00E+00|5</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-201</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-966</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3.87E-38|10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1.02E-37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-680</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-724</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3.37E+01|15</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shd w:val="pct10" w:color="auto" w:fill="FFFFFF"/>
                <w14:textFill>
                  <w14:solidFill>
                    <w14:schemeClr w14:val="tx1"/>
                  </w14:solidFill>
                </w14:textFill>
              </w:rPr>
              <w:t>8.87E+01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-1126</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-911</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2.84E+01|15</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shd w:val="pct10" w:color="auto" w:fill="FFFFFF"/>
                <w14:textFill>
                  <w14:solidFill>
                    <w14:schemeClr w14:val="tx1"/>
                  </w14:solidFill>
                </w14:textFill>
              </w:rPr>
            </w:pPr>
            <w:r>
              <w:rPr>
                <w:rFonts w:hint="default" w:ascii="Times New Roman" w:hAnsi="Times New Roman" w:cs="Times New Roman"/>
                <w:color w:val="000000" w:themeColor="text1"/>
                <w:highlight w:val="none"/>
                <w:shd w:val="pct10" w:color="auto" w:fill="FFFFFF"/>
                <w14:textFill>
                  <w14:solidFill>
                    <w14:schemeClr w14:val="tx1"/>
                  </w14:solidFill>
                </w14:textFill>
              </w:rPr>
              <w:t>7.47E+01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11#居民点（北斗村）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-1324</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-1543</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4.97E+00|30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shd w:val="pct10" w:color="auto" w:fill="FFFFFF"/>
                <w14:textFill>
                  <w14:solidFill>
                    <w14:schemeClr w14:val="tx1"/>
                  </w14:solidFill>
                </w14:textFill>
              </w:rPr>
            </w:pPr>
            <w:r>
              <w:rPr>
                <w:rFonts w:hint="default" w:ascii="Times New Roman" w:hAnsi="Times New Roman" w:cs="Times New Roman"/>
                <w:color w:val="000000" w:themeColor="text1"/>
                <w:highlight w:val="none"/>
                <w:shd w:val="pct10" w:color="auto" w:fill="FFFFFF"/>
                <w14:textFill>
                  <w14:solidFill>
                    <w14:schemeClr w14:val="tx1"/>
                  </w14:solidFill>
                </w14:textFill>
              </w:rPr>
              <w:t>1.31E+01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12#居民点（北斗村）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-1335</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-1889</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1.37E-02|30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3.61E-02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13#居民点（塔垭村）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740</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-1043</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14#居民点（沙坝村）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1023</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820</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15#居民点（沙坝村）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1908</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-452</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16#居民点（芭蕉村）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-1229</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613</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17#居民点（官寨村）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2750</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2023</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18#黄金镇居民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1599</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2796</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19#居民点（支溪村）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-180</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1834</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20#居民点（灯笼村）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-2510</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467</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21#居民点（龙凤村）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2157</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-1260</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22#居民点（铁尖村）</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507</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-2918</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23#黄金太平小学</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1853</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2966</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24#黄金初级中学</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1939</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2934</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0.00E+00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25#普光中学</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-4186</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-2365</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5.86E-26|30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1.54E-25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26#普光卫生院区</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-4175</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-2537</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1.38E-25|30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3.63E-25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08" w:type="pct"/>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387"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27#普光中心校</w:t>
            </w:r>
          </w:p>
        </w:tc>
        <w:tc>
          <w:tcPr>
            <w:tcW w:w="433"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-4218</w:t>
            </w:r>
          </w:p>
        </w:tc>
        <w:tc>
          <w:tcPr>
            <w:tcW w:w="345"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-2645</w:t>
            </w:r>
          </w:p>
        </w:tc>
        <w:tc>
          <w:tcPr>
            <w:tcW w:w="960" w:type="pct"/>
            <w:shd w:val="clear" w:color="auto" w:fill="auto"/>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3.75E-26|30</w:t>
            </w:r>
          </w:p>
        </w:tc>
        <w:tc>
          <w:tcPr>
            <w:tcW w:w="70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w:t>
            </w:r>
          </w:p>
        </w:tc>
        <w:tc>
          <w:tcPr>
            <w:tcW w:w="860" w:type="pct"/>
            <w:vAlign w:val="bottom"/>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9.87E-26</w:t>
            </w:r>
          </w:p>
        </w:tc>
      </w:tr>
    </w:tbl>
    <w:p>
      <w:pPr>
        <w:pStyle w:val="93"/>
        <w:keepNex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76850" cy="2743835"/>
            <wp:effectExtent l="0" t="0" r="0" b="0"/>
            <wp:docPr id="728534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53434" name="图片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5276850" cy="2743835"/>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6.4</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井喷事故时周边敏感点浓度-时间曲线</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预测结果分析：根据风险导则要求，在</w:t>
      </w:r>
      <w:r>
        <w:rPr>
          <w:rFonts w:hint="default" w:ascii="Times New Roman" w:hAnsi="Times New Roman" w:cs="Times New Roman"/>
          <w:bCs/>
          <w:color w:val="000000" w:themeColor="text1"/>
          <w:kern w:val="2"/>
          <w:highlight w:val="none"/>
          <w:lang w:eastAsia="zh-CN"/>
          <w14:textFill>
            <w14:solidFill>
              <w14:schemeClr w14:val="tx1"/>
            </w14:solidFill>
          </w14:textFill>
        </w:rPr>
        <w:t>最不利气象条件下（风速1.5m/s，风向NE风，大气稳定度F，环境温度25℃），预测</w:t>
      </w:r>
      <w:r>
        <w:rPr>
          <w:rFonts w:hint="default" w:ascii="Times New Roman" w:hAnsi="Times New Roman" w:cs="Times New Roman"/>
          <w:color w:val="000000" w:themeColor="text1"/>
          <w:highlight w:val="none"/>
          <w:lang w:eastAsia="zh-CN"/>
          <w14:textFill>
            <w14:solidFill>
              <w14:schemeClr w14:val="tx1"/>
            </w14:solidFill>
          </w14:textFill>
        </w:rPr>
        <w:t>发生井喷时，以井口为源点，根据H</w:t>
      </w:r>
      <w:r>
        <w:rPr>
          <w:rFonts w:hint="default" w:ascii="Times New Roman" w:hAnsi="Times New Roman" w:cs="Times New Roman"/>
          <w:color w:val="000000" w:themeColor="text1"/>
          <w:highlight w:val="none"/>
          <w:vertAlign w:val="subscript"/>
          <w:lang w:eastAsia="zh-CN"/>
          <w14:textFill>
            <w14:solidFill>
              <w14:schemeClr w14:val="tx1"/>
            </w14:solidFill>
          </w14:textFill>
        </w:rPr>
        <w:t>2</w:t>
      </w:r>
      <w:r>
        <w:rPr>
          <w:rFonts w:hint="default" w:ascii="Times New Roman" w:hAnsi="Times New Roman" w:cs="Times New Roman"/>
          <w:color w:val="000000" w:themeColor="text1"/>
          <w:highlight w:val="none"/>
          <w:lang w:eastAsia="zh-CN"/>
          <w14:textFill>
            <w14:solidFill>
              <w14:schemeClr w14:val="tx1"/>
            </w14:solidFill>
          </w14:textFill>
        </w:rPr>
        <w:t>S扩散后，下风向有居民点出现超过毒性终点浓度2的情形，事故下风向特别是4#、9#、10#、11#、12#等距离井口较近且位于最不利气象下风向下的居民点超标较严重，故发生风险事故后应重点关注上述区域范围内敏感目标的撤离，同时其他敏感目标也应有序进行撤离。</w:t>
      </w:r>
    </w:p>
    <w:p>
      <w:pPr>
        <w:pStyle w:val="21"/>
        <w:spacing w:before="0"/>
        <w:ind w:left="0" w:firstLine="480"/>
        <w:jc w:val="both"/>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发生井喷时，以井口为源点，CH</w:t>
      </w:r>
      <w:r>
        <w:rPr>
          <w:rFonts w:hint="default" w:ascii="Times New Roman" w:hAnsi="Times New Roman" w:cs="Times New Roman"/>
          <w:color w:val="000000" w:themeColor="text1"/>
          <w:highlight w:val="none"/>
          <w:vertAlign w:val="subscript"/>
          <w:lang w:eastAsia="zh-CN"/>
          <w14:textFill>
            <w14:solidFill>
              <w14:schemeClr w14:val="tx1"/>
            </w14:solidFill>
          </w14:textFill>
        </w:rPr>
        <w:t>4</w:t>
      </w:r>
      <w:r>
        <w:rPr>
          <w:rFonts w:hint="default" w:ascii="Times New Roman" w:hAnsi="Times New Roman" w:cs="Times New Roman"/>
          <w:color w:val="000000" w:themeColor="text1"/>
          <w:highlight w:val="none"/>
          <w:lang w:eastAsia="zh-CN"/>
          <w14:textFill>
            <w14:solidFill>
              <w14:schemeClr w14:val="tx1"/>
            </w14:solidFill>
          </w14:textFill>
        </w:rPr>
        <w:t>扩散后，各敏感点均未出现超标。</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6）普光气田开发运营多年所采取的风险防范措施及效果</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中国石化普光气田开发及川气东送管道工程普光气田开发工程环境风险评价专题报告（2012年）可知，建设单位在历年气田开发生产过程中采取了诸多环保措施，以确保将风险事故降至最低，主要采取了如下措施：</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①严格落实各项环境风险防范措施，细化程序，明确责任</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A.严格落实了各项环境风险防范措施</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a.采取了高标准的技术措施：采用的工艺技术、管线材质和风险防控措施均是国际最高标准。采用了SCADA、（ESD、F-G）火气监测系统、腐蚀监测、ESD等安全防范措施，风险投资达14.1437亿元。</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b.建立了严格的防范等级：一是采取了目前国际上最高等级的四级防范关断系统，在紧急状态，可对单井、单站、管线、全气田实二紧急关断，采取火妇放空泄乐进行控制保护，有效地杜绝了风险事件的发生，消除了环培事件隐患。二是</w:t>
      </w:r>
      <w:r>
        <w:rPr>
          <w:rFonts w:hint="default" w:ascii="Times New Roman" w:hAnsi="Times New Roman" w:cs="Times New Roman"/>
          <w:bCs/>
          <w:color w:val="000000" w:themeColor="text1"/>
          <w:kern w:val="2"/>
          <w:highlight w:val="none"/>
          <w:lang w:val="en-US" w:eastAsia="zh-CN"/>
          <w14:textFill>
            <w14:solidFill>
              <w14:schemeClr w14:val="tx1"/>
            </w14:solidFill>
          </w14:textFill>
        </w:rPr>
        <w:t>建</w:t>
      </w:r>
      <w:r>
        <w:rPr>
          <w:rFonts w:hint="default" w:ascii="Times New Roman" w:hAnsi="Times New Roman" w:cs="Times New Roman"/>
          <w:bCs/>
          <w:color w:val="000000" w:themeColor="text1"/>
          <w:kern w:val="2"/>
          <w:highlight w:val="none"/>
          <w:lang w:eastAsia="zh-CN"/>
          <w14:textFill>
            <w14:solidFill>
              <w14:schemeClr w14:val="tx1"/>
            </w14:solidFill>
          </w14:textFill>
        </w:rPr>
        <w:t>成了紧急疏散广播系统建成了紧急疏散广播系统，修建基站6座，安装紧急疏散广播点287个，在每个集气站安装了紧急疏散警报（属防空警报器），声音达123分贝，可覆盖场站周边2km。通过飞信及应急广播系统，及时通知周边村民。在居民密集的地方设置了逃生方向示意图。每个集气站周边有2个以上的紧急集合点。</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c.完善了HSE管理体系：一是集输系统建成火气检测系统（FCS）、腐蚀监测和视频监控系统，在站场、阀室、管线和隧道等部位安装了硫化氢检测仪376个、可燃气体检测仪305个、火焰探测器124个、腐蚀监测仪309个、电指纹监测仪19个、视频摄像头120个是对投产每个站场、管道和每套装置等都进行消防监护，储备了充足的应急物资和设备，建立了普光气田生态安全监控系统，对区域大气、水质和土壤进行监测。三是按照“一点一事一策一案”的原则，编制了一个总体预案，9类专项预案，122项子预案。其中包括井喷、硫化氢泄漏和水体污染环境风险应急预案。按照投产方案开展不同级别应急演练，对应急指挥系统进行穿行测试，验证了预案的适用性和可操作性，检验了普光气田的应急处置能力和企地双方协同作战能力及组织疏散能力，集气站每周演练一次应急预案不气区每月演练一次，采气厂每季演练一次，企地联动半年一次。</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B.细化了管理程序，明确了责任</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a.编制了140项操作规程。</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b.编制了123项岗位HSE职责。</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②落实发生井喷失控（或放喷）时5分钟内实施点火、30分钟内紧急疏散伤害浓度范围内居民的措施</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A.已在有关规章制度和应急预案中规定了发生井喷失控（或放喷）时5分钟内实施点火、30分钟内紧急疏散伤害浓度范围内居民的措施。</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a.与北京理工大学联合研制了并喷失控（或放喷）点火枪（火焰喷射器），可按指令立即实施点火。</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b.建立了应急疏散广播系统、紧急疏散警报和飞信通知系统，确保伤害浓度范围内居民得到及时疏散。</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B.截至202</w:t>
      </w:r>
      <w:r>
        <w:rPr>
          <w:rFonts w:hint="default" w:ascii="Times New Roman" w:hAnsi="Times New Roman" w:cs="Times New Roman"/>
          <w:bCs/>
          <w:color w:val="000000" w:themeColor="text1"/>
          <w:kern w:val="2"/>
          <w:highlight w:val="none"/>
          <w:lang w:val="en-US"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年普光气钻井工程全部顺利完成的钻井均未发生喷失控事故。</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 3 \* GB3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③</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建立事故应急实时计算机评估系统</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委托中石化西南环境保护技术中心与北京师范大学联合研制了事故应急实时计算机评估系统，该系统不仅能在事故发生时，对环境影响范围和程度进行预警预测，还可针对普光气田生产活动对环境产生的影响进行长期的跟踪监测。该系统安装在普光分公司应急救援中心环境监测站，由监测站进行日常管理和维护。</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B.与相关院校开展研究，有针对性开展具有普光山区特点和气候特点的评估研究，建立一年四季的典型模型。</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 4 \* GB3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④</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加强井场气象观测</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在16座集气站设置了自动气象监测设施，可实时连续监测各集气站气压、湿度、温度、风向、风速等指标，可以实时就地显示及远传至应急救援中心，可在第一时间确定泄漏影响区域。</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 5 \* GB3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⑤</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集气站周围300m内、集气管线两侧100m内及半致死浓度范围内居民搬迁</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A.净化厂周围800m、集气站周围300m、管道两侧100m距离内的居民拆迁安置工作已全部完成。</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B.半致死浓度范围的居民拆迁安置工作正在抓紧进行。</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 6 \* GB3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⑥</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设置井场地面硫化氢检测报警仪</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A.已安装井场地面硫化氢检测报警仪。</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a.每个钻井井场设置5台固定式地面硫化氢检测仪；</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b.每个集气站场设置16～17台固定式地面硫化氢检测仪；</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c.阀室、隧道安装了68台固定式硫化氢气体检测仪；</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d.在气站、阀室安装了314台</w:t>
      </w:r>
      <w:r>
        <w:rPr>
          <w:rFonts w:hint="default" w:ascii="Times New Roman" w:hAnsi="Times New Roman" w:cs="Times New Roman"/>
          <w:bCs/>
          <w:color w:val="000000" w:themeColor="text1"/>
          <w:kern w:val="2"/>
          <w:highlight w:val="none"/>
          <w:lang w:val="en-US" w:eastAsia="zh-CN"/>
          <w14:textFill>
            <w14:solidFill>
              <w14:schemeClr w14:val="tx1"/>
            </w14:solidFill>
          </w14:textFill>
        </w:rPr>
        <w:t>可</w:t>
      </w:r>
      <w:r>
        <w:rPr>
          <w:rFonts w:hint="default" w:ascii="Times New Roman" w:hAnsi="Times New Roman" w:cs="Times New Roman"/>
          <w:bCs/>
          <w:color w:val="000000" w:themeColor="text1"/>
          <w:kern w:val="2"/>
          <w:highlight w:val="none"/>
          <w:lang w:eastAsia="zh-CN"/>
          <w14:textFill>
            <w14:solidFill>
              <w14:schemeClr w14:val="tx1"/>
            </w14:solidFill>
          </w14:textFill>
        </w:rPr>
        <w:t>燃气体检测仪：在集气站共安装了2台火焰检测器；在每条道内设置了11对开路式红外对射式可燃气体探测器在线探测甲烷气体，在隧道内安装了5对开放空间气体泄漏激光检测器，同时对硫化氢气体、可燃气体进行检测。</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B.每个站场设置长明灯火炬（双回路控制能实现自动点火），使泄漏的硫化氢气体得到及时燃烧。</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 7 \* GB3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⑦</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发生井漏等事故溢出的硫化氢影响周边地表水体和浅层地下水时，及时采取措施，划定饮用水禁止取水范围并通知周边居民，同时采取点火措施。及时做好风险事故的各项补偿措施</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A.加大表层套管下深。表层套管下深不少于700m，井口与河流、沟谷水平距离小于1000m的井，表层套管下深应低于河床、沟谷底部不少于300m。 以上措施可有效杜绝发生井漏等事故溢出的硫化氢影响周边地表水体和浅层地下水。</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B.完善井控制度，制定了钻井风险应急预案，配备了井场应急物资储备。</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C.已完钻的井均未发生井漏等事故。</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 8 \* GB3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⑧</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采用电子自动点火火炬放空系统，输气管道及站场采取密闭输送，选用可靠性高的设备</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A.每一个火炬均设置了长明灯和电子自动点火装置</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 xml:space="preserve">B输气管道及站场装置均采取天然气密闭输送。 </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C.采用加厚高抗硫管材、阴极保护、缓蚀剂加注及批处理涂膜、在线腐蚀监测等高性能设备；采用了先进的SCADA自动控制技术；四级关断技术等可靠性高的技术措施，实现了泄漏及时发现、有效控制。</w:t>
      </w:r>
    </w:p>
    <w:p>
      <w:pPr>
        <w:pStyle w:val="21"/>
        <w:ind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上述环境风险保护措施沿用至今，均未发生过相应的环境风险事故，可认为现行的环境风险防范措施有效可行，本项目将沿用上述的环境风险措施，且在发生环境风险措施后积极采取相应措施，尽量降低风险事故发生的概率和影响。</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（2）套管破裂天然气串层泄漏进入地表环境风险影响分析</w:t>
      </w:r>
    </w:p>
    <w:p>
      <w:pPr>
        <w:ind w:firstLine="480"/>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在施工中，出现套管破裂的概率很小。由于地下岩层的阻隔，事故发生后串层</w:t>
      </w:r>
      <w:r>
        <w:rPr>
          <w:rFonts w:hint="default" w:ascii="Times New Roman" w:hAnsi="Times New Roman" w:cs="Times New Roman"/>
          <w:color w:val="000000" w:themeColor="text1"/>
          <w:kern w:val="0"/>
          <w:szCs w:val="24"/>
          <w:highlight w:val="none"/>
          <w:lang w:eastAsia="zh-CN"/>
          <w14:textFill>
            <w14:solidFill>
              <w14:schemeClr w14:val="tx1"/>
            </w14:solidFill>
          </w14:textFill>
        </w:rPr>
        <w:t>泄漏</w:t>
      </w:r>
      <w:r>
        <w:rPr>
          <w:rFonts w:hint="default" w:ascii="Times New Roman" w:hAnsi="Times New Roman" w:cs="Times New Roman"/>
          <w:color w:val="000000" w:themeColor="text1"/>
          <w:kern w:val="0"/>
          <w:szCs w:val="24"/>
          <w:highlight w:val="none"/>
          <w14:textFill>
            <w14:solidFill>
              <w14:schemeClr w14:val="tx1"/>
            </w14:solidFill>
          </w14:textFill>
        </w:rPr>
        <w:t>进入地表的天然气量、压力、速率比井喷量小很多，影响程度比井喷小很多。</w:t>
      </w:r>
    </w:p>
    <w:p>
      <w:pPr>
        <w:ind w:firstLine="480"/>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该事故主要控制措施是加强对周边3km范围内居民进行宣传教育，遇到此类事故应立即撤离</w:t>
      </w:r>
      <w:r>
        <w:rPr>
          <w:rFonts w:hint="default" w:ascii="Times New Roman" w:hAnsi="Times New Roman" w:cs="Times New Roman"/>
          <w:color w:val="000000" w:themeColor="text1"/>
          <w:kern w:val="0"/>
          <w:szCs w:val="24"/>
          <w:highlight w:val="none"/>
          <w:lang w:eastAsia="zh-CN"/>
          <w14:textFill>
            <w14:solidFill>
              <w14:schemeClr w14:val="tx1"/>
            </w14:solidFill>
          </w14:textFill>
        </w:rPr>
        <w:t>泄漏</w:t>
      </w:r>
      <w:r>
        <w:rPr>
          <w:rFonts w:hint="default" w:ascii="Times New Roman" w:hAnsi="Times New Roman" w:cs="Times New Roman"/>
          <w:color w:val="000000" w:themeColor="text1"/>
          <w:kern w:val="0"/>
          <w:szCs w:val="24"/>
          <w:highlight w:val="none"/>
          <w14:textFill>
            <w14:solidFill>
              <w14:schemeClr w14:val="tx1"/>
            </w14:solidFill>
          </w14:textFill>
        </w:rPr>
        <w:t>点，撤离距离根据应急监测确定。企业应在可能的</w:t>
      </w:r>
      <w:r>
        <w:rPr>
          <w:rFonts w:hint="default" w:ascii="Times New Roman" w:hAnsi="Times New Roman" w:cs="Times New Roman"/>
          <w:color w:val="000000" w:themeColor="text1"/>
          <w:kern w:val="0"/>
          <w:szCs w:val="24"/>
          <w:highlight w:val="none"/>
          <w:lang w:eastAsia="zh-CN"/>
          <w14:textFill>
            <w14:solidFill>
              <w14:schemeClr w14:val="tx1"/>
            </w14:solidFill>
          </w14:textFill>
        </w:rPr>
        <w:t>泄漏</w:t>
      </w:r>
      <w:r>
        <w:rPr>
          <w:rFonts w:hint="default" w:ascii="Times New Roman" w:hAnsi="Times New Roman" w:cs="Times New Roman"/>
          <w:color w:val="000000" w:themeColor="text1"/>
          <w:kern w:val="0"/>
          <w:szCs w:val="24"/>
          <w:highlight w:val="none"/>
          <w14:textFill>
            <w14:solidFill>
              <w14:schemeClr w14:val="tx1"/>
            </w14:solidFill>
          </w14:textFill>
        </w:rPr>
        <w:t>点周边设置便携监测仪，确定浓度，根据浓度确定具体撤离范围。企业同时应对事故后主要是堵漏，通过井口周边放喷管放喷燃烧泄压，减少周边地表泄露点</w:t>
      </w:r>
      <w:r>
        <w:rPr>
          <w:rFonts w:hint="default" w:ascii="Times New Roman" w:hAnsi="Times New Roman" w:cs="Times New Roman"/>
          <w:color w:val="000000" w:themeColor="text1"/>
          <w:kern w:val="0"/>
          <w:szCs w:val="24"/>
          <w:highlight w:val="none"/>
          <w:lang w:eastAsia="zh-CN"/>
          <w14:textFill>
            <w14:solidFill>
              <w14:schemeClr w14:val="tx1"/>
            </w14:solidFill>
          </w14:textFill>
        </w:rPr>
        <w:t>泄漏</w:t>
      </w:r>
      <w:r>
        <w:rPr>
          <w:rFonts w:hint="default" w:ascii="Times New Roman" w:hAnsi="Times New Roman" w:cs="Times New Roman"/>
          <w:color w:val="000000" w:themeColor="text1"/>
          <w:kern w:val="0"/>
          <w:szCs w:val="24"/>
          <w:highlight w:val="none"/>
          <w14:textFill>
            <w14:solidFill>
              <w14:schemeClr w14:val="tx1"/>
            </w14:solidFill>
          </w14:textFill>
        </w:rPr>
        <w:t>量，对地表泄露点进行点火燃烧。</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bookmarkStart w:id="351" w:name="_Hlk88498378"/>
      <w:r>
        <w:rPr>
          <w:rFonts w:hint="default" w:ascii="Times New Roman" w:hAnsi="Times New Roman" w:cs="Times New Roman"/>
          <w:b/>
          <w:color w:val="000000" w:themeColor="text1"/>
          <w:kern w:val="2"/>
          <w:highlight w:val="none"/>
          <w:lang w:eastAsia="zh-CN"/>
          <w14:textFill>
            <w14:solidFill>
              <w14:schemeClr w14:val="tx1"/>
            </w14:solidFill>
          </w14:textFill>
        </w:rPr>
        <w:t>（3）试采期天然气泄漏风险分析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由于地面试采工程时在测试放喷定产后配产规模下生产，最大配产规模30×10</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4</w:t>
      </w:r>
      <w:r>
        <w:rPr>
          <w:rFonts w:hint="default" w:ascii="Times New Roman" w:hAnsi="Times New Roman" w:cs="Times New Roman"/>
          <w:bCs/>
          <w:color w:val="000000" w:themeColor="text1"/>
          <w:kern w:val="2"/>
          <w:highlight w:val="none"/>
          <w:lang w:eastAsia="zh-CN"/>
          <w14:textFill>
            <w14:solidFill>
              <w14:schemeClr w14:val="tx1"/>
            </w14:solidFill>
          </w14:textFill>
        </w:rPr>
        <w:t>m</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3</w:t>
      </w:r>
      <w:r>
        <w:rPr>
          <w:rFonts w:hint="default" w:ascii="Times New Roman" w:hAnsi="Times New Roman" w:cs="Times New Roman"/>
          <w:bCs/>
          <w:color w:val="000000" w:themeColor="text1"/>
          <w:kern w:val="2"/>
          <w:highlight w:val="none"/>
          <w:lang w:eastAsia="zh-CN"/>
          <w14:textFill>
            <w14:solidFill>
              <w14:schemeClr w14:val="tx1"/>
            </w14:solidFill>
          </w14:textFill>
        </w:rPr>
        <w:t>/d，地面试采阶段环境风险源较钻井和储层改造施工阶段小，其环境风险影响范围较施工期小，且在站内工艺管道发生断裂泄漏事故后，自控系统控制的截断阀能在2min内截断上游气源，管道两边截断阀（井口截断阀、出站阀组区截断阀）在第一时间响应关闭并启动放散程序，最大泄漏量为管线在线量和2min的天然气流量，天然气泄漏量很小。由于天然气主要成分为甲烷和硫化氢，稀释扩散较快，对环境、人和动物的影响是局部影响，且井口周边300m范围内无居民分布，发生风险事故后周边居民能及时地进行疏散。因此，对大气环境影响小。</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（4）火灾爆炸产生次生污染物对大气的影响</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钻井过程发生井喷失控后天然气逸散到空气中遇明火发生火灾爆炸或主动点火发生火灾爆炸情形、施工期柴油泄漏后遇明火燃烧情形以及采气过程站场或集输管线发生天然气泄漏后遇明火燃烧等情形产生污染物对大气将产生一定的影响。由于本项目可能发生火灾爆炸的部位位于露天环境，燃烧物质与空气接触较充分，充分燃烧情况下燃烧产物主要为S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、CO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，毒性较大的CO的量相对较少。且本项目处于农村环境，周边大气敏感点分散，且环境空气流通性较好，火灾爆炸燃烧产物对大气产生的影响较小。</w:t>
      </w:r>
      <w:bookmarkEnd w:id="351"/>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352" w:name="_Toc120173181"/>
      <w:r>
        <w:rPr>
          <w:rFonts w:hint="default" w:ascii="Times New Roman" w:hAnsi="Times New Roman" w:cs="Times New Roman"/>
          <w:color w:val="000000" w:themeColor="text1"/>
          <w:highlight w:val="none"/>
          <w:lang w:eastAsia="zh-CN"/>
          <w14:textFill>
            <w14:solidFill>
              <w14:schemeClr w14:val="tx1"/>
            </w14:solidFill>
          </w14:textFill>
        </w:rPr>
        <w:t>地表水环境风险影响分析</w:t>
      </w:r>
      <w:bookmarkEnd w:id="352"/>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（1）废水泄漏或外溢影响分析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钻井废水、压裂废水、气田水的危害主要表现在：pH值过高过低、可溶性盐含量高，含石油类。泄漏和外溢废水对地表水的影响一般有两种途径，一种是泄漏后直接进入水体；另一种是泄漏于地表，由降雨形成的地表径流将泄漏废水或受污染的土壤一起带入水体造成污染。由于本项目位于森林生态环境与农业生态环境中，周边主要为耕地与林地，项目附近有冲沟等，泄漏的废水可能随着降雨进入地表水，使地表水中的COD、BOD、石油类增高，影响水生生物的生长。</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钻井井场设置清污分流系统，使井场内废水经处理后进入泥浆不落地系统内，同时避免雨水流入废水系统增加负荷，项目高出地面的放喷池集污坑等池壁也可有效避免周边雨水进入废水之中。试采期气田水于火炬分液罐内暂存，火炬分液罐外围设置有采取防渗处理的围堰，也有效防止气田水外溢。因此只要加强管理，完善风险防范措施，发生废水外溢事故的概率较低。此外，工程也有相应的事故应急预案，事故时能及时采取控制措施，确保对地表水环境的影响降至最低限度。</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考虑到初期雨水以及井场内所有储水设备泄露收集处理不及时等极端情况时，集污坑规格不够，废水流出井场，对周围环境造成影响，要求建设单位（尤其如果项目施工在雨季时）应确保集污坑的利用效率，保证井场内废水能有效收集进入泥浆不落地装置或放喷池。建议建设单位适当加大集污坑的规格或者将集污坑改建为隔油池并做好防渗，增大废水储存规格，避免初期雨水控制不好或极端情况对附近水环境的污染，同时也能更加降低污水泄漏对外环境（如地下水、耕地）的影响。本次环评要求构建“三级”防控体系：具体如下：</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第一级防控措施是对存放废水和原料的罐池定期检查，确认罐池容量不超过设计容量，并及时清空，确保废水暂存容量足够；</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第二级防控措施是通过对可能发生废水泄漏的罐、池区以及作业区等区域修建围堰，避免泄漏废水散排进入井场其他区域；</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第三级防控措施是内环沟集污坑、方井、井场四周集水坑等废水汇集处低进高出，同时设置水泵，将废水抽至泥浆不落地区暂存罐或应急罐、放喷池，拦截可能流出井场外的废水，保持内环沟、集污坑、方井、泥浆不落地装置应急罐等常空。</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在废水外溢事故发生，集水坑拦截失效时，在集水坑附近等低洼区域以及外溢口处采用沙包、装土编织袋等拦截措施阻止废水进入外环境，同时保持泥浆不落地区暂存罐常空，通过泵将井场场内外溢废水引流至泥浆不落地区暂存罐或应急罐、放喷池，并及时处理转运。</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（2）油类物质的泄漏或外溢</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柴油及废油泄漏对地表水的影响一般有两种途径，一种是泄漏后直接进入水体；另一种是柴油或废油泄漏于地表，由降雨形成的地表径流将受污染的土壤一起带入水体造成污染。由于本项目位于农业生态环境中，主要为耕地和林地，项目附近有冲沟等，泄漏的柴油或废油可能随着降雨进入地表水，将产生如下危害：表层油在地表水体中可大大降低水体及动植物对氧的摄取，能引起某些生物死亡率的增加。因此，加强管理尽量杜绝风险事故发生是控制污染的主要手段，应加强对储油罐和废油罐的检查，以减少事故的发生。</w:t>
      </w:r>
      <w:r>
        <w:rPr>
          <w:rFonts w:hint="default" w:ascii="Times New Roman" w:hAnsi="Times New Roman" w:cs="Times New Roman"/>
          <w:color w:val="000000" w:themeColor="text1"/>
          <w:highlight w:val="none"/>
          <w:lang w:eastAsia="zh-CN"/>
          <w14:textFill>
            <w14:solidFill>
              <w14:schemeClr w14:val="tx1"/>
            </w14:solidFill>
          </w14:textFill>
        </w:rPr>
        <w:t>钻井施工期油罐布置在井场外地势较高处，风险影响主要是柴油罐区的火灾爆炸。钻井期油罐设置在基础上，基础周边设置围栏、收油沟以及集污坑。油罐密闭，柴油发生大量泄漏的概率很小，一般情况管道阀门泄漏，少量跑冒漏滴均收集在集污坑内，可有效防止污染。钻井施工期设置废油桶集中收集暂存于泥浆不落地装置区临时堆放区内，钻井队综合利用或交由有资质的单位处理，废油在施工生产过程中随时利用，废油暂存量小，废油发生泄漏并进入外环境的可能性很小。废油在生产过程中随时利用，废油暂存量小，废油发生泄漏并进入外环境的可能性很小。</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尽管项目在钻井期存在对地表水环境产生影响的风险因素，但项目有完善的QHSE管理体系，以及有效的风险防范措施，发生事故的概率较低。此外，工程也有相应的事故应急预案，事故时能及时采取控制措施，确保对地表水环境的影响降至最低限度。</w:t>
      </w:r>
    </w:p>
    <w:p>
      <w:pPr>
        <w:pStyle w:val="21"/>
        <w:pageBreakBefore w:val="0"/>
        <w:kinsoku/>
        <w:wordWrap/>
        <w:overflowPunct/>
        <w:topLinePunct w:val="0"/>
        <w:autoSpaceDE/>
        <w:autoSpaceDN/>
        <w:bidi w:val="0"/>
        <w:adjustRightInd w:val="0"/>
        <w:snapToGrid w:val="0"/>
        <w:spacing w:before="0"/>
        <w:ind w:left="0" w:firstLine="482"/>
        <w:jc w:val="both"/>
        <w:textAlignment w:val="auto"/>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（3）</w:t>
      </w:r>
      <w:r>
        <w:rPr>
          <w:rFonts w:hint="default" w:ascii="Times New Roman" w:hAnsi="Times New Roman" w:cs="Times New Roman"/>
          <w:b/>
          <w:bCs/>
          <w:color w:val="000000" w:themeColor="text1"/>
          <w:kern w:val="2"/>
          <w:highlight w:val="none"/>
          <w:lang w:eastAsia="zh-CN"/>
          <w14:textFill>
            <w14:solidFill>
              <w14:schemeClr w14:val="tx1"/>
            </w14:solidFill>
          </w14:textFill>
        </w:rPr>
        <w:t>物质外运过程事故影响分析</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液体类物质转运采用罐体装载，固废采用密封袋装运输，罐体为钢板密封罐，发生翻车泄漏的概率很小，且合格泥浆、返排液、钻井固废等无有毒有害物质，罐车输送的量约10t/车，一次运输量不大，不会产生严重后果。物质转运过程中发生事故污染的可能性极小，在环境所能接受的范围内。</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53" w:name="_Toc120173182"/>
      <w:r>
        <w:rPr>
          <w:rFonts w:hint="default" w:ascii="Times New Roman" w:hAnsi="Times New Roman" w:cs="Times New Roman"/>
          <w:color w:val="000000" w:themeColor="text1"/>
          <w:highlight w:val="none"/>
          <w:lang w:eastAsia="zh-CN"/>
          <w14:textFill>
            <w14:solidFill>
              <w14:schemeClr w14:val="tx1"/>
            </w14:solidFill>
          </w14:textFill>
        </w:rPr>
        <w:t>地下水及土壤环境风险影响分析</w:t>
      </w:r>
      <w:bookmarkEnd w:id="353"/>
    </w:p>
    <w:p>
      <w:pPr>
        <w:pStyle w:val="21"/>
        <w:pageBreakBefore w:val="0"/>
        <w:kinsoku/>
        <w:wordWrap/>
        <w:overflowPunct/>
        <w:topLinePunct w:val="0"/>
        <w:autoSpaceDE/>
        <w:autoSpaceDN/>
        <w:bidi w:val="0"/>
        <w:adjustRightInd w:val="0"/>
        <w:snapToGrid w:val="0"/>
        <w:spacing w:before="0"/>
        <w:ind w:left="0" w:firstLine="482"/>
        <w:jc w:val="both"/>
        <w:textAlignment w:val="auto"/>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（1）井漏事故影响分析</w:t>
      </w:r>
    </w:p>
    <w:p>
      <w:pPr>
        <w:ind w:firstLine="480"/>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井漏是钻井过程中遇到复杂地层，钻井液或其他介质（固井水泥浆等）漏入地层孔隙、裂缝等空间的现象。若漏失地层与含水层之间存在较多的断裂或裂隙，漏失的钻井液就有可能顺着岩层断裂、裂隙进入地下水，造成地下水污染。另外，钻井过程可能破坏含水层结构，影响地下水流场。</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本项目钻井过程中对钻井液漏失量进行监控，发现钻井液漏失时，及时堵塞固井，各开完钻后及时下套管水泥固井，能有效避免钻井液漏失对环境造成污染。同时本项目不涉及表层钻井，钻井深度大于4000m，因此井漏事故情景下不会对地下水和土壤造成污染影响。同时采取了事故监控井措施，能及时发现和处理对地下水环境的不利影响，因此对周边地下水影响小。</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（2）柴油、废油、钻井液、钻井废水、压裂返排液、气田水等泄漏影响分析</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地下水环境影响分析章节预测结果，非正常工况，若放喷池发生渗漏或压裂施工井筒破裂压裂液漏失，污染物会大量进入地下水含水层，污染物扩散，但超标范围内泉点取水口分布较少，因此对地下水环境影响较小。因此钻井平台施工阶段应加强场站内巡查，及时发现池、罐是否存在渗漏等异常，若发现罐体渗漏结合地下水污染超标和影响范围，建议以泄漏处两侧150m至下游划分为分散式水源禁止饮用带，同时设置地下水跟踪监测井，发现异常立即对下游邻近的居民泉点取水口进行取样监测，同时对居民进行告知。</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其他油类物质和钻井液、压裂返排液等均存在罐内，罐和基础地面进行了防渗处理，设置于地面基础上，四周设置了围堰，若发生泄漏能及时发现处理，污染物不会进入地下水或土壤环境，难以对地下水和土壤环境造成不利影响。同时若机械设备有少量油类物质泄漏于井场内，泄漏的柴油和废油在泄漏处呈点状分布，其在土壤中渗透能力不强，与水的溶解度低，且易于发现。因此，泄漏的柴油、废油对当地地下水裂隙水水质影响较弱，对土壤污染仅限于接触油类物质少量井场内部分，污染有限。只要对泄漏的柴油、废油采取有效的回收措施，对浅层地下水和土壤环境不会产生明显影响。</w:t>
      </w:r>
    </w:p>
    <w:p>
      <w:pPr>
        <w:pStyle w:val="21"/>
        <w:spacing w:before="0"/>
        <w:ind w:left="0" w:firstLine="482"/>
        <w:jc w:val="both"/>
        <w:rPr>
          <w:rFonts w:hint="default" w:ascii="Times New Roman" w:hAnsi="Times New Roman" w:cs="Times New Roman"/>
          <w:b/>
          <w:color w:val="000000" w:themeColor="text1"/>
          <w:kern w:val="2"/>
          <w:highlight w:val="none"/>
          <w:lang w:eastAsia="zh-CN"/>
          <w14:textFill>
            <w14:solidFill>
              <w14:schemeClr w14:val="tx1"/>
            </w14:solidFill>
          </w14:textFill>
        </w:rPr>
      </w:pPr>
      <w:bookmarkStart w:id="354" w:name="_Hlk88498239"/>
      <w:r>
        <w:rPr>
          <w:rFonts w:hint="default" w:ascii="Times New Roman" w:hAnsi="Times New Roman" w:cs="Times New Roman"/>
          <w:b/>
          <w:color w:val="000000" w:themeColor="text1"/>
          <w:kern w:val="2"/>
          <w:highlight w:val="none"/>
          <w:lang w:eastAsia="zh-CN"/>
          <w14:textFill>
            <w14:solidFill>
              <w14:schemeClr w14:val="tx1"/>
            </w14:solidFill>
          </w14:textFill>
        </w:rPr>
        <w:t>（3）套外返水风险影响</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套管腐蚀损坏的概率很小，固井质量是产生套管内外返水的控制因素。一旦由于固井质量问题而出现套外返水，将对地下水、土壤产生影响。深部高矿化度地层水（主要在3000m以下地层）Cl</w:t>
      </w:r>
      <w:r>
        <w:rPr>
          <w:rFonts w:hint="default" w:ascii="Times New Roman" w:hAnsi="Times New Roman" w:cs="Times New Roman"/>
          <w:bCs/>
          <w:color w:val="000000" w:themeColor="text1"/>
          <w:kern w:val="2"/>
          <w:highlight w:val="none"/>
          <w:vertAlign w:val="superscript"/>
          <w:lang w:eastAsia="zh-CN"/>
          <w14:textFill>
            <w14:solidFill>
              <w14:schemeClr w14:val="tx1"/>
            </w14:solidFill>
          </w14:textFill>
        </w:rPr>
        <w:t>-</w:t>
      </w:r>
      <w:r>
        <w:rPr>
          <w:rFonts w:hint="default" w:ascii="Times New Roman" w:hAnsi="Times New Roman" w:cs="Times New Roman"/>
          <w:bCs/>
          <w:color w:val="000000" w:themeColor="text1"/>
          <w:kern w:val="2"/>
          <w:highlight w:val="none"/>
          <w:lang w:eastAsia="zh-CN"/>
          <w14:textFill>
            <w14:solidFill>
              <w14:schemeClr w14:val="tx1"/>
            </w14:solidFill>
          </w14:textFill>
        </w:rPr>
        <w:t>离子浓度达到19000～23000mg/L，水型以CaCl</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为主，矿化度8.62～14g/L。沿套管外形成的环状空隙带上窜，在水头压力差的作用下直接进入各含水层，并随地下水的流动和在弥散作用下，在含水层中扩散迁移，将引起盐污染。</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固井水泥返至地面，地层水通过水泥固封断产生的裂纹和缝隙带出地层水的量也不会太大，会对含水层产生一定影响，可能对附近农户山泉水质产生影响，通过目前较好的固井工艺，这种深层地层水窜入表层的概率很小，对地下水和土壤环境影响小。</w:t>
      </w:r>
      <w:bookmarkEnd w:id="354"/>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355" w:name="5.3.5环境风险防范措施及应急要求"/>
      <w:bookmarkEnd w:id="355"/>
      <w:bookmarkStart w:id="356" w:name="_Toc6965"/>
      <w:r>
        <w:rPr>
          <w:rFonts w:hint="default" w:ascii="Times New Roman" w:hAnsi="Times New Roman" w:cs="Times New Roman"/>
          <w:color w:val="000000" w:themeColor="text1"/>
          <w:highlight w:val="none"/>
          <w:lang w:eastAsia="zh-CN"/>
          <w14:textFill>
            <w14:solidFill>
              <w14:schemeClr w14:val="tx1"/>
            </w14:solidFill>
          </w14:textFill>
        </w:rPr>
        <w:t>环境风险防范措施</w:t>
      </w:r>
      <w:bookmarkEnd w:id="356"/>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57" w:name="_Toc120173184"/>
      <w:r>
        <w:rPr>
          <w:rFonts w:hint="default" w:ascii="Times New Roman" w:hAnsi="Times New Roman" w:cs="Times New Roman"/>
          <w:color w:val="000000" w:themeColor="text1"/>
          <w:highlight w:val="none"/>
          <w:lang w:eastAsia="zh-CN"/>
          <w14:textFill>
            <w14:solidFill>
              <w14:schemeClr w14:val="tx1"/>
            </w14:solidFill>
          </w14:textFill>
        </w:rPr>
        <w:t>钻井过程风险防范措施</w:t>
      </w:r>
      <w:bookmarkEnd w:id="357"/>
    </w:p>
    <w:p>
      <w:pPr>
        <w:pStyle w:val="21"/>
        <w:pageBreakBefore w:val="0"/>
        <w:kinsoku/>
        <w:wordWrap/>
        <w:overflowPunct/>
        <w:topLinePunct w:val="0"/>
        <w:autoSpaceDE/>
        <w:autoSpaceDN/>
        <w:bidi w:val="0"/>
        <w:adjustRightInd w:val="0"/>
        <w:snapToGrid w:val="0"/>
        <w:spacing w:before="0"/>
        <w:ind w:left="0" w:firstLine="482"/>
        <w:jc w:val="both"/>
        <w:textAlignment w:val="auto"/>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（1）施工设计中的防井喷措施</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 xml:space="preserve">1）选择合理的压井液。新井投产和试油、试气施工应参照钻穿油、气层时钻井泥浆性能，认真选择合理的压井液，避免因压井液性能达不到施工要求而造成井喷污染； </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 xml:space="preserve">2）选择合理的射孔方式； </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 xml:space="preserve">3）规定上提钻具的速度，井内下有大直径工具（工具外径超过油层套管内径80%以上）的井，严禁高速起钻，防止因高速起钻引起抽汲作用造成井喷污染； </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 xml:space="preserve">4）对防喷装置的配备要有明确要求； </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 xml:space="preserve">5）选择使用有利于防止和控制井喷的井下管柱和工具，以适应突发事故的处理和补救措施的需要。 </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（2）钻井作业中的井喷防范措施</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施工单位应</w:t>
      </w:r>
      <w:r>
        <w:rPr>
          <w:rFonts w:hint="default" w:ascii="Times New Roman" w:hAnsi="Times New Roman" w:cs="Times New Roman"/>
          <w:color w:val="000000" w:themeColor="text1"/>
          <w:highlight w:val="none"/>
          <w:lang w:eastAsia="zh-CN"/>
          <w14:textFill>
            <w14:solidFill>
              <w14:schemeClr w14:val="tx1"/>
            </w14:solidFill>
          </w14:textFill>
        </w:rPr>
        <w:t>按照</w:t>
      </w:r>
      <w:r>
        <w:rPr>
          <w:rFonts w:hint="default" w:ascii="Times New Roman" w:hAnsi="Times New Roman" w:cs="Times New Roman"/>
          <w:color w:val="000000" w:themeColor="text1"/>
          <w:highlight w:val="none"/>
          <w14:textFill>
            <w14:solidFill>
              <w14:schemeClr w14:val="tx1"/>
            </w14:solidFill>
          </w14:textFill>
        </w:rPr>
        <w:t>《石油天然气钻井健康、安全与环境管理体系指南》（SY/T6283-1997）、中国石油天然气集团公司《石油天然气钻井作业健康、安全与环境管理导则》及相关的井控技术标准和规范中的有关规定执行，并针对本工程情况制定具体的可操作的实施方案，主要包括：</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1）开钻前向全队职工、钻井现场的所有工作人员进行地质、工程、钻井液和井控装备等方面的技术交底，并提出具体要求；</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2）严格执行井控工作九项管理制度，落实溢流监测岗位、关井操作岗位和钻井队干部24h值班制度，井控准备工作及应急预案必须经验收合格后，方可钻开油气层；</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lang w:val="en-US" w:eastAsia="zh-CN"/>
          <w14:textFill>
            <w14:solidFill>
              <w14:schemeClr w14:val="tx1"/>
            </w14:solidFill>
          </w14:textFill>
        </w:rPr>
        <w:t>特</w:t>
      </w:r>
      <w:r>
        <w:rPr>
          <w:rFonts w:hint="default" w:ascii="Times New Roman" w:hAnsi="Times New Roman" w:cs="Times New Roman"/>
          <w:color w:val="000000" w:themeColor="text1"/>
          <w:highlight w:val="none"/>
          <w14:textFill>
            <w14:solidFill>
              <w14:schemeClr w14:val="tx1"/>
            </w14:solidFill>
          </w14:textFill>
        </w:rPr>
        <w:t>种井控装备</w:t>
      </w:r>
      <w:r>
        <w:rPr>
          <w:rFonts w:hint="default" w:ascii="Times New Roman" w:hAnsi="Times New Roman" w:cs="Times New Roman"/>
          <w:color w:val="000000" w:themeColor="text1"/>
          <w:highlight w:val="none"/>
          <w:lang w:eastAsia="zh-CN"/>
          <w14:textFill>
            <w14:solidFill>
              <w14:schemeClr w14:val="tx1"/>
            </w14:solidFill>
          </w14:textFill>
        </w:rPr>
        <w:t>及其他</w:t>
      </w:r>
      <w:r>
        <w:rPr>
          <w:rFonts w:hint="default" w:ascii="Times New Roman" w:hAnsi="Times New Roman" w:cs="Times New Roman"/>
          <w:color w:val="000000" w:themeColor="text1"/>
          <w:highlight w:val="none"/>
          <w14:textFill>
            <w14:solidFill>
              <w14:schemeClr w14:val="tx1"/>
            </w14:solidFill>
          </w14:textFill>
        </w:rPr>
        <w:t>专用工具、消防器材、防爆电路系统配备齐全、运转正常；</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4）每次起钻前必须活动方钻杆上、下旋塞一次，以保证其正常可靠；</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5）气层钻进中，必须在近钻头位置安装钻具回压阀，同时钻台上配备一只与钻具尺寸相符的回压阀，且备有相应的抢接工具，在大门坡道上准备一根防喷单根（钻杆下部有与钻铤扣相符的配合接头）；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6）按班组进行防喷演习，并达到规定要求；</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7）严格落实坐岗制度，无论钻井还是起下钻，</w:t>
      </w:r>
      <w:r>
        <w:rPr>
          <w:rFonts w:hint="default" w:ascii="Times New Roman" w:hAnsi="Times New Roman" w:cs="Times New Roman"/>
          <w:color w:val="000000" w:themeColor="text1"/>
          <w:highlight w:val="none"/>
          <w:lang w:eastAsia="zh-CN"/>
          <w14:textFill>
            <w14:solidFill>
              <w14:schemeClr w14:val="tx1"/>
            </w14:solidFill>
          </w14:textFill>
        </w:rPr>
        <w:t>或其他</w:t>
      </w:r>
      <w:r>
        <w:rPr>
          <w:rFonts w:hint="default" w:ascii="Times New Roman" w:hAnsi="Times New Roman" w:cs="Times New Roman"/>
          <w:color w:val="000000" w:themeColor="text1"/>
          <w:highlight w:val="none"/>
          <w14:textFill>
            <w14:solidFill>
              <w14:schemeClr w14:val="tx1"/>
            </w14:solidFill>
          </w14:textFill>
        </w:rPr>
        <w:t>辅助作业，钻井班落实专人坐岗观察钻井液池液面变化和钻井液出口情况，录井人员除了在仪表上观察外，还对钻井液池液面变化和钻井液出口进行定时观察，定时测量进出口钻井液性能，两个岗都必须</w:t>
      </w:r>
      <w:r>
        <w:rPr>
          <w:rFonts w:hint="default" w:ascii="Times New Roman" w:hAnsi="Times New Roman" w:cs="Times New Roman"/>
          <w:color w:val="000000" w:themeColor="text1"/>
          <w:highlight w:val="none"/>
          <w:lang w:eastAsia="zh-CN"/>
          <w14:textFill>
            <w14:solidFill>
              <w14:schemeClr w14:val="tx1"/>
            </w14:solidFill>
          </w14:textFill>
        </w:rPr>
        <w:t>做好</w:t>
      </w:r>
      <w:r>
        <w:rPr>
          <w:rFonts w:hint="default" w:ascii="Times New Roman" w:hAnsi="Times New Roman" w:cs="Times New Roman"/>
          <w:color w:val="000000" w:themeColor="text1"/>
          <w:highlight w:val="none"/>
          <w14:textFill>
            <w14:solidFill>
              <w14:schemeClr w14:val="tx1"/>
            </w14:solidFill>
          </w14:textFill>
        </w:rPr>
        <w:t>真实准确记录，值班干部必须对上述两个岗位工作情况进行定时和不定时检查，并当班签认；</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8）认真搞好随钻地层压力的监测工作中，发现地层压力异常、溢流、井涌等情况，应及时关井并调整钻井液密度，同时上报有关部门；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9）严格控制起下钻速度，起钻必须按规定灌满钻井液；</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10）加强井场设备的运行、保养和检查，保证设备的正常运行，设备检修必须按有关规定执行；</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11）钻井中遇到钻速突然加快、放散、井漏、气测及油气水显示异常等情况，应立即停钻观察，如发生溢流要按规定及时发出报警信号，并按正确的关井程序及时关井，关井求压后迅速实施压井作业；</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12）发生溢流后，根据关井压力，尽快在井口、地层和套管安全条件下压井，待井内平稳后才恢复钻井；</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13）关井压力不得超过井口装置的工作压力、套管抗内压强度的80％和地层破裂压力三者中的最小值；</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14）强化员工的爱岗敬业教育，严格执</w:t>
      </w:r>
      <w:r>
        <w:rPr>
          <w:rFonts w:hint="default" w:ascii="Times New Roman" w:hAnsi="Times New Roman" w:cs="Times New Roman"/>
          <w:color w:val="000000" w:themeColor="text1"/>
          <w:highlight w:val="none"/>
          <w:lang w:eastAsia="zh-CN"/>
          <w14:textFill>
            <w14:solidFill>
              <w14:schemeClr w14:val="tx1"/>
            </w14:solidFill>
          </w14:textFill>
        </w:rPr>
        <w:t>行各</w:t>
      </w:r>
      <w:r>
        <w:rPr>
          <w:rFonts w:hint="default" w:ascii="Times New Roman" w:hAnsi="Times New Roman" w:cs="Times New Roman"/>
          <w:color w:val="000000" w:themeColor="text1"/>
          <w:highlight w:val="none"/>
          <w14:textFill>
            <w14:solidFill>
              <w14:schemeClr w14:val="tx1"/>
            </w14:solidFill>
          </w14:textFill>
        </w:rPr>
        <w:t>项操作规程，确保钻井作业过程中不因操作失误导致井喷事故的发生。</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（3）防井喷装置</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1）以半封和全封防喷器为主体的防喷装置，包括高压闸门、自封、四通、套管头、过渡法兰等；</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2）以节流管汇为主体的井控管汇，包括放喷管线、压井管线等；</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3）井下管柱防喷工具，包括钻具、防喷单流阀等；</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4）具有净化、加大密度、原料储备及自动调配、自动灌装等功能的压井液储备系统；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5）防止井喷失控的专用设备、设施，包括高压自封、不压井起下管柱装置等。</w:t>
      </w:r>
    </w:p>
    <w:p>
      <w:pPr>
        <w:ind w:firstLine="482"/>
        <w:rPr>
          <w:rFonts w:hint="default" w:ascii="Times New Roman" w:hAnsi="Times New Roman" w:cs="Times New Roman"/>
          <w:b/>
          <w:bCs/>
          <w:color w:val="000000" w:themeColor="text1"/>
          <w:highlight w:val="none"/>
          <w14:textFill>
            <w14:solidFill>
              <w14:schemeClr w14:val="tx1"/>
            </w14:solidFill>
          </w14:textFill>
        </w:rPr>
      </w:pPr>
      <w:bookmarkStart w:id="358" w:name="_Hlk88499419"/>
      <w:r>
        <w:rPr>
          <w:rFonts w:hint="default" w:ascii="Times New Roman" w:hAnsi="Times New Roman" w:cs="Times New Roman"/>
          <w:b/>
          <w:bCs/>
          <w:color w:val="000000" w:themeColor="text1"/>
          <w:highlight w:val="none"/>
          <w14:textFill>
            <w14:solidFill>
              <w14:schemeClr w14:val="tx1"/>
            </w14:solidFill>
          </w14:textFill>
        </w:rPr>
        <w:t>（4）井喷前期气侵、井涌防范措施</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1）选择合理的压井液。新井投产和试油、试气施工应参照钻穿油、气层时钻井泥浆性能，认真选择合理的压井液，避免因压井液性能达不到施工要求而造成井喷污染；</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2）选择合理的射孔方式；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3）规定上提钻具的速度。井内下有大直径工具（工具外径超过油层套管内径80%以上）的井，严禁高速起钻，防止因高速起钻引起抽汲作用造成井喷污染；</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4）发生气侵时，及时检查调整钻井液密度，发现井涌时及时关泵压井。</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（5）钻开气层前验收</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钻开气层时极容易发生井下事故从而导致环境污染事故。钻开气层前验收就是在钻开气层前对井队的安全和井控工作进行全面大检查，以消除事故隐患，实现安全生产和清洁生产。</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（6）钻井、完井防腐措施</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应加强油管腐蚀监测，掌握气井腐蚀状况，按井下作业流程检查油管腐蚀情况，记录每口作业井的油管腐蚀情况，根据井油管腐蚀情况进行专门的更换油管修井，以避免油管腐蚀穿孔、断落。</w:t>
      </w:r>
    </w:p>
    <w:p>
      <w:pPr>
        <w:ind w:firstLine="480" w:firstLineChars="0"/>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（7）钻井过程中</w:t>
      </w:r>
      <w:r>
        <w:rPr>
          <w:rFonts w:hint="default" w:ascii="Times New Roman" w:hAnsi="Times New Roman" w:cs="Times New Roman"/>
          <w:b/>
          <w:bCs/>
          <w:color w:val="000000" w:themeColor="text1"/>
          <w:highlight w:val="none"/>
          <w:lang w:eastAsia="zh-CN"/>
          <w14:textFill>
            <w14:solidFill>
              <w14:schemeClr w14:val="tx1"/>
            </w14:solidFill>
          </w14:textFill>
        </w:rPr>
        <w:t>预防</w:t>
      </w:r>
      <w:r>
        <w:rPr>
          <w:rFonts w:hint="default" w:ascii="Times New Roman" w:hAnsi="Times New Roman" w:cs="Times New Roman"/>
          <w:b/>
          <w:bCs/>
          <w:color w:val="000000" w:themeColor="text1"/>
          <w:highlight w:val="none"/>
          <w14:textFill>
            <w14:solidFill>
              <w14:schemeClr w14:val="tx1"/>
            </w14:solidFill>
          </w14:textFill>
        </w:rPr>
        <w:t>硫化氢措施</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三开采用可循环水基微泡钻井液体系，该钻井液体系具有防漏性好、密度低、无需添加额外设备、有利于储层保护等优点。基础配方为以发泡剂VES-1、泡沫增强剂FSA-1为核心，配合其他处理剂形成抗温140℃、密度不大于0.95g/c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微泡钻井液体系。应用可循环微泡钻井液，“气锁”阻止井浆继续流动，具有“气锁”和“架桥”封堵双重作用，还可以提高地层承压能力</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低密度缓解井漏，低摩阻降低泵压，高黏度和高切力阻止井漏，能够解决低压漏失层漏失问题，能满足深井储层专打保护储层要求。与西南工区使用的常规水基钻井液类似，微泡钻井液可以通过提高钻井液pH值，加入除硫剂等方式清除钻井液中可能含有的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S，保证施工安全。</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59" w:name="_Toc120173185"/>
      <w:r>
        <w:rPr>
          <w:rFonts w:hint="default" w:ascii="Times New Roman" w:hAnsi="Times New Roman" w:cs="Times New Roman"/>
          <w:color w:val="000000" w:themeColor="text1"/>
          <w:highlight w:val="none"/>
          <w:lang w:eastAsia="zh-CN"/>
          <w14:textFill>
            <w14:solidFill>
              <w14:schemeClr w14:val="tx1"/>
            </w14:solidFill>
          </w14:textFill>
        </w:rPr>
        <w:t>废水、油类外溢或泄漏等风险防范措施</w:t>
      </w:r>
      <w:bookmarkEnd w:id="359"/>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期废水收集罐、试采期火炬分液罐通过设置围堰和防渗，放喷池通过加固池壁和防渗，降低垮塌风险；对井场排污沟及时清扫，保证排污沟畅通；集污坑和泥浆不落地装置加强保护管理，泥浆不落地装置设计时向集污坑倾斜，避免少量集水因围堰垮塌外流。由于项目区域地势高差较大，考虑到暴雨等情况下排水问题，建议对集污坑和泥浆不落地装置内集水进行及时清理，及时清掏，适当加大集污坑规格或者适当扩大其容量，确保集污坑有足够的容量，能够对初期雨水及时收集；加大外环沟和集水坑规格，外排沟系统应与周边泄洪沟有效连接，确保雨水能正常排放，不至于淹没井场；建议对井场雨水排放口（集水坑）进行适当扩建，对正常雨水进行隔油沉淀后外排。加强平时管理，保证放喷池、泥浆不落地装置的储罐内有足够空余容积，水位达到池体80%时应外运处理，可有效防止水体污染事故。若池体发生垮塌事故，立即封堵内外环沟与自然沟渠连通处，及时清理池内及排污沟内废水，池底废水清理完后立即重新修建池壁，并进一步加固。试采期站内火炬分液罐安装</w:t>
      </w:r>
      <w:r>
        <w:rPr>
          <w:rFonts w:hint="default" w:ascii="Times New Roman" w:hAnsi="Times New Roman" w:cs="Times New Roman"/>
          <w:color w:val="000000" w:themeColor="text1"/>
          <w:highlight w:val="none"/>
          <w:lang w:eastAsia="zh-CN"/>
          <w14:textFill>
            <w14:solidFill>
              <w14:schemeClr w14:val="tx1"/>
            </w14:solidFill>
          </w14:textFill>
        </w:rPr>
        <w:t>外溢</w:t>
      </w:r>
      <w:r>
        <w:rPr>
          <w:rFonts w:hint="default" w:ascii="Times New Roman" w:hAnsi="Times New Roman" w:cs="Times New Roman"/>
          <w:color w:val="000000" w:themeColor="text1"/>
          <w:highlight w:val="none"/>
          <w14:textFill>
            <w14:solidFill>
              <w14:schemeClr w14:val="tx1"/>
            </w14:solidFill>
          </w14:textFill>
        </w:rPr>
        <w:t>报警器，以便及时发现外溢情况。</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60" w:name="_Toc120173186"/>
      <w:r>
        <w:rPr>
          <w:rFonts w:hint="default" w:ascii="Times New Roman" w:hAnsi="Times New Roman" w:cs="Times New Roman"/>
          <w:color w:val="000000" w:themeColor="text1"/>
          <w:highlight w:val="none"/>
          <w:lang w:eastAsia="zh-CN"/>
          <w14:textFill>
            <w14:solidFill>
              <w14:schemeClr w14:val="tx1"/>
            </w14:solidFill>
          </w14:textFill>
        </w:rPr>
        <w:t>物质外运风险防范措施</w:t>
      </w:r>
      <w:bookmarkEnd w:id="360"/>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废水、钻井固废转运单位在开展运输工作前，应对运输人员进行相关安全环保知识培训，运输车辆、装卸工具必须符合安全环保要求，装卸过程中不得溢出和泄漏。严禁随意倾倒、排放或者向第三方转移废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运输前规划运输路线，废水、钻井固废转运过程中应严格按照规定的路线运输到相应的目的地；运输过程中应尽量避开环境敏感区，遇环境敏感区需减速慢行，废水、钻井固废转运应建立交接三联单制度，确保废水运至相应的目的地。</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3）废水、钻井固废转运必须使用密闭的车辆运输，并确保运输车辆车况处于良好状态。</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4）尽量避免雨天和大雾天运转废水。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5）本工程废水、钻井固废运输由专业单位负责实施，不得自行运输，也不得委托公司外其他单位运输。</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承包废水、钻井固废转运的承包商实施车辆登记制度，为每台车辆安装GPS系统，并纳入建设方的GPS监控系统平台，以便随时掌握废水、钻井固废运输车辆位置和行驶路线，确保废水、钻井固废转运至相应的目的地。</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7）废水、钻井固废运输车辆严格执行签认制度。签认单保存期不得少于二年，以便备查。</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8）废水、钻井固废转运单位应做好应急管理工作，做好风险防范识别，编制生产废水、钻井固废运输应急预案，每次废水、钻井固废运输任务都应制定运输方案和应急措施，严禁超速超载，路过环境敏感区需</w:t>
      </w:r>
      <w:r>
        <w:rPr>
          <w:rFonts w:hint="default" w:ascii="Times New Roman" w:hAnsi="Times New Roman" w:cs="Times New Roman"/>
          <w:color w:val="000000" w:themeColor="text1"/>
          <w:highlight w:val="none"/>
          <w:lang w:eastAsia="zh-CN"/>
          <w14:textFill>
            <w14:solidFill>
              <w14:schemeClr w14:val="tx1"/>
            </w14:solidFill>
          </w14:textFill>
        </w:rPr>
        <w:t>减速慢行</w:t>
      </w:r>
      <w:r>
        <w:rPr>
          <w:rFonts w:hint="default" w:ascii="Times New Roman" w:hAnsi="Times New Roman" w:cs="Times New Roman"/>
          <w:color w:val="000000" w:themeColor="text1"/>
          <w:highlight w:val="none"/>
          <w14:textFill>
            <w14:solidFill>
              <w14:schemeClr w14:val="tx1"/>
            </w14:solidFill>
          </w14:textFill>
        </w:rPr>
        <w:t>，安全驶离，强化运输过程的安全管理，防止因安全事故衍生成环保事故。</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废水、钻井固废产生单位和废水、钻井固废转运单位应建立健全管理制度和办法，加强与地方相关部门的联系和协调。废水运输过程中，废水、钻井固废产生单位、承运单位应做好相关记录，建立相关台账。在发生事故后应及时通报当地环保部门，并积极配合环保部门抢险。确保安全通过，同时要注意清洁运输，防止废水、钻井固废泄漏。</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61" w:name="_Toc120173187"/>
      <w:r>
        <w:rPr>
          <w:rFonts w:hint="default" w:ascii="Times New Roman" w:hAnsi="Times New Roman" w:cs="Times New Roman"/>
          <w:color w:val="000000" w:themeColor="text1"/>
          <w:highlight w:val="none"/>
          <w:lang w:eastAsia="zh-CN"/>
          <w14:textFill>
            <w14:solidFill>
              <w14:schemeClr w14:val="tx1"/>
            </w14:solidFill>
          </w14:textFill>
        </w:rPr>
        <w:t>井漏防范措施</w:t>
      </w:r>
      <w:bookmarkEnd w:id="361"/>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本项目不涉及浅层钻井，钻井深度大于4000m，即使发生井漏事故后仍不会对浅层地下水造成污染影响。从钻井工艺上优化尽可能</w:t>
      </w:r>
      <w:r>
        <w:rPr>
          <w:rFonts w:hint="default" w:ascii="Times New Roman" w:hAnsi="Times New Roman" w:cs="Times New Roman"/>
          <w:color w:val="000000" w:themeColor="text1"/>
          <w:highlight w:val="none"/>
          <w:lang w:eastAsia="zh-CN"/>
          <w14:textFill>
            <w14:solidFill>
              <w14:schemeClr w14:val="tx1"/>
            </w14:solidFill>
          </w14:textFill>
        </w:rPr>
        <w:t>地</w:t>
      </w:r>
      <w:r>
        <w:rPr>
          <w:rFonts w:hint="default" w:ascii="Times New Roman" w:hAnsi="Times New Roman" w:cs="Times New Roman"/>
          <w:color w:val="000000" w:themeColor="text1"/>
          <w:highlight w:val="none"/>
          <w14:textFill>
            <w14:solidFill>
              <w14:schemeClr w14:val="tx1"/>
            </w14:solidFill>
          </w14:textFill>
        </w:rPr>
        <w:t>减少井漏事故对当地地下水环境的影响，在钻遇地下溶洞等不良地质时，漏失仅引起地下水浊度等物理指标变化，且工程上会采取快速钻井快速下管的施工工艺，因此对地下水尤其是对地下水饮用水源或泉点取水口影响不大，尽管如此，仍提出如下预防和应急措施：</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井场井站项目在施工建设前应充分研究地质设计资料和钻井等，必要时应采取钻探等方法进行调查分析，查明项目所在地的地下水分布情况、埋藏深度及岩溶发育情况等，并在此基础上优化钻井施工工艺、泥浆体系等，对钻井过程中可能发生的泥浆漏失的情况，应有所预见。</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2）采用强钻方式快速钻穿漏失层达到固井层位，针对这种情况应选用合理泥浆密度，实现近平衡压力钻井，降低泥浆环空压耗，降低泥浆激动压力，从而降低井筒中泥浆动压力，减小泥浆漏失量。</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3）对钻井体系进行实时监控，并配备足够的堵漏材料，一旦发现井漏，立即采取堵漏措施，在压裂</w:t>
      </w:r>
      <w:r>
        <w:rPr>
          <w:rFonts w:hint="default" w:ascii="Times New Roman" w:hAnsi="Times New Roman" w:cs="Times New Roman"/>
          <w:color w:val="000000" w:themeColor="text1"/>
          <w:highlight w:val="none"/>
          <w:lang w:eastAsia="zh-CN"/>
          <w14:textFill>
            <w14:solidFill>
              <w14:schemeClr w14:val="tx1"/>
            </w14:solidFill>
          </w14:textFill>
        </w:rPr>
        <w:t>过程中</w:t>
      </w:r>
      <w:r>
        <w:rPr>
          <w:rFonts w:hint="default" w:ascii="Times New Roman" w:hAnsi="Times New Roman" w:cs="Times New Roman"/>
          <w:color w:val="000000" w:themeColor="text1"/>
          <w:highlight w:val="none"/>
          <w14:textFill>
            <w14:solidFill>
              <w14:schemeClr w14:val="tx1"/>
            </w14:solidFill>
          </w14:textFill>
        </w:rPr>
        <w:t>需监控压裂液的漏失情况，以防止压裂液的扩散污染。</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4）若发现地下水受到污染，立即告知村民，定期进行监测，直至污染影响消失。</w:t>
      </w:r>
    </w:p>
    <w:bookmarkEnd w:id="358"/>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62" w:name="_Toc120173188"/>
      <w:r>
        <w:rPr>
          <w:rFonts w:hint="default" w:ascii="Times New Roman" w:hAnsi="Times New Roman" w:cs="Times New Roman"/>
          <w:color w:val="000000" w:themeColor="text1"/>
          <w:highlight w:val="none"/>
          <w:lang w:eastAsia="zh-CN"/>
          <w14:textFill>
            <w14:solidFill>
              <w14:schemeClr w14:val="tx1"/>
            </w14:solidFill>
          </w14:textFill>
        </w:rPr>
        <w:t>套外返水事故防范</w:t>
      </w:r>
      <w:bookmarkEnd w:id="362"/>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设计通过固井、水泥返至地面是防止套外返水的有效措施。固井质量的好坏是产生套管内外返水的控制因素。</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单位应严格按照钻井行业固井作业规范进行，确保固井质量，避免和减少出现固井裂纹、缝隙、窜槽。加强套管的防腐，防止在运输、下套管，作业时对外表面防护层的磨损及套管与钻柱之间的内磨损。套管是油气与地下水隔离的屏障，要防止腐蚀和破损。</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63" w:name="_Toc120173189"/>
      <w:r>
        <w:rPr>
          <w:rFonts w:hint="default" w:ascii="Times New Roman" w:hAnsi="Times New Roman" w:cs="Times New Roman"/>
          <w:color w:val="000000" w:themeColor="text1"/>
          <w:highlight w:val="none"/>
          <w:lang w:eastAsia="zh-CN"/>
          <w14:textFill>
            <w14:solidFill>
              <w14:schemeClr w14:val="tx1"/>
            </w14:solidFill>
          </w14:textFill>
        </w:rPr>
        <w:t>油类使用、储运过程中的风险防范措施</w:t>
      </w:r>
      <w:bookmarkEnd w:id="363"/>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提高柴油危险性的认识。从柴油的燃烧爆炸危险性分析可以看出，正常条件下，如炎热干燥的天气、附近存在火源、工作中违章操作、油库的安全设备、设施配备不合理或管理使用不当等，都有可能将柴油引燃、引爆。</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加强对柴油和废油的储存管理，应采取减少油品蒸发、防止形成爆炸性油品混合物的一次防护措施。工程采用柴油罐对柴油进行储存，确保呼吸阀、测量孔、接地装置等附件完整可靠，防止油气的产生和积聚。油罐区均设置有围堰，可防止油罐破损</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的柴油污染地表土壤、地表水等。油罐区使用前底部及墙体内侧采用三油两布（沥青、玻璃纤维布）</w:t>
      </w:r>
      <w:r>
        <w:rPr>
          <w:rFonts w:hint="default" w:ascii="Times New Roman" w:hAnsi="Times New Roman" w:cs="Times New Roman"/>
          <w:color w:val="000000" w:themeColor="text1"/>
          <w:highlight w:val="none"/>
          <w:lang w:eastAsia="zh-CN"/>
          <w14:textFill>
            <w14:solidFill>
              <w14:schemeClr w14:val="tx1"/>
            </w14:solidFill>
          </w14:textFill>
        </w:rPr>
        <w:t>做</w:t>
      </w:r>
      <w:r>
        <w:rPr>
          <w:rFonts w:hint="default" w:ascii="Times New Roman" w:hAnsi="Times New Roman" w:cs="Times New Roman"/>
          <w:color w:val="000000" w:themeColor="text1"/>
          <w:highlight w:val="none"/>
          <w14:textFill>
            <w14:solidFill>
              <w14:schemeClr w14:val="tx1"/>
            </w14:solidFill>
          </w14:textFill>
        </w:rPr>
        <w:t>防渗处理。油桶选择完好无损的油桶，置于防渗区，保持盖子紧盖，及时综合利用。</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（3）按照危险物品贮存场地相关要求，对柴油和废油储存和使用场所设置标识标牌。</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柴油储存和使用场所要设置在通风条件较好的地势较高处，设置机械排风系统。柴油储存和使用场所内的通风、照明、通信、控制等电气设备的选型、安装、电力线路敷设等，必须符合现行国家标准《爆炸和火灾危险环境电力装置设计规范》的规定。加强油罐、油桶的管理及安全检查，防止发生结构安全事故引起重大泄</w:t>
      </w:r>
      <w:r>
        <w:rPr>
          <w:rFonts w:hint="default" w:ascii="Times New Roman" w:hAnsi="Times New Roman" w:cs="Times New Roman"/>
          <w:color w:val="000000" w:themeColor="text1"/>
          <w:highlight w:val="none"/>
          <w:lang w:eastAsia="zh-CN"/>
          <w14:textFill>
            <w14:solidFill>
              <w14:schemeClr w14:val="tx1"/>
            </w14:solidFill>
          </w14:textFill>
        </w:rPr>
        <w:t>漏</w:t>
      </w:r>
      <w:r>
        <w:rPr>
          <w:rFonts w:hint="default" w:ascii="Times New Roman" w:hAnsi="Times New Roman" w:cs="Times New Roman"/>
          <w:color w:val="000000" w:themeColor="text1"/>
          <w:highlight w:val="none"/>
          <w14:textFill>
            <w14:solidFill>
              <w14:schemeClr w14:val="tx1"/>
            </w14:solidFill>
          </w14:textFill>
        </w:rPr>
        <w:t>。</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（5）盐酸罐四周修建了专门的截流沟，且盐酸采用玻璃钢罐盛装，地面采用防渗处理。</w:t>
      </w:r>
      <w:r>
        <w:rPr>
          <w:rFonts w:hint="default" w:ascii="Times New Roman" w:hAnsi="Times New Roman" w:cs="Times New Roman"/>
          <w:color w:val="000000" w:themeColor="text1"/>
          <w:szCs w:val="24"/>
          <w:highlight w:val="none"/>
          <w14:textFill>
            <w14:solidFill>
              <w14:schemeClr w14:val="tx1"/>
            </w14:solidFill>
          </w14:textFill>
        </w:rPr>
        <w:t>盐酸属于危险化学品和易制毒化学品，根据《危险化学品管理条例》和《易制毒化学品管理条例》，本项目使用盐酸前应落实使用盐酸具体责任单位，并在当地公安机关备案。</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（6）建设方将柴油和废油、盐酸储存和运输列入环境事故应急处置预案，且应与当地政府的环境事故应急处置预案相衔接。</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64" w:name="_Toc120173190"/>
      <w:r>
        <w:rPr>
          <w:rFonts w:hint="default" w:ascii="Times New Roman" w:hAnsi="Times New Roman" w:cs="Times New Roman"/>
          <w:color w:val="000000" w:themeColor="text1"/>
          <w:highlight w:val="none"/>
          <w:lang w:eastAsia="zh-CN"/>
          <w14:textFill>
            <w14:solidFill>
              <w14:schemeClr w14:val="tx1"/>
            </w14:solidFill>
          </w14:textFill>
        </w:rPr>
        <w:t>试采工程风险防范措施</w:t>
      </w:r>
      <w:bookmarkEnd w:id="364"/>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（1）场站</w:t>
      </w:r>
      <w:r>
        <w:rPr>
          <w:rFonts w:hint="default" w:ascii="Times New Roman" w:hAnsi="Times New Roman" w:cs="Times New Roman"/>
          <w:color w:val="000000" w:themeColor="text1"/>
          <w:highlight w:val="none"/>
          <w:lang w:eastAsia="zh-CN"/>
          <w14:textFill>
            <w14:solidFill>
              <w14:schemeClr w14:val="tx1"/>
            </w14:solidFill>
          </w14:textFill>
        </w:rPr>
        <w:t>应</w:t>
      </w:r>
      <w:r>
        <w:rPr>
          <w:rFonts w:hint="default" w:ascii="Times New Roman" w:hAnsi="Times New Roman" w:cs="Times New Roman"/>
          <w:color w:val="000000" w:themeColor="text1"/>
          <w:highlight w:val="none"/>
          <w14:textFill>
            <w14:solidFill>
              <w14:schemeClr w14:val="tx1"/>
            </w14:solidFill>
          </w14:textFill>
        </w:rPr>
        <w:t>配备足够数量的正压式空气呼吸器及空气呼吸器气瓶压力相应的空气压缩机等。配备相应的安全设施，如井口安全系统、放散系统、灭火器、消防砂池、警示标志、逃生门、防雷和防静电措施、报警系统、风向标、高音喇叭等。</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（2）站场周围设置明显的安全警示标志，并告知附近居民可能性危险、危害及安全注意事项。调查附近居民分布情况，掌握有效的联系方式等。</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（3）设备和管线焊接和检验，应符合相关标准和规范要求。</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（4）场站的建设和布局，应严格按照设计规范要求进行设计，确保站场安全。</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（5）结合站场可能发生的事故类型，编制详细的应急救援预案，有针对性地进行宣传，并定期演练。</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加强污水运输车辆的管理，防止运输过程发生事故导致废水泄露，污染环境；定期对污水进行转运，避免由于储存过多导致其外溢污染环境；加强火炬分液罐的维护保养工作，避免由于腐蚀等造成其泄露污染环境。</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（7）火炬分液罐区设置防渗围堰，防止</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废水外溢。</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（8）自动控制系统。</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1）井场井站井口装置等相关工艺设施等实现自动控制、定期巡查；</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2）对本项目井场井站生产装置等全部工艺过程进行监视和控制，实现对整个试采区域的生产运行进行监控和调度管理；</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3）场站可实现对下列数据的采集和传递：站场/工艺设施的工艺变量、站场/工艺设施的阀门状态、设备状态、井口温度、压力、流量信息/计量参数、管道防腐参数等；</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4）可进行安全报警、装置气体泄漏检测；</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5）对井场井站进行远程监视，实现紧急情况下30s内各切断阀自动截断关停。</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65" w:name="_Toc120173191"/>
      <w:r>
        <w:rPr>
          <w:rFonts w:hint="default" w:ascii="Times New Roman" w:hAnsi="Times New Roman" w:cs="Times New Roman"/>
          <w:color w:val="000000" w:themeColor="text1"/>
          <w:highlight w:val="none"/>
          <w:lang w:eastAsia="zh-CN"/>
          <w14:textFill>
            <w14:solidFill>
              <w14:schemeClr w14:val="tx1"/>
            </w14:solidFill>
          </w14:textFill>
        </w:rPr>
        <w:t>环境风险防范措施工程监理</w:t>
      </w:r>
      <w:bookmarkEnd w:id="365"/>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为确保工程环境风险防范措施合理有效地实施，可在钻采过程中引入工程监理制度，由监理单位负责环境风险防范措施的监理工作，确</w:t>
      </w:r>
      <w:r>
        <w:rPr>
          <w:rFonts w:hint="default" w:ascii="Times New Roman" w:hAnsi="Times New Roman" w:cs="Times New Roman"/>
          <w:color w:val="000000" w:themeColor="text1"/>
          <w:highlight w:val="none"/>
          <w:lang w:eastAsia="zh-CN"/>
          <w14:textFill>
            <w14:solidFill>
              <w14:schemeClr w14:val="tx1"/>
            </w14:solidFill>
          </w14:textFill>
        </w:rPr>
        <w:t>保各项</w:t>
      </w:r>
      <w:r>
        <w:rPr>
          <w:rFonts w:hint="default" w:ascii="Times New Roman" w:hAnsi="Times New Roman" w:cs="Times New Roman"/>
          <w:color w:val="000000" w:themeColor="text1"/>
          <w:highlight w:val="none"/>
          <w14:textFill>
            <w14:solidFill>
              <w14:schemeClr w14:val="tx1"/>
            </w14:solidFill>
          </w14:textFill>
        </w:rPr>
        <w:t>措施得到合理有效</w:t>
      </w:r>
      <w:r>
        <w:rPr>
          <w:rFonts w:hint="default" w:ascii="Times New Roman" w:hAnsi="Times New Roman" w:cs="Times New Roman"/>
          <w:color w:val="000000" w:themeColor="text1"/>
          <w:highlight w:val="none"/>
          <w:lang w:eastAsia="zh-CN"/>
          <w14:textFill>
            <w14:solidFill>
              <w14:schemeClr w14:val="tx1"/>
            </w14:solidFill>
          </w14:textFill>
        </w:rPr>
        <w:t>地</w:t>
      </w:r>
      <w:r>
        <w:rPr>
          <w:rFonts w:hint="default" w:ascii="Times New Roman" w:hAnsi="Times New Roman" w:cs="Times New Roman"/>
          <w:color w:val="000000" w:themeColor="text1"/>
          <w:highlight w:val="none"/>
          <w14:textFill>
            <w14:solidFill>
              <w14:schemeClr w14:val="tx1"/>
            </w14:solidFill>
          </w14:textFill>
        </w:rPr>
        <w:t>落实。</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66" w:name="_Toc120173192"/>
      <w:r>
        <w:rPr>
          <w:rFonts w:hint="default" w:ascii="Times New Roman" w:hAnsi="Times New Roman" w:cs="Times New Roman"/>
          <w:color w:val="000000" w:themeColor="text1"/>
          <w:highlight w:val="none"/>
          <w:lang w:eastAsia="zh-CN"/>
          <w14:textFill>
            <w14:solidFill>
              <w14:schemeClr w14:val="tx1"/>
            </w14:solidFill>
          </w14:textFill>
        </w:rPr>
        <w:t>其他环境风险防范措施</w:t>
      </w:r>
      <w:bookmarkEnd w:id="366"/>
    </w:p>
    <w:p>
      <w:pPr>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（1）公众安全防护</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按照本项目行业操作规范，需加强对井场附近居民宣传井喷的危害及相关知识。井队队长及安全员负责</w:t>
      </w:r>
      <w:r>
        <w:rPr>
          <w:rFonts w:hint="default" w:ascii="Times New Roman" w:hAnsi="Times New Roman" w:cs="Times New Roman"/>
          <w:color w:val="000000" w:themeColor="text1"/>
          <w:highlight w:val="none"/>
          <w:lang w:eastAsia="zh-CN"/>
          <w14:textFill>
            <w14:solidFill>
              <w14:schemeClr w14:val="tx1"/>
            </w14:solidFill>
          </w14:textFill>
        </w:rPr>
        <w:t>制定</w:t>
      </w:r>
      <w:r>
        <w:rPr>
          <w:rFonts w:hint="default" w:ascii="Times New Roman" w:hAnsi="Times New Roman" w:cs="Times New Roman"/>
          <w:color w:val="000000" w:themeColor="text1"/>
          <w:highlight w:val="none"/>
          <w14:textFill>
            <w14:solidFill>
              <w14:schemeClr w14:val="tx1"/>
            </w14:solidFill>
          </w14:textFill>
        </w:rPr>
        <w:t>应急培训计划，定期对应急组织机构成员和应急保障系统、应急信息的有关人员进行综合性应急培训并</w:t>
      </w:r>
      <w:r>
        <w:rPr>
          <w:rFonts w:hint="default" w:ascii="Times New Roman" w:hAnsi="Times New Roman" w:cs="Times New Roman"/>
          <w:color w:val="000000" w:themeColor="text1"/>
          <w:highlight w:val="none"/>
          <w:lang w:eastAsia="zh-CN"/>
          <w14:textFill>
            <w14:solidFill>
              <w14:schemeClr w14:val="tx1"/>
            </w14:solidFill>
          </w14:textFill>
        </w:rPr>
        <w:t>做好</w:t>
      </w:r>
      <w:r>
        <w:rPr>
          <w:rFonts w:hint="default" w:ascii="Times New Roman" w:hAnsi="Times New Roman" w:cs="Times New Roman"/>
          <w:color w:val="000000" w:themeColor="text1"/>
          <w:highlight w:val="none"/>
          <w14:textFill>
            <w14:solidFill>
              <w14:schemeClr w14:val="tx1"/>
            </w14:solidFill>
          </w14:textFill>
        </w:rPr>
        <w:t>培训记录。应急演练应每个月开展一次，进入气层后半个月开展一次，通过演练掌握应急人员在应急抢险中对预案的熟悉程度和能力，二是加强抢险应急设备的维护保养，检查是否备足所需应急材料。</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按照钻井行业环境风险应急预案规范要求，发生井喷失控等风险事故时应及时撤离疏散紧急撤离区内（井口周边0~2000m范围）居民和企业员工，保护周围居民生命安全和健康，同时井喷失控后，还需在井口周边2000m范围外布设环境应急监测点，至少监测至3100m范围内，可按照近密远疏的原则布设监测点，并根据监测结果及时按照环境风险应急预案</w:t>
      </w:r>
      <w:r>
        <w:rPr>
          <w:rFonts w:hint="eastAsia" w:cs="Times New Roman"/>
          <w:color w:val="000000" w:themeColor="text1"/>
          <w:highlight w:val="none"/>
          <w:lang w:eastAsia="zh-CN"/>
          <w14:textFill>
            <w14:solidFill>
              <w14:schemeClr w14:val="tx1"/>
            </w14:solidFill>
          </w14:textFill>
        </w:rPr>
        <w:t>制定</w:t>
      </w:r>
      <w:r>
        <w:rPr>
          <w:rFonts w:hint="default" w:ascii="Times New Roman" w:hAnsi="Times New Roman" w:cs="Times New Roman"/>
          <w:color w:val="000000" w:themeColor="text1"/>
          <w:highlight w:val="none"/>
          <w14:textFill>
            <w14:solidFill>
              <w14:schemeClr w14:val="tx1"/>
            </w14:solidFill>
          </w14:textFill>
        </w:rPr>
        <w:t>的临时撤离方案组织一般撤离区居民和企业员工撤离。</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（2）钻井、储层改造期间配备应急点火系统及点火时间、点火管理</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钻井井控技术规程》（SY/T6426-2005），钻井现场仍按照含硫油气井配备自动、手动和高压高能电子点火三套独立点火系统，确保100%的点火成功率。钻井队在现场条件不能实施井控作业而决定放喷点火时，点火人员应佩戴防护器具，并在上风方向，离火口距离不得少于10m，用点火枪点火。</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（3）地质灾害防范</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对项目地周边开展详尽地质勘探工作，进而指导钻前施工和钻井施工，严防地质灾害环境影响诱发本项目环境风险。</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（4）夜间特别管理机制</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由于钻井工程特点需要24小时连续作业，所以应特别警惕夜间风险事故的防范和应急。严格落实井喷失控15min内及时点火以及应急预案确定的周边居民事故状态下的撤离方案，至压井作业完成。井场配备高音喇叭、防爆灯具，以便夜间事故及时通知周边居民，防爆灯具应布置在井场内风向标处，以便井场人员和周边较近居民可判断风向，带领其他人员撤离。井场实行轮班制度，保证夜间各岗位有相应值班人员。对居民进行公众教育、培训中应强调夜间自救内容，要求居民夜间保持通讯设备的畅通，夜间不关手机等，在钻开气层前后及钻开过程中夜间保持一定的警惕性。</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（5）运输路由要求及风险防范</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废物、回用钻井液、钻井固废等运输均由有资质单位负责运输，不能利用的废油、废油桶、含油抹布手套等危废由钻井队委托具有危废道路运输经营许可证单位运输。转运废物工作中要加强对车辆的监督和管理，采取转运联单制度，规范转运台账，避免私拉乱倒的现象发生。</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367" w:name="_Toc80793281"/>
      <w:bookmarkStart w:id="368" w:name="_Toc16939"/>
      <w:r>
        <w:rPr>
          <w:rFonts w:hint="default" w:ascii="Times New Roman" w:hAnsi="Times New Roman" w:cs="Times New Roman"/>
          <w:color w:val="000000" w:themeColor="text1"/>
          <w:highlight w:val="none"/>
          <w:lang w:eastAsia="zh-CN"/>
          <w14:textFill>
            <w14:solidFill>
              <w14:schemeClr w14:val="tx1"/>
            </w14:solidFill>
          </w14:textFill>
        </w:rPr>
        <w:t>应急</w:t>
      </w:r>
      <w:bookmarkEnd w:id="367"/>
      <w:r>
        <w:rPr>
          <w:rFonts w:hint="default" w:ascii="Times New Roman" w:hAnsi="Times New Roman" w:cs="Times New Roman"/>
          <w:color w:val="000000" w:themeColor="text1"/>
          <w:highlight w:val="none"/>
          <w:lang w:eastAsia="zh-CN"/>
          <w14:textFill>
            <w14:solidFill>
              <w14:schemeClr w14:val="tx1"/>
            </w14:solidFill>
          </w14:textFill>
        </w:rPr>
        <w:t>措施</w:t>
      </w:r>
      <w:bookmarkEnd w:id="368"/>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69" w:name="_Toc120173194"/>
      <w:r>
        <w:rPr>
          <w:rFonts w:hint="default" w:ascii="Times New Roman" w:hAnsi="Times New Roman" w:cs="Times New Roman"/>
          <w:color w:val="000000" w:themeColor="text1"/>
          <w:highlight w:val="none"/>
          <w:lang w:eastAsia="zh-CN"/>
          <w14:textFill>
            <w14:solidFill>
              <w14:schemeClr w14:val="tx1"/>
            </w14:solidFill>
          </w14:textFill>
        </w:rPr>
        <w:t>井喷及井喷失控应急处理预案</w:t>
      </w:r>
      <w:bookmarkEnd w:id="369"/>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根据事态发展变化情况，事故现场抢险指挥部根据应急领导小组的指令并充分考虑专家和有关意见的基础上，依法采取紧急措施，并注意做好以下工作：</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（1）井喷失控后严防着火和爆炸。应立即停钻机、机房柴油机，切断井架、钻台、机泵房等处全部照明灯和用电设备的电源，熄灭一切火源，需要时打开专用探照灯，并组织警戒。</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（2）立即向当地政府报告，协助当地政府</w:t>
      </w:r>
      <w:r>
        <w:rPr>
          <w:rFonts w:hint="default" w:ascii="Times New Roman" w:hAnsi="Times New Roman" w:cs="Times New Roman"/>
          <w:color w:val="000000" w:themeColor="text1"/>
          <w:highlight w:val="none"/>
          <w:lang w:eastAsia="zh-CN"/>
          <w14:textFill>
            <w14:solidFill>
              <w14:schemeClr w14:val="tx1"/>
            </w14:solidFill>
          </w14:textFill>
        </w:rPr>
        <w:t>做好</w:t>
      </w:r>
      <w:r>
        <w:rPr>
          <w:rFonts w:hint="default" w:ascii="Times New Roman" w:hAnsi="Times New Roman" w:cs="Times New Roman"/>
          <w:color w:val="000000" w:themeColor="text1"/>
          <w:highlight w:val="none"/>
          <w14:textFill>
            <w14:solidFill>
              <w14:schemeClr w14:val="tx1"/>
            </w14:solidFill>
          </w14:textFill>
        </w:rPr>
        <w:t>井口2500m范围内（预测结果显示井喷时H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毒性终点浓度2对应距离为2170m，考虑到高含硫气井地层的复杂性，本次评价保守取整至2500m考虑）散居农户和企业员工，以及场镇居民、学校、医院、企业等的疏散工作。此外，事故时还应根据井喷的实际情况，确定扩大疏散范围。</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（3）设置观察点，定时取样，监测（大气/空气）中的天然气、硫化氢和二氧化碳含量等，划分安全范围，并</w:t>
      </w:r>
      <w:r>
        <w:rPr>
          <w:rFonts w:hint="default" w:ascii="Times New Roman" w:hAnsi="Times New Roman" w:cs="Times New Roman"/>
          <w:color w:val="000000" w:themeColor="text1"/>
          <w:highlight w:val="none"/>
          <w:lang w:eastAsia="zh-CN"/>
          <w14:textFill>
            <w14:solidFill>
              <w14:schemeClr w14:val="tx1"/>
            </w14:solidFill>
          </w14:textFill>
        </w:rPr>
        <w:t>根据</w:t>
      </w:r>
      <w:r>
        <w:rPr>
          <w:rFonts w:hint="default" w:ascii="Times New Roman" w:hAnsi="Times New Roman" w:cs="Times New Roman"/>
          <w:color w:val="000000" w:themeColor="text1"/>
          <w:highlight w:val="none"/>
          <w14:textFill>
            <w14:solidFill>
              <w14:schemeClr w14:val="tx1"/>
            </w14:solidFill>
          </w14:textFill>
        </w:rPr>
        <w:t>监测结果和井喷事故的严重程度及时进行研判，若井喷事故较为严重，监测（大气/空气）中的天然气、硫化氢和二氧化碳含量等浓度较高，可将撤离疏散距离扩大到5000m范围。</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（4）迅速成立现场抢险领导小组，根据失控状况制定抢险方案，统一指挥、组织和协调抢险工作。抢险方案</w:t>
      </w:r>
      <w:r>
        <w:rPr>
          <w:rFonts w:hint="eastAsia" w:cs="Times New Roman"/>
          <w:color w:val="000000" w:themeColor="text1"/>
          <w:highlight w:val="none"/>
          <w:lang w:eastAsia="zh-CN"/>
          <w14:textFill>
            <w14:solidFill>
              <w14:schemeClr w14:val="tx1"/>
            </w14:solidFill>
          </w14:textFill>
        </w:rPr>
        <w:t>制定</w:t>
      </w:r>
      <w:r>
        <w:rPr>
          <w:rFonts w:hint="default" w:ascii="Times New Roman" w:hAnsi="Times New Roman" w:cs="Times New Roman"/>
          <w:color w:val="000000" w:themeColor="text1"/>
          <w:highlight w:val="none"/>
          <w14:textFill>
            <w14:solidFill>
              <w14:schemeClr w14:val="tx1"/>
            </w14:solidFill>
          </w14:textFill>
        </w:rPr>
        <w:t>及实施，要把环境保护同时考虑，同时实施，防止出现次生环境事故。</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（5）当井喷失控时，应立即通知并协助当地政府疏散井口2500m范围内（预测结果显示井喷时H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毒性终点浓度2对应距离为2170m，考虑到高含硫气井地层的复杂性，本次评价保守取整至2500m考虑）的散居农户，以及场镇居民、学校、医院、企业等环境敏感点和社会关注点，根据检测情况，考虑风向、地形、人口密度、受污染程度等情况及时作出风险和危害程度评估，决定是否扩大撤离范围；关停生产设施；请求援助。</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（6）在确保人员安全的前提下，将氧气瓶、油罐等易燃易爆物品撤离危险区。</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（7）在进行处置井喷事故的同时，充分考虑到事故和次生事故对环境可能造成的威胁，要严密制定并采取保护措施，防止事态扩大和引发次生灾害。</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（8）在事故处理结束后，确认作业现场及其周边环境安全的情况下，和地方政府商定撤离群众的返回时间。</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70" w:name="_Toc120173195"/>
      <w:r>
        <w:rPr>
          <w:rFonts w:hint="default" w:ascii="Times New Roman" w:hAnsi="Times New Roman" w:cs="Times New Roman"/>
          <w:color w:val="000000" w:themeColor="text1"/>
          <w:highlight w:val="none"/>
          <w:lang w:eastAsia="zh-CN"/>
          <w14:textFill>
            <w14:solidFill>
              <w14:schemeClr w14:val="tx1"/>
            </w14:solidFill>
          </w14:textFill>
        </w:rPr>
        <w:t>井喷或场站泄漏应急疏散预案</w:t>
      </w:r>
      <w:bookmarkEnd w:id="370"/>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当井喷或天然气试采期间出现失控时，应立即通知并协助当地政府疏散井口2500m范围内（预测结果显示井喷时H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毒性终点浓度2对应距离为2170m，考虑到高含硫气井地层的复杂性，本次评价保守取整至2500m考虑）的散居农户等，周边较近的场镇居民、学校师生、医院医护人员和病人等。根据监测情况，考虑风向、地形、人口密度、受污染程度等情况及时作出风险和危害程度评估，决定是否扩大撤离范围。</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为了保障每位员工和井场周围群众的生命安全，应按正确的方法和方向撤离，每位接到撤离通知的员工和群众应按下列程序撤离：</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（1）群众由当地政府组织撤离，井队员工由井队组织撤离；</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（2）逃生时要注意风向，一要沿上风（逆风）方向逃生，二要沿着地面上的高处跑。本项目周边地势起伏较大，但井口周边300m范围内无居民分布，预测结果显示井喷时H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毒性终点浓度2对应距离为2170m，考虑到高含硫气井地层的复杂性，本次评价保守取整至2500m考虑，井口300m外至2500m处居民有较充足的时间撤离。撤离路线：建议撤离时根据风向，根据所在地道路分布情况转移至高处安全集合点，同时建设单位应引导周边群众撤离。撤离路线应根据实际风险进行调整，原则就是往上风向撤离。项目撤离路线均不受周边地形限制，项目区域主导风为东北风，撤离路线不位于下风向，因此撤离路线是合理的。</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所在的普光气田区域5km范围内各村镇均已设置有应急高音喇叭，能够对区域范围内所有居民点进行覆盖，且主要村镇均已设置有应急安置点，各村镇联系人已在中原油田普光分公司应急指挥中心办公室存档，应急措施完善，能够确保发生风险事故后第一时间启动应急预案与撤离方案，具体方案见中原油田普光分公司编制有《中原油田普光分公司环境应急预案</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2021年4月</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》，项目所在区域路网及交通条件较好，能够确保2500m范围内的居民均能及时有效的撤离至安全的应急安置点。</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（3）时间就是生命，紧急逃生时，不要因收贵重物品等事宜延误时间，并且要轻装撤离逃生。</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（4）当所处位置离井场很远时，则只要偏离风向往离井场越来越远的方向逃生即可。</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71" w:name="_Toc120173196"/>
      <w:r>
        <w:rPr>
          <w:rFonts w:hint="default" w:ascii="Times New Roman" w:hAnsi="Times New Roman" w:cs="Times New Roman"/>
          <w:color w:val="000000" w:themeColor="text1"/>
          <w:highlight w:val="none"/>
          <w:lang w:eastAsia="zh-CN"/>
          <w14:textFill>
            <w14:solidFill>
              <w14:schemeClr w14:val="tx1"/>
            </w14:solidFill>
          </w14:textFill>
        </w:rPr>
        <w:t>天然气窜层泄漏进入地表应急措施</w:t>
      </w:r>
      <w:bookmarkEnd w:id="371"/>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由于天然气窜层</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时，压力小，速率低，不会出现井喷式的</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只要及时组织人员撤离，并及时采取事故应对措施一般情况下不会引起人员伤亡。应对此类事故措施主要是通过加强对钻井返空介质的监测来及时了解井下状况，采取措施避免井漏气窜的发生，钻前加强对周边2500m居民的教育培训，遇到此类事故应立即撤离并远离泄露点。企业在泄露点周边设置便携监测仪确定浓度，根据浓度确定具体撤离范围。气窜发生时及应立即采取井下堵漏措施，并通过井口放喷管放喷燃烧泄压，减少周边地表</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点</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量，此类环境风险是可控的。</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72" w:name="_Toc120173197"/>
      <w:r>
        <w:rPr>
          <w:rFonts w:hint="default" w:ascii="Times New Roman" w:hAnsi="Times New Roman" w:cs="Times New Roman"/>
          <w:color w:val="000000" w:themeColor="text1"/>
          <w:highlight w:val="none"/>
          <w:lang w:eastAsia="zh-CN"/>
          <w14:textFill>
            <w14:solidFill>
              <w14:schemeClr w14:val="tx1"/>
            </w14:solidFill>
          </w14:textFill>
        </w:rPr>
        <w:t>井漏环境风险事故应急措施</w:t>
      </w:r>
      <w:bookmarkEnd w:id="372"/>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发生井漏时必须利用各种堵漏材料，处理井漏的规定流程如下：</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（1）分析井漏发生的原因，确定漏层位置、类型及漏失严重程度。</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（2）保质保量</w:t>
      </w:r>
      <w:r>
        <w:rPr>
          <w:rFonts w:hint="default" w:ascii="Times New Roman" w:hAnsi="Times New Roman" w:cs="Times New Roman"/>
          <w:color w:val="000000" w:themeColor="text1"/>
          <w:highlight w:val="none"/>
          <w:lang w:eastAsia="zh-CN"/>
          <w14:textFill>
            <w14:solidFill>
              <w14:schemeClr w14:val="tx1"/>
            </w14:solidFill>
          </w14:textFill>
        </w:rPr>
        <w:t>地</w:t>
      </w:r>
      <w:r>
        <w:rPr>
          <w:rFonts w:hint="default" w:ascii="Times New Roman" w:hAnsi="Times New Roman" w:cs="Times New Roman"/>
          <w:color w:val="000000" w:themeColor="text1"/>
          <w:highlight w:val="none"/>
          <w14:textFill>
            <w14:solidFill>
              <w14:schemeClr w14:val="tx1"/>
            </w14:solidFill>
          </w14:textFill>
        </w:rPr>
        <w:t>配置堵漏泥浆。</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（3）施工时如果能起钻，应尽可能采用光钻杆，下至漏层顶部。</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（4）使用正确的堵剂注入方法，确保堵剂进入漏层近井筒处。</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（5）施工过程中要不停地活动钻具，避免卡钻。</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（6）凡采用桥堵剂堵漏，要卸掉循环管线及泵中的滤清器、筛网等，防止堵塞憋泵伤人。</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（7）憋压试漏时要缓慢进行，压力一般不能过大，避免造成新的诱导裂缝。</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（8）施工完成后，各种资料必须收集整理齐全、准确。</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73" w:name="_Toc120173198"/>
      <w:r>
        <w:rPr>
          <w:rFonts w:hint="default" w:ascii="Times New Roman" w:hAnsi="Times New Roman" w:cs="Times New Roman"/>
          <w:color w:val="000000" w:themeColor="text1"/>
          <w:highlight w:val="none"/>
          <w:lang w:eastAsia="zh-CN"/>
          <w14:textFill>
            <w14:solidFill>
              <w14:schemeClr w14:val="tx1"/>
            </w14:solidFill>
          </w14:textFill>
        </w:rPr>
        <w:t>废水、油类物质泄漏应急措施</w:t>
      </w:r>
      <w:bookmarkEnd w:id="373"/>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（1）当钻井废水或油类物质油外溢时，应及时围堵，并及时进行清理，确保废水、柴油不进入河流中。</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（2）对受泄露钻井废水或油污染的土壤进行清理和置换，确保农业生产不受影响，同时避免雨水冲刷进入河流中。</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74" w:name="_Toc120173199"/>
      <w:r>
        <w:rPr>
          <w:rFonts w:hint="default" w:ascii="Times New Roman" w:hAnsi="Times New Roman" w:cs="Times New Roman"/>
          <w:color w:val="000000" w:themeColor="text1"/>
          <w:highlight w:val="none"/>
          <w:lang w:eastAsia="zh-CN"/>
          <w14:textFill>
            <w14:solidFill>
              <w14:schemeClr w14:val="tx1"/>
            </w14:solidFill>
          </w14:textFill>
        </w:rPr>
        <w:t>外运过程应急措施</w:t>
      </w:r>
      <w:bookmarkEnd w:id="374"/>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废水外运均采用密闭罐车运输，固废采用密封袋装运输，罐体为钢板密封罐，发生翻车</w:t>
      </w:r>
      <w:r>
        <w:rPr>
          <w:rFonts w:hint="default" w:ascii="Times New Roman" w:hAnsi="Times New Roman" w:cs="Times New Roman"/>
          <w:color w:val="000000" w:themeColor="text1"/>
          <w:highlight w:val="none"/>
          <w:lang w:eastAsia="zh-CN"/>
          <w14:textFill>
            <w14:solidFill>
              <w14:schemeClr w14:val="tx1"/>
            </w14:solidFill>
          </w14:textFill>
        </w:rPr>
        <w:t>泄漏的概率</w:t>
      </w:r>
      <w:r>
        <w:rPr>
          <w:rFonts w:hint="default" w:ascii="Times New Roman" w:hAnsi="Times New Roman" w:cs="Times New Roman"/>
          <w:color w:val="000000" w:themeColor="text1"/>
          <w:highlight w:val="none"/>
          <w14:textFill>
            <w14:solidFill>
              <w14:schemeClr w14:val="tx1"/>
            </w14:solidFill>
          </w14:textFill>
        </w:rPr>
        <w:t>很小，且合格泥浆、返排液、钻井固废等无有毒有害物质，主要是含有机污染物，罐车输送的量约10t/车，一次运输量不大，发生事故时对环境也不会造成重大环境影响。一旦发生事故，井场废水外溢造成环境污染时，现场人员应及时向上级汇报并视情况向当地生态环境局汇报，同时采取有力措施，防止污染扩大。应急抢险应以尽量减少泄</w:t>
      </w:r>
      <w:r>
        <w:rPr>
          <w:rFonts w:hint="default" w:ascii="Times New Roman" w:hAnsi="Times New Roman" w:cs="Times New Roman"/>
          <w:color w:val="000000" w:themeColor="text1"/>
          <w:highlight w:val="none"/>
          <w:lang w:eastAsia="zh-CN"/>
          <w14:textFill>
            <w14:solidFill>
              <w14:schemeClr w14:val="tx1"/>
            </w14:solidFill>
          </w14:textFill>
        </w:rPr>
        <w:t>漏</w:t>
      </w:r>
      <w:r>
        <w:rPr>
          <w:rFonts w:hint="default" w:ascii="Times New Roman" w:hAnsi="Times New Roman" w:cs="Times New Roman"/>
          <w:color w:val="000000" w:themeColor="text1"/>
          <w:highlight w:val="none"/>
          <w14:textFill>
            <w14:solidFill>
              <w14:schemeClr w14:val="tx1"/>
            </w14:solidFill>
          </w14:textFill>
        </w:rPr>
        <w:t>量、控制废水扩散范围为基本原则。施工单位须制定出应急救援预案和与当地政府和有关部门建立相衔接的应急救援体系，并按规定程序报批后进行宣传和演练，加强信息交流，建立与相关方面的通讯联络系统。</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75" w:name="_Toc120173200"/>
      <w:r>
        <w:rPr>
          <w:rFonts w:hint="default" w:ascii="Times New Roman" w:hAnsi="Times New Roman" w:cs="Times New Roman"/>
          <w:color w:val="000000" w:themeColor="text1"/>
          <w:highlight w:val="none"/>
          <w:lang w:eastAsia="zh-CN"/>
          <w14:textFill>
            <w14:solidFill>
              <w14:schemeClr w14:val="tx1"/>
            </w14:solidFill>
          </w14:textFill>
        </w:rPr>
        <w:t>套外返水的应急措施</w:t>
      </w:r>
      <w:bookmarkEnd w:id="375"/>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套外返水若是固井质量问题应采用工程措施进行封堵、封隔，消除套外返水情况。对受盐污染地下水采用抽采方式减缓污染，加快恢复。</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76" w:name="_Toc120173201"/>
      <w:r>
        <w:rPr>
          <w:rFonts w:hint="default" w:ascii="Times New Roman" w:hAnsi="Times New Roman" w:cs="Times New Roman"/>
          <w:color w:val="000000" w:themeColor="text1"/>
          <w:highlight w:val="none"/>
          <w:lang w:eastAsia="zh-CN"/>
          <w14:textFill>
            <w14:solidFill>
              <w14:schemeClr w14:val="tx1"/>
            </w14:solidFill>
          </w14:textFill>
        </w:rPr>
        <w:t>事故发生后外环境污染物的消除方案</w:t>
      </w:r>
      <w:bookmarkEnd w:id="376"/>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当发生天然气扩散时，应及时进行井控，争取最短时间控制井喷源头，尽可能切断</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源。天然气扩散时间短，通过空气流动自然扩散降低空气中可燃气体浓度。井喷失控点燃后可通过空气流动自然扩散和自然降雨降低空气中污染物浓度。对洒水收集的废水经收集后单独处理达标排放。</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77" w:name="_Toc120173202"/>
      <w:r>
        <w:rPr>
          <w:rFonts w:hint="default" w:ascii="Times New Roman" w:hAnsi="Times New Roman" w:cs="Times New Roman"/>
          <w:color w:val="000000" w:themeColor="text1"/>
          <w:highlight w:val="none"/>
          <w:lang w:eastAsia="zh-CN"/>
          <w14:textFill>
            <w14:solidFill>
              <w14:schemeClr w14:val="tx1"/>
            </w14:solidFill>
          </w14:textFill>
        </w:rPr>
        <w:t>宣传、培训和演习</w:t>
      </w:r>
      <w:bookmarkEnd w:id="377"/>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公众信息交流。各级政府、天然气开采企业要按规定向公众和员工说明天然气开采的危险性及发生事故可能造成的危害，广泛宣传应急救援有关法律法规和天然气开采事故预防、避险、避灾、自救、互救的常识。</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培训。天然气开采有关应急救援队伍按照有关规定参加业务培训；天然气开发企业按照有关规定对员工进行应急培训；各级安全生产监督管理部门负责对应急救援培训情况进行监督检查。各级应急救援管理机构加强应急管理、救援人员的上岗前培训和常规性培训。</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（3）演习。普光分公司及所属单位每年至少组织一次环境事故应急的桌面演练或全面演习，并将演习总结报应急办公室。</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78" w:name="_Toc120173203"/>
      <w:r>
        <w:rPr>
          <w:rFonts w:hint="default" w:ascii="Times New Roman" w:hAnsi="Times New Roman" w:cs="Times New Roman"/>
          <w:color w:val="000000" w:themeColor="text1"/>
          <w:highlight w:val="none"/>
          <w:lang w:eastAsia="zh-CN"/>
          <w14:textFill>
            <w14:solidFill>
              <w14:schemeClr w14:val="tx1"/>
            </w14:solidFill>
          </w14:textFill>
        </w:rPr>
        <w:t>风险管理措施</w:t>
      </w:r>
      <w:bookmarkEnd w:id="378"/>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分公司成立专门的为应对油气勘探、开发等生产经营过程中可能发生的重大突发事故，最大限度地保障人民群众生命和财产安全，减轻事故灾害。普光分公司建立了详细周密的应急救援体系，设立了三级应急救援网络。</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分公司应急领导小组负责所属范围内所有重、特大事故的应急管理。定期组织、检查、审核等五个专业事故应急小组职责履行情况。发生重大事故，专业应急小组进行应急指挥、调度、抢险、施救、现场调查、恢复生产等工作，普光分公司应急领导小组协调有关工作。对特大事故，普光分公司应急领导小组直接负责事故现场指挥、调度、抢险、施救、恢复生产，并会同地方政府、股份公司开展事故调查等工作。</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379" w:name="_Toc120173206"/>
      <w:r>
        <w:rPr>
          <w:rFonts w:hint="default" w:ascii="Times New Roman" w:hAnsi="Times New Roman" w:cs="Times New Roman"/>
          <w:color w:val="000000" w:themeColor="text1"/>
          <w:highlight w:val="none"/>
          <w:lang w:eastAsia="zh-CN"/>
          <w14:textFill>
            <w14:solidFill>
              <w14:schemeClr w14:val="tx1"/>
            </w14:solidFill>
          </w14:textFill>
        </w:rPr>
        <w:t>本项目环境风险应急预案</w:t>
      </w:r>
      <w:bookmarkEnd w:id="379"/>
    </w:p>
    <w:p>
      <w:pPr>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（1）钻井</w:t>
      </w:r>
      <w:bookmarkStart w:id="380" w:name="OLE_LINK364"/>
      <w:bookmarkStart w:id="381" w:name="OLE_LINK363"/>
      <w:r>
        <w:rPr>
          <w:rFonts w:hint="default" w:ascii="Times New Roman" w:hAnsi="Times New Roman" w:cs="Times New Roman"/>
          <w:b/>
          <w:color w:val="000000" w:themeColor="text1"/>
          <w:highlight w:val="none"/>
          <w14:textFill>
            <w14:solidFill>
              <w14:schemeClr w14:val="tx1"/>
            </w14:solidFill>
          </w14:textFill>
        </w:rPr>
        <w:t>过程</w:t>
      </w:r>
      <w:bookmarkEnd w:id="380"/>
      <w:bookmarkEnd w:id="381"/>
      <w:r>
        <w:rPr>
          <w:rFonts w:hint="default" w:ascii="Times New Roman" w:hAnsi="Times New Roman" w:cs="Times New Roman"/>
          <w:b/>
          <w:color w:val="000000" w:themeColor="text1"/>
          <w:highlight w:val="none"/>
          <w14:textFill>
            <w14:solidFill>
              <w14:schemeClr w14:val="tx1"/>
            </w14:solidFill>
          </w14:textFill>
        </w:rPr>
        <w:t>风险应急预案</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前述环境风险事故分析，本次评价将针对本项目钻井作业的特点，结合企业制定的应急预案，提出环境风险事故应急预案编制要求，供企业及有关部门参考。同时环评要求建设单位在钻井工程施工前编制钻井工程专项应急预案，并在地方生态环境主管部门进行备案。</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1）应急预案编制内容及要求</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根据前述环境风险事故分析，本次评价将针对本项目钻井作业及试采作业的特点，结合企业制定的应急预案，提出环境风险事故应急预案编制要求，供企业及有关部门参考。见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_Ref142859473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表6.6</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382" w:name="_Ref142859473"/>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382"/>
      <w:r>
        <w:rPr>
          <w:rFonts w:hint="default" w:ascii="Times New Roman" w:hAnsi="Times New Roman" w:cs="Times New Roman"/>
          <w:color w:val="000000" w:themeColor="text1"/>
          <w:highlight w:val="none"/>
          <w14:textFill>
            <w14:solidFill>
              <w14:schemeClr w14:val="tx1"/>
            </w14:solidFill>
          </w14:textFill>
        </w:rPr>
        <w:t xml:space="preserve"> 应急预案主要内容一览表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1013"/>
        <w:gridCol w:w="6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2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序号</w:t>
            </w:r>
          </w:p>
        </w:tc>
        <w:tc>
          <w:tcPr>
            <w:tcW w:w="594"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项目</w:t>
            </w:r>
          </w:p>
        </w:tc>
        <w:tc>
          <w:tcPr>
            <w:tcW w:w="397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应急计划区</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危险目标：钻井地层</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环境保护目标：测试放喷时，井口周边0～2500m为紧急撤离范围。若井喷事故较为严重，可增加至5000m；当发生井喷失控时，一般撤离范围可根据监测情况决定。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应急组织机构、人员</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组织机构为中原油田普光分公司，钻井队及其管理单位、当地政府。</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关键依靠钻井队、当地政府。</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充分、重点发挥地方镇乡、村级政府的组织能力，纳入应急组织机构中。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预案分级响应条件</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规定预案的级别及分级响应程序：</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把重大环境污染事故定为三级，定性为一般，涉及组织单位为中原油田普光分公司、钻井队和当地环保部门。</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井喷及井喷失控定为一级。涉及组织单位为中原油田普光分公司、钻井队及其管理单位、当地政府。响应程度依次增强。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应急救援保障</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应急设施，设备与器材等：</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井场配备H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S测试、防毒、医疗、消防、疏散等应急设施。</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钻开气层前通知当地医院、消防队等方面救援保障力量以及钻井队主管部门、普光分公司的应急救援单位。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报警、通讯联络方式</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规定应急状态下的</w:t>
            </w:r>
            <w:r>
              <w:rPr>
                <w:rFonts w:hint="default" w:ascii="Times New Roman" w:hAnsi="Times New Roman" w:cs="Times New Roman"/>
                <w:color w:val="000000" w:themeColor="text1"/>
                <w:highlight w:val="none"/>
                <w:lang w:eastAsia="zh-CN"/>
                <w14:textFill>
                  <w14:solidFill>
                    <w14:schemeClr w14:val="tx1"/>
                  </w14:solidFill>
                </w14:textFill>
              </w:rPr>
              <w:t>报警通信</w:t>
            </w:r>
            <w:r>
              <w:rPr>
                <w:rFonts w:hint="default" w:ascii="Times New Roman" w:hAnsi="Times New Roman" w:cs="Times New Roman"/>
                <w:color w:val="000000" w:themeColor="text1"/>
                <w:highlight w:val="none"/>
                <w14:textFill>
                  <w14:solidFill>
                    <w14:schemeClr w14:val="tx1"/>
                  </w14:solidFill>
                </w14:textFill>
              </w:rPr>
              <w:t>方式、通知方式和交通保障、管制：</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协调井队通过广播系统和电话通知。至少在1个小组设2个电话联络点。小组通知人员应指定4人负责通知本小组内的居民。并电话通知当地交警队负责交通保障、管制，不允许非救援车辆进入危险井口周边区域。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应急环境监测、抢险、救援及控制措施</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环境应急监测可组织协调当地环境监测中心站。</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抢险、救援组织协调当地消防队、医院和钻井主管部门及普光分公司的应急队伍。</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控制措施主要由钻井队和其管理部门、普光分公司等部门共同协商控制。</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井喷失控的关键控制措施：应立即组织撤离井口周边2500m的居民，若井喷事故较为严重，可增加至5000m。同时保证井喷失控在15min内点火，燃烧泄漏天然气。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应急检测、防护措施、清除泄漏措施和器材</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应急检测、防护采用井队配备的设备和消防队伍的设备，必要可增加普光分公司、钻井队主管部门的检测防护设备。清除泄漏必要时可通过消防车喷雾状水溶解将大气污染物转化为地表水污染物。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人员紧急撤离、疏散，应急剂量控制、撤离组织计划</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紧急撤离区：井口外2500m范围为紧急撤离区，若井喷事故较为严重，可增加至5000m。撤离路线应根据钻井井场风向标，沿发生事故时的上风向方向或侧风向远离事故源方向撤离。通过高音喇叭、广播、电话及时通知周边各户居民，保证全部及时通知撤离。</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般撤离区：当发生井喷失控时，一般撤离范围可根据监测情况决定。在发生事故时应自发和在应急组织机构的带领下及时撤离。撤离路线应根据钻井井场风向标，沿发生事故时的上风向或侧风向方向远离事故源方向撤离。由于涉及人员多，应通过应急组织机构负责组织撤离，通过广播系统和电话系统通知。由于远处居民不能看到风向标，在通知撤离时要由专业人员根据风向标说明撤离方向。可通过广播系统和电话系统通知，应通过协调村委会通过电话通知到小组，各组至少设立2个联络点。小组负责人指定4人负责通知小组内的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事故应急救援关闭程序与恢复措施</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规定应急状态终止程序事故现场善后处理，恢复措施邻近区域解除事故警戒及善后恢复措施</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（1）井喷失控得到控制，伤亡人员得到全部救援和安置，危险区域的居民全部撤离。</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（2）恢复措施：对事故伤亡情况进行统计，应做好详细</w:t>
            </w:r>
            <w:r>
              <w:rPr>
                <w:rFonts w:hint="default" w:ascii="Times New Roman" w:hAnsi="Times New Roman" w:cs="Times New Roman"/>
                <w:color w:val="000000" w:themeColor="text1"/>
                <w:highlight w:val="none"/>
                <w:lang w:eastAsia="zh-CN"/>
                <w14:textFill>
                  <w14:solidFill>
                    <w14:schemeClr w14:val="tx1"/>
                  </w14:solidFill>
                </w14:textFill>
              </w:rPr>
              <w:t>地</w:t>
            </w:r>
            <w:r>
              <w:rPr>
                <w:rFonts w:hint="default" w:ascii="Times New Roman" w:hAnsi="Times New Roman" w:cs="Times New Roman"/>
                <w:color w:val="000000" w:themeColor="text1"/>
                <w:highlight w:val="none"/>
                <w14:textFill>
                  <w14:solidFill>
                    <w14:schemeClr w14:val="tx1"/>
                  </w14:solidFill>
                </w14:textFill>
              </w:rPr>
              <w:t>记录并存档。行政领导组应尽快协调各</w:t>
            </w:r>
            <w:r>
              <w:rPr>
                <w:rFonts w:hint="default" w:ascii="Times New Roman" w:hAnsi="Times New Roman" w:cs="Times New Roman"/>
                <w:color w:val="000000" w:themeColor="text1"/>
                <w:highlight w:val="none"/>
                <w:lang w:eastAsia="zh-CN"/>
                <w14:textFill>
                  <w14:solidFill>
                    <w14:schemeClr w14:val="tx1"/>
                  </w14:solidFill>
                </w14:textFill>
              </w:rPr>
              <w:t>部门</w:t>
            </w:r>
            <w:r>
              <w:rPr>
                <w:rFonts w:hint="default" w:ascii="Times New Roman" w:hAnsi="Times New Roman" w:cs="Times New Roman"/>
                <w:color w:val="000000" w:themeColor="text1"/>
                <w:highlight w:val="none"/>
                <w14:textFill>
                  <w14:solidFill>
                    <w14:schemeClr w14:val="tx1"/>
                  </w14:solidFill>
                </w14:textFill>
              </w:rPr>
              <w:t>做好医疗救护工作，包括医疗经费的提供、受伤人员的住院安排与护理以及善后赔偿等；钻井队主管单位配合相关部门人员对受损设备尽快安排修复并投入生产使用。钻井队主管部门、普光分公司、当地政府成立事故调查小组，调查原因并按“四不放过”的原则进行事故处理；做出事故调查报告，同时总结事件教训，实行安全事故的教育培训，杜绝类似事件的再次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应急培训</w:t>
            </w:r>
          </w:p>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计划</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应急计划制定后，平时安排人员培训与演练：</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着重在钻含气层前的演练，把井口周边2500m范围内居民纳入培训、演练队伍。井队安全监督要对井队全体员工进行应急救援培训，提高员工的应急救援能力。</w:t>
            </w:r>
            <w:r>
              <w:rPr>
                <w:rFonts w:hint="default" w:ascii="Times New Roman" w:hAnsi="Times New Roman" w:cs="Times New Roman"/>
                <w:color w:val="000000" w:themeColor="text1"/>
                <w:highlight w:val="none"/>
                <w:lang w:eastAsia="zh-CN"/>
                <w14:textFill>
                  <w14:solidFill>
                    <w14:schemeClr w14:val="tx1"/>
                  </w14:solidFill>
                </w14:textFill>
              </w:rPr>
              <w:t>加强</w:t>
            </w:r>
            <w:r>
              <w:rPr>
                <w:rFonts w:hint="default" w:ascii="Times New Roman" w:hAnsi="Times New Roman" w:cs="Times New Roman"/>
                <w:color w:val="000000" w:themeColor="text1"/>
                <w:highlight w:val="none"/>
                <w14:textFill>
                  <w14:solidFill>
                    <w14:schemeClr w14:val="tx1"/>
                  </w14:solidFill>
                </w14:textFill>
              </w:rPr>
              <w:t>组织人员向井场附近居民宣传H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S和井喷的危害及相关知识。井队队长及安全员负责</w:t>
            </w:r>
            <w:r>
              <w:rPr>
                <w:rFonts w:hint="default" w:ascii="Times New Roman" w:hAnsi="Times New Roman" w:cs="Times New Roman"/>
                <w:color w:val="000000" w:themeColor="text1"/>
                <w:highlight w:val="none"/>
                <w:lang w:eastAsia="zh-CN"/>
                <w14:textFill>
                  <w14:solidFill>
                    <w14:schemeClr w14:val="tx1"/>
                  </w14:solidFill>
                </w14:textFill>
              </w:rPr>
              <w:t>制定</w:t>
            </w:r>
            <w:r>
              <w:rPr>
                <w:rFonts w:hint="default" w:ascii="Times New Roman" w:hAnsi="Times New Roman" w:cs="Times New Roman"/>
                <w:color w:val="000000" w:themeColor="text1"/>
                <w:highlight w:val="none"/>
                <w14:textFill>
                  <w14:solidFill>
                    <w14:schemeClr w14:val="tx1"/>
                  </w14:solidFill>
                </w14:textFill>
              </w:rPr>
              <w:t>应急培训计划，定期对应急组织机构成员和应急保障系统、应急信息的有关人员进行综合性应急培训并做好培训记录。应急演练应每个月开展一次，进入气层后半个月开展一次，通过演练掌握应急人员在应急抢险中对预案的熟悉程度和能力，二是加强抢险应急设备的维护保养，检查是否备足所需应急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11</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公众教育和信息</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bookmarkStart w:id="383" w:name="OLE_LINK418"/>
            <w:bookmarkStart w:id="384" w:name="OLE_LINK417"/>
            <w:r>
              <w:rPr>
                <w:rFonts w:hint="default" w:ascii="Times New Roman" w:hAnsi="Times New Roman" w:cs="Times New Roman"/>
                <w:color w:val="000000" w:themeColor="text1"/>
                <w:highlight w:val="none"/>
                <w14:textFill>
                  <w14:solidFill>
                    <w14:schemeClr w14:val="tx1"/>
                  </w14:solidFill>
                </w14:textFill>
              </w:rPr>
              <w:t>对井场邻近地区开展公众教育、培训和发布有关信息：</w:t>
            </w:r>
            <w:bookmarkEnd w:id="383"/>
            <w:bookmarkEnd w:id="384"/>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安全距离内居民进行公众教育，发宣传册。钻井工程前，要向可能危及居民安全范围内进行H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S安全知识和遇紧急情况时的应急预案教育，提出紧急情况下的安全撤离要求。</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单位应主动联系当地政府，对紧急撤离区范围内的居民通过发放宣传册普及安全知识，内容应有危害程度、防范应急救护措施。同时应在进入含硫气层前对2500m范围内的居民进行应急演练一次。对一般撤离区范围居民发放宣传册普及安全知识，内容应有危害程度、防范应急救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夜间特别管理机制</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井场配备高音喇叭、防爆灯具，以便夜间事故及时通知周边较近距离的居民，防爆灯具应布置在井场内风向标处，以便井场人员和周边较近居民可判断风向，带领其他人员撤离。</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场实行轮班制度，保证夜间各岗位有相应值班人员。对居民进行公众教育、培训中应强调夜间自救内容，要求居民夜间保持通讯设备的畅通，夜间不关手机等教育。强调在钻气层期间夜间保持一定的警惕，提出在夜间事故报警后应立即穿少量衣服，及时保证人员撤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w:t>
            </w:r>
          </w:p>
        </w:tc>
        <w:tc>
          <w:tcPr>
            <w:tcW w:w="59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备案</w:t>
            </w:r>
          </w:p>
        </w:tc>
        <w:tc>
          <w:tcPr>
            <w:tcW w:w="3978" w:type="pc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将本项目钻井工程应急预案报送地方环保部门备案。</w:t>
            </w:r>
          </w:p>
        </w:tc>
      </w:tr>
    </w:tbl>
    <w:p>
      <w:pPr>
        <w:spacing w:before="120" w:beforeLines="50"/>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2）宣传、培训和演习</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公众信息交流：各级政府、各陆上石油天然气开采企业要按规定向公众和员工说明陆上石油天然气开采的危险性及发生事故可能造成的危害，广泛宣传应急救援有关法律法规和陆上石油天然气开采事故预防、避险、避灾、自救、互救的常识。</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培训：陆上石油天然气开采有关应急救援队伍按照有关规定参加业务培训；陆上石油天然气开采企业按照有关规定对员工进行应急培训；各级安全生产监督管理部门负责对应急救援培训情况进行监督检查。各级应急救援管理机构加强应急管理、救援人员的上岗前培训和常规性培训。</w:t>
      </w:r>
    </w:p>
    <w:p>
      <w:pPr>
        <w:ind w:firstLine="480"/>
        <w:rPr>
          <w:rFonts w:hint="default" w:ascii="Times New Roman" w:hAnsi="Times New Roman" w:cs="Times New Roman"/>
          <w:color w:val="000000" w:themeColor="text1"/>
          <w:highlight w:val="none"/>
          <w14:textFill>
            <w14:solidFill>
              <w14:schemeClr w14:val="tx1"/>
            </w14:solidFill>
          </w14:textFill>
        </w:rPr>
      </w:pPr>
      <w:bookmarkStart w:id="385" w:name="OLE_LINK186"/>
      <w:bookmarkStart w:id="386" w:name="OLE_LINK185"/>
      <w:r>
        <w:rPr>
          <w:rFonts w:hint="default" w:ascii="Times New Roman" w:hAnsi="Times New Roman" w:cs="Times New Roman"/>
          <w:color w:val="000000" w:themeColor="text1"/>
          <w:highlight w:val="none"/>
          <w14:textFill>
            <w14:solidFill>
              <w14:schemeClr w14:val="tx1"/>
            </w14:solidFill>
          </w14:textFill>
        </w:rPr>
        <w:t>③演习：陆上石油天然气开采企业按有关规定定期组织应急救援演习；中石化有关专业应急机构和地方人民政府根据自身实际情况定期组织陆上石油天然气开采事故应急救援演习，并于演习结束后向安全监管总局提交书面总结。应急指挥中心每年会同有关部门和地方政府组织一次应急演习。</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普光分公司及所属单位每年至少组织一次井喷失控事故应急演习，并将演习总结报应急指挥中心办公室。</w:t>
      </w:r>
    </w:p>
    <w:bookmarkEnd w:id="385"/>
    <w:bookmarkEnd w:id="386"/>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3）放喷池垮塌、污染物外溢的应急预案</w:t>
      </w:r>
    </w:p>
    <w:p>
      <w:pPr>
        <w:ind w:firstLine="480"/>
        <w:rPr>
          <w:rFonts w:hint="default" w:ascii="Times New Roman" w:hAnsi="Times New Roman" w:cs="Times New Roman"/>
          <w:color w:val="000000" w:themeColor="text1"/>
          <w:highlight w:val="none"/>
          <w14:textFill>
            <w14:solidFill>
              <w14:schemeClr w14:val="tx1"/>
            </w14:solidFill>
          </w14:textFill>
        </w:rPr>
      </w:pPr>
      <w:bookmarkStart w:id="387" w:name="OLE_LINK191"/>
      <w:bookmarkStart w:id="388" w:name="OLE_LINK192"/>
      <w:r>
        <w:rPr>
          <w:rFonts w:hint="default" w:ascii="Times New Roman" w:hAnsi="Times New Roman" w:cs="Times New Roman"/>
          <w:color w:val="000000" w:themeColor="text1"/>
          <w:highlight w:val="none"/>
          <w14:textFill>
            <w14:solidFill>
              <w14:schemeClr w14:val="tx1"/>
            </w14:solidFill>
          </w14:textFill>
        </w:rPr>
        <w:t>因山洪等发生放喷池垮塌、污染物外溢事故时，现场工作人员应立即向现场应急领导小组组长报告；组长应立即安排人员采取堵塞沟渠</w:t>
      </w:r>
      <w:r>
        <w:rPr>
          <w:rFonts w:hint="default" w:ascii="Times New Roman" w:hAnsi="Times New Roman" w:cs="Times New Roman"/>
          <w:color w:val="000000" w:themeColor="text1"/>
          <w:highlight w:val="none"/>
          <w:lang w:eastAsia="zh-CN"/>
          <w14:textFill>
            <w14:solidFill>
              <w14:schemeClr w14:val="tx1"/>
            </w14:solidFill>
          </w14:textFill>
        </w:rPr>
        <w:t>或构</w:t>
      </w:r>
      <w:r>
        <w:rPr>
          <w:rFonts w:hint="default" w:ascii="Times New Roman" w:hAnsi="Times New Roman" w:cs="Times New Roman"/>
          <w:color w:val="000000" w:themeColor="text1"/>
          <w:highlight w:val="none"/>
          <w14:textFill>
            <w14:solidFill>
              <w14:schemeClr w14:val="tx1"/>
            </w14:solidFill>
          </w14:textFill>
        </w:rPr>
        <w:t>筑隔离带，拦截外溢的泥浆污染物，用泵、人工回收等方法及时清理回收废泥浆，防止污染继续扩大，同时修复放喷池，彻底消除污染事故隐患。</w:t>
      </w:r>
      <w:bookmarkEnd w:id="387"/>
      <w:bookmarkEnd w:id="388"/>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于受污染的居民泉点取水口，现场应急领导小组组长安排人员在井口处设置“不准饮用”警示牌。派人通知各饮用水住户，告知井水被污染的情况和不准饮用的信息。用水泵抽尽井内受污染的水源。通知监测机构对新井水取样检测，确认没有污染后，经地方生态环境局确认后，移走“不准饮用”的警示牌，告知当地饮用水住户可饮用的信息。</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如果污染控制措施失败，污染继续扩大，钻井队已无能力继续控制时，则报当地政府及生态环境局，请求立即给予应急救援。同时配合上级有关人员对污染事故进行处理。</w:t>
      </w:r>
    </w:p>
    <w:p>
      <w:pPr>
        <w:ind w:firstLine="482"/>
        <w:rPr>
          <w:rFonts w:hint="default" w:ascii="Times New Roman" w:hAnsi="Times New Roman" w:cs="Times New Roman"/>
          <w:color w:val="000000" w:themeColor="text1"/>
          <w:highlight w:val="none"/>
          <w14:textFill>
            <w14:solidFill>
              <w14:schemeClr w14:val="tx1"/>
            </w14:solidFill>
          </w14:textFill>
        </w:rPr>
      </w:pPr>
      <w:bookmarkStart w:id="389" w:name="OLE_LINK196"/>
      <w:bookmarkStart w:id="390" w:name="OLE_LINK195"/>
      <w:r>
        <w:rPr>
          <w:rFonts w:hint="default" w:ascii="Times New Roman" w:hAnsi="Times New Roman" w:cs="Times New Roman"/>
          <w:b/>
          <w:color w:val="000000" w:themeColor="text1"/>
          <w:highlight w:val="none"/>
          <w14:textFill>
            <w14:solidFill>
              <w14:schemeClr w14:val="tx1"/>
            </w14:solidFill>
          </w14:textFill>
        </w:rPr>
        <w:t>4）发生火灾、爆炸的应急预</w:t>
      </w:r>
      <w:bookmarkEnd w:id="389"/>
      <w:bookmarkEnd w:id="390"/>
      <w:r>
        <w:rPr>
          <w:rFonts w:hint="default" w:ascii="Times New Roman" w:hAnsi="Times New Roman" w:cs="Times New Roman"/>
          <w:b/>
          <w:color w:val="000000" w:themeColor="text1"/>
          <w:highlight w:val="none"/>
          <w14:textFill>
            <w14:solidFill>
              <w14:schemeClr w14:val="tx1"/>
            </w14:solidFill>
          </w14:textFill>
        </w:rPr>
        <w:t>案</w:t>
      </w:r>
    </w:p>
    <w:p>
      <w:pPr>
        <w:ind w:firstLine="480"/>
        <w:rPr>
          <w:rFonts w:hint="default" w:ascii="Times New Roman" w:hAnsi="Times New Roman" w:cs="Times New Roman"/>
          <w:color w:val="000000" w:themeColor="text1"/>
          <w:highlight w:val="none"/>
          <w14:textFill>
            <w14:solidFill>
              <w14:schemeClr w14:val="tx1"/>
            </w14:solidFill>
          </w14:textFill>
        </w:rPr>
      </w:pPr>
      <w:bookmarkStart w:id="391" w:name="OLE_LINK202"/>
      <w:bookmarkStart w:id="392" w:name="OLE_LINK201"/>
      <w:r>
        <w:rPr>
          <w:rFonts w:hint="default" w:ascii="Times New Roman" w:hAnsi="Times New Roman" w:cs="Times New Roman"/>
          <w:color w:val="000000" w:themeColor="text1"/>
          <w:highlight w:val="none"/>
          <w14:textFill>
            <w14:solidFill>
              <w14:schemeClr w14:val="tx1"/>
            </w14:solidFill>
          </w14:textFill>
        </w:rPr>
        <w:t>当施工期间发生火灾、爆炸事故时应马上关井转入抢险救援工作。</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①放喷燃烧筒等设备发生火灾爆炸，设备设施破坏，现场指挥应立即指挥各工段岗位紧急停车，按紧急停车操作规程执行。</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②因爆炸损坏井场液体装置发生泄漏，当班班长立即组织人员用雾状水喷淋泄漏源，岗位当班操作人员开关设备的相关阀门等措施处理事故。</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③初期火灾应采取现场灭火器材和消防车结合扑救方式消除，严重火灾、爆炸事故要立即通知地方公安消防部门。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④轻症烧、灼伤、机械挫伤、中毒、触电和其他轻伤人员由现场医护人员医治处理、重症人员由专车、专业医护人员陪护送就近县级以上医院医治。</w:t>
      </w:r>
    </w:p>
    <w:bookmarkEnd w:id="391"/>
    <w:bookmarkEnd w:id="392"/>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5）井喷及井喷失控应急处理预案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井喷时立即启动应急预案，根据事态发展变化情况，事故现场抢险指挥部根据应急领导小组的指令并充分考虑专家和有关意见的基础上，依法采取紧急措施，并注意做好以下工作：</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a</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井喷失控后严防着火和爆炸。应立即停钻机、机房柴油机，切断井架、钻台、机泵房等处全部照明灯和用电设备的电源，熄灭一切火源，需要时打开专用探照灯，并组织警戒。</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b</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立即向当地政府报告，协助当地政府</w:t>
      </w:r>
      <w:r>
        <w:rPr>
          <w:rFonts w:hint="default" w:ascii="Times New Roman" w:hAnsi="Times New Roman" w:cs="Times New Roman"/>
          <w:color w:val="000000" w:themeColor="text1"/>
          <w:highlight w:val="none"/>
          <w:lang w:eastAsia="zh-CN"/>
          <w14:textFill>
            <w14:solidFill>
              <w14:schemeClr w14:val="tx1"/>
            </w14:solidFill>
          </w14:textFill>
        </w:rPr>
        <w:t>做好</w:t>
      </w:r>
      <w:r>
        <w:rPr>
          <w:rFonts w:hint="default" w:ascii="Times New Roman" w:hAnsi="Times New Roman" w:cs="Times New Roman"/>
          <w:color w:val="000000" w:themeColor="text1"/>
          <w:highlight w:val="none"/>
          <w14:textFill>
            <w14:solidFill>
              <w14:schemeClr w14:val="tx1"/>
            </w14:solidFill>
          </w14:textFill>
        </w:rPr>
        <w:t>井口2500m范围内居民的疏散工作，同时通报普光分公司应急指挥中心办公室。</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设置观察点，定时取样，监测（大气/空气）中的（天然气、H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S和二氧化碳含量/有毒有害气体（如H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S）的浓度），划分安全范围。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d</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迅速成立现场抢险领导小组，根据失控状况制定抢险方案，统一指挥、组织和协调抢险工作。抢险方案</w:t>
      </w:r>
      <w:r>
        <w:rPr>
          <w:rFonts w:hint="eastAsia" w:cs="Times New Roman"/>
          <w:color w:val="000000" w:themeColor="text1"/>
          <w:highlight w:val="none"/>
          <w:lang w:eastAsia="zh-CN"/>
          <w14:textFill>
            <w14:solidFill>
              <w14:schemeClr w14:val="tx1"/>
            </w14:solidFill>
          </w14:textFill>
        </w:rPr>
        <w:t>制定</w:t>
      </w:r>
      <w:r>
        <w:rPr>
          <w:rFonts w:hint="default" w:ascii="Times New Roman" w:hAnsi="Times New Roman" w:cs="Times New Roman"/>
          <w:color w:val="000000" w:themeColor="text1"/>
          <w:highlight w:val="none"/>
          <w14:textFill>
            <w14:solidFill>
              <w14:schemeClr w14:val="tx1"/>
            </w14:solidFill>
          </w14:textFill>
        </w:rPr>
        <w:t>及实施，要把环境保护同时考虑，同时实施，防止出现次生环境事故。</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e</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继续监测污染区有毒有害气体的浓度，根据监测情况决定是否扩大撤离范围。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f</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当空气中H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S浓度达到15mg/m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（10ppm）的阈限值时，现场应：</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①安排专人观察风向、风速确定危险区。</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②切断危险区不防爆电器的电源。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③安排专人佩戴正压式空气呼吸器到危险区检测泄漏点。</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④非作业人员撤入安全区。</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⑤继续监测空气中H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S浓度（进行监测）。</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g</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当空气中H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S浓度达到30mg/m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（20ppm）的安全临界浓度时，应：</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①启动报警音响，戴上正压式空气呼吸器。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②实施井控程序，控制H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S泄漏源。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③切断作业现场所有可能的着火源。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④立即向上级部门报告。</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⑤指派专人在井口100m、500m、1000m、2500m和5000m处进行H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S监测，需要时监测点可适当加密。</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⑥设立警戒区，任何人未经许可不得入内。</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⑦撤离现场的非应急处置人员。</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⑧清点现场人员。</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⑨通知救援机构，救护人员进入戒备状态。</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当井喷失控时，应采取如下措施：</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①立即通知并协助当地政府疏散井口2500m范围内的居民和其他人员，根据监测情况，考虑风向、地形、人口密度、受污染程度等情况及时作出风险和危害程度评估，决定是否扩大撤离范围。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②关停生产设施。</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③请求援助。</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i</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当井喷失控、空气中H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S浓度达到150mg/m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（100ppm）的危险临界浓度时，现场作业人员应按预案立即撤离井场，通知当地政府和其他有关机构，同时向上级主管部门报告。</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j</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在确保人员安全前提下，将氧气瓶、油罐等易燃易爆物品撤离危险区。</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k</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点火条件及点火时间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①含硫化氢天然气井出现井喷事故征兆时，现场作业人员应立即进行点火准备工作；</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②井喷失控后，在5min内完成井口点火燃烧泄漏天然气，将H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S燃烧转化为SO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和H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O。</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l</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含硫气井井口点火程序：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①含硫气井井喷或井喷失控事故发生后，应防止着火和爆炸。</w:t>
      </w:r>
    </w:p>
    <w:p>
      <w:pPr>
        <w:ind w:firstLine="480"/>
        <w:rPr>
          <w:rFonts w:hint="default" w:ascii="Times New Roman" w:hAnsi="Times New Roman" w:cs="Times New Roman"/>
          <w:color w:val="000000" w:themeColor="text1"/>
          <w:highlight w:val="none"/>
          <w14:textFill>
            <w14:solidFill>
              <w14:schemeClr w14:val="tx1"/>
            </w14:solidFill>
          </w14:textFill>
        </w:rPr>
      </w:pPr>
      <w:bookmarkStart w:id="393" w:name="OLE_LINK207"/>
      <w:bookmarkStart w:id="394" w:name="OLE_LINK206"/>
      <w:r>
        <w:rPr>
          <w:rFonts w:hint="default" w:ascii="Times New Roman" w:hAnsi="Times New Roman" w:cs="Times New Roman"/>
          <w:color w:val="000000" w:themeColor="text1"/>
          <w:highlight w:val="none"/>
          <w14:textFill>
            <w14:solidFill>
              <w14:schemeClr w14:val="tx1"/>
            </w14:solidFill>
          </w14:textFill>
        </w:rPr>
        <w:t>②发</w:t>
      </w:r>
      <w:bookmarkEnd w:id="393"/>
      <w:bookmarkEnd w:id="394"/>
      <w:r>
        <w:rPr>
          <w:rFonts w:hint="default" w:ascii="Times New Roman" w:hAnsi="Times New Roman" w:cs="Times New Roman"/>
          <w:color w:val="000000" w:themeColor="text1"/>
          <w:highlight w:val="none"/>
          <w14:textFill>
            <w14:solidFill>
              <w14:schemeClr w14:val="tx1"/>
            </w14:solidFill>
          </w14:textFill>
        </w:rPr>
        <w:t>生井喷后应采取措施控制井喷，若井口压力有可能超过允许关井压力，需点火放喷时，井场应先点火后放喷。</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③井喷失控后，在人员的生命受到巨大威胁、人员撤离无望、失控井无希望得到控制的情况下，作为最后手段应按抢险作业程序对油气井井口实施点火。</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④气井点火程序的相关内容应在应急预案中予以明确。油气井点火决策人宜由建设单位代表或其授权的现场负责人来担任，并列入应急预案中。</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⑤井场应配备自动点火装置，并备用手动点火器具。点火人员佩戴防护器具，在上风方向，尽量远离井口使用移动点火器具点火；其他人员集中到上风方向的安全区。</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⑥点火后应对下风方向尤其是井场生活区、周围集中居住区、医院、学校等人员聚集场所的二氧化硫的浓度进行监测。</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⑦、井喷发生后，及时安排消防车、救护车、医护人员和技安人员到现场。</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⑧、在邻近江河、湖泊、环境敏感区以及交通干线等地区，要在进行处置井喷事故的同时，充分考虑到事故和次生事故对环境可能造成的威胁，要严密制定并采取对环境敏感区和易受损资源的保护措施，防止事态扩大和引发次生灾害。</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⑨、在事故处理结束后，确认作业现场及其周边环境安全的情况下，和地方政府商定撤离群众的返回时间。</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6）H</w:t>
      </w:r>
      <w:r>
        <w:rPr>
          <w:rFonts w:hint="default" w:ascii="Times New Roman" w:hAnsi="Times New Roman" w:cs="Times New Roman"/>
          <w:b/>
          <w:color w:val="000000" w:themeColor="text1"/>
          <w:highlight w:val="none"/>
          <w:vertAlign w:val="subscript"/>
          <w14:textFill>
            <w14:solidFill>
              <w14:schemeClr w14:val="tx1"/>
            </w14:solidFill>
          </w14:textFill>
        </w:rPr>
        <w:t>2</w:t>
      </w:r>
      <w:r>
        <w:rPr>
          <w:rFonts w:hint="default" w:ascii="Times New Roman" w:hAnsi="Times New Roman" w:cs="Times New Roman"/>
          <w:b/>
          <w:color w:val="000000" w:themeColor="text1"/>
          <w:highlight w:val="none"/>
          <w14:textFill>
            <w14:solidFill>
              <w14:schemeClr w14:val="tx1"/>
            </w14:solidFill>
          </w14:textFill>
        </w:rPr>
        <w:t>S中毒应急救援预案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①在钻井作业中严格执行《硫化氢环境钻井场所作业安全规范》（SY/T 5087-2017）的规定；在可能存在H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S的场所设立H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S中毒的警示标志和风向标，作业人员尽可能在上风口位置作业；为避免H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S外溢造成人、牲畜伤亡，在即将钻入含H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S地层时，实施现场警戒施工当天应提前疏散村民及牲口，疏散的范围由应急领导小组确定，提前24小时通知当地村社干部。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②在井场按规定配置H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S检测仪，并保证其灵敏可靠；在可能产生H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S的场所工作的员工每人配备防毒面具和空（氧）气呼吸器，并保证有效使用；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③向周围居民进行井喷和防H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S中毒的防护知识的宣传，并调查了解附近居民的分布情况，掌握其最有效的联系方式；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④听到H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S报警信号后立即戴上防毒面具或氧气呼吸器；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⑤发出警报信号（鸣喇叭），全队处于应急状态；当班人员按“四七”动作控制井口；非当班人员立即赶到井场</w:t>
      </w:r>
      <w:r>
        <w:rPr>
          <w:rFonts w:hint="default" w:ascii="Times New Roman" w:hAnsi="Times New Roman" w:cs="Times New Roman"/>
          <w:color w:val="000000" w:themeColor="text1"/>
          <w:highlight w:val="none"/>
          <w:lang w:eastAsia="zh-CN"/>
          <w14:textFill>
            <w14:solidFill>
              <w14:schemeClr w14:val="tx1"/>
            </w14:solidFill>
          </w14:textFill>
        </w:rPr>
        <w:t>做</w:t>
      </w:r>
      <w:r>
        <w:rPr>
          <w:rFonts w:hint="default" w:ascii="Times New Roman" w:hAnsi="Times New Roman" w:cs="Times New Roman"/>
          <w:color w:val="000000" w:themeColor="text1"/>
          <w:highlight w:val="none"/>
          <w14:textFill>
            <w14:solidFill>
              <w14:schemeClr w14:val="tx1"/>
            </w14:solidFill>
          </w14:textFill>
        </w:rPr>
        <w:t>救护准备；卫生员准备担架、氧气袋和急救箱到井场；HSE监督（安全员）检查空气呼吸器并搬出备用；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⑥救护人员戴好空气呼吸器到岗位检查井口是否控制住，有无人员中毒；若发现有人员中毒立即抬至空气流通处施行现场急救，同时与挂钩医院联系；</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⑦由队长和钻井技术员组织处理消除井内的H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S外逸工作。</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7）应急疏散预案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当井喷失控时，应立即通知并协助当地政府疏散井口2500m范围内的居民和其他人员，根据监测情况，考虑风向、地形、人口密度、受污染程度等情况及时作出风险和危害程度评估，决定是否扩大撤离范围。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a</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疏散方向原则</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总体原则为远离泄漏源。①首先向远离泄漏源的方向撤离；②其次向上风向或侧风向撤离；③向高处撤离；④向交通方便处撤离。</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b</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考虑高程情况下应急撤离路径选择原则</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①首先确保应急撤离路径为远离泄漏源的路径；②选择与泄漏源同一高程或高程增加的应急撤离路径；③选择交通方便的主要应急撤离路径。</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井场人员撤离方式方法</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指挥小组根据对事故发展的预测，撤离警报发出后，调度组将井场两处出口通道开至最大，指挥井场内人员及车辆离开，并禁止再次进入，同时指挥外部救援车辆有序进入场区进行事故抢险。</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岗位操作人员，根据当班调度的指令，采取控制事故扩大的措施进行紧急工艺处理（含紧急停车）。非事故岗位人员按照要求关闭电器设备后，并根据当时风向撤离井场前后</w:t>
      </w:r>
      <w:r>
        <w:rPr>
          <w:rFonts w:hint="default" w:ascii="Times New Roman" w:hAnsi="Times New Roman" w:cs="Times New Roman"/>
          <w:color w:val="000000" w:themeColor="text1"/>
          <w:highlight w:val="none"/>
          <w:lang w:eastAsia="zh-CN"/>
          <w14:textFill>
            <w14:solidFill>
              <w14:schemeClr w14:val="tx1"/>
            </w14:solidFill>
          </w14:textFill>
        </w:rPr>
        <w:t>两个</w:t>
      </w:r>
      <w:r>
        <w:rPr>
          <w:rFonts w:hint="default" w:ascii="Times New Roman" w:hAnsi="Times New Roman" w:cs="Times New Roman"/>
          <w:color w:val="000000" w:themeColor="text1"/>
          <w:highlight w:val="none"/>
          <w14:textFill>
            <w14:solidFill>
              <w14:schemeClr w14:val="tx1"/>
            </w14:solidFill>
          </w14:textFill>
        </w:rPr>
        <w:t>集合点。并根据毒物扩散情况，适时撤离到安全地点。撤离时全体人员带上应急自救器材，发现有人受伤时，应先判断环境的安全性再进行救助。人员清点，由后勤保障组长或安全环保组组长指定人员统计应到人数，并及时报告领导小组，以便及时了解是否存在员工滞留在事故区。全体人员在指定的安全点停留，直到警报解除。</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d</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周边区域的单位、村居人员的疏散方式方法</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指挥小组根据事故发展趋势的预测，通过警报器向周边单位、村居民发出疏散警报，警报一声表示井场发生严重事故；连续警报不停，告知周边单位、村居人员要进行疏散。对外联系组立即通过电话报告普光镇、宣汉县政府等行政主管部门，申请联动应急救援，同时通知周边单位，村居负责人。周边单位、村居负责人立即组织本单位、村居人员，根据自己所处的位置，徒步有序地疏散到乡镇设定的安全集合点。疏散人员要带上湿毛巾衣物，当闻到臭鸡蛋气味时将口鼻捂住。疏散时HSE管理组、后勤保障组、对外关系组应全力配</w:t>
      </w:r>
      <w:bookmarkStart w:id="395" w:name="OLE_LINK216"/>
      <w:bookmarkStart w:id="396" w:name="OLE_LINK210"/>
      <w:r>
        <w:rPr>
          <w:rFonts w:hint="default" w:ascii="Times New Roman" w:hAnsi="Times New Roman" w:cs="Times New Roman"/>
          <w:color w:val="000000" w:themeColor="text1"/>
          <w:highlight w:val="none"/>
          <w14:textFill>
            <w14:solidFill>
              <w14:schemeClr w14:val="tx1"/>
            </w14:solidFill>
          </w14:textFill>
        </w:rPr>
        <w:t>合</w:t>
      </w:r>
      <w:bookmarkEnd w:id="395"/>
      <w:bookmarkEnd w:id="396"/>
      <w:r>
        <w:rPr>
          <w:rFonts w:hint="default" w:ascii="Times New Roman" w:hAnsi="Times New Roman" w:cs="Times New Roman"/>
          <w:color w:val="000000" w:themeColor="text1"/>
          <w:highlight w:val="none"/>
          <w14:textFill>
            <w14:solidFill>
              <w14:schemeClr w14:val="tx1"/>
            </w14:solidFill>
          </w14:textFill>
        </w:rPr>
        <w:t>乡镇政府的疏散工作。</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周边居民安全须知和硫化氢泄漏逃生方向示意图见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_Ref142924083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图6.6</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，静风条件下硫化氢泄漏逃生方向示意图见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_Ref142924088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图6.6</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ind w:firstLine="480"/>
        <w:rPr>
          <w:rFonts w:hint="default" w:ascii="Times New Roman" w:hAnsi="Times New Roman" w:cs="Times New Roman"/>
          <w:color w:val="000000" w:themeColor="text1"/>
          <w:highlight w:val="none"/>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8740140" cy="4572000"/>
            <wp:effectExtent l="0" t="0" r="381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8740140" cy="4572000"/>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397" w:name="_Ref142924083"/>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fldChar w:fldCharType="end"/>
      </w:r>
      <w:bookmarkEnd w:id="397"/>
      <w:r>
        <w:rPr>
          <w:rFonts w:hint="default" w:ascii="Times New Roman" w:hAnsi="Times New Roman" w:cs="Times New Roman"/>
          <w:color w:val="000000" w:themeColor="text1"/>
          <w:highlight w:val="none"/>
          <w14:textFill>
            <w14:solidFill>
              <w14:schemeClr w14:val="tx1"/>
            </w14:solidFill>
          </w14:textFill>
        </w:rPr>
        <w:t xml:space="preserve"> 周边居民安全须知和硫化氢泄漏逃生方向示意图</w:t>
      </w:r>
    </w:p>
    <w:p>
      <w:pPr>
        <w:ind w:firstLine="480"/>
        <w:rPr>
          <w:rFonts w:hint="default" w:ascii="Times New Roman" w:hAnsi="Times New Roman" w:cs="Times New Roman"/>
          <w:color w:val="000000" w:themeColor="text1"/>
          <w:highlight w:val="none"/>
          <w14:textFill>
            <w14:solidFill>
              <w14:schemeClr w14:val="tx1"/>
            </w14:solidFill>
          </w14:textFill>
        </w:rPr>
      </w:pPr>
    </w:p>
    <w:p>
      <w:pPr>
        <w:ind w:firstLine="480"/>
        <w:rPr>
          <w:rFonts w:hint="default" w:ascii="Times New Roman" w:hAnsi="Times New Roman" w:cs="Times New Roman"/>
          <w:color w:val="000000" w:themeColor="text1"/>
          <w:highlight w:val="none"/>
          <w14:textFill>
            <w14:solidFill>
              <w14:schemeClr w14:val="tx1"/>
            </w14:solidFill>
          </w14:textFill>
        </w:rPr>
        <w:sectPr>
          <w:pgSz w:w="16840" w:h="11910" w:orient="landscape"/>
          <w:pgMar w:top="1800" w:right="1440" w:bottom="1800" w:left="1440" w:header="964" w:footer="964" w:gutter="0"/>
          <w:pgBorders>
            <w:top w:val="none" w:sz="0" w:space="0"/>
            <w:left w:val="none" w:sz="0" w:space="0"/>
            <w:bottom w:val="none" w:sz="0" w:space="0"/>
            <w:right w:val="none" w:sz="0" w:space="0"/>
          </w:pgBorders>
          <w:cols w:space="720" w:num="1"/>
          <w:docGrid w:linePitch="326" w:charSpace="0"/>
        </w:sectPr>
      </w:pP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0" distR="0">
            <wp:extent cx="5250180" cy="3634740"/>
            <wp:effectExtent l="0" t="0" r="7620" b="3810"/>
            <wp:docPr id="39" name="图片 39" descr="不同风向撤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不同风向撤离图"/>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250180" cy="3634740"/>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398" w:name="_Ref142924088"/>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6.6</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fldChar w:fldCharType="end"/>
      </w:r>
      <w:bookmarkEnd w:id="398"/>
      <w:r>
        <w:rPr>
          <w:rFonts w:hint="default" w:ascii="Times New Roman" w:hAnsi="Times New Roman" w:cs="Times New Roman"/>
          <w:color w:val="000000" w:themeColor="text1"/>
          <w:highlight w:val="none"/>
          <w14:textFill>
            <w14:solidFill>
              <w14:schemeClr w14:val="tx1"/>
            </w14:solidFill>
          </w14:textFill>
        </w:rPr>
        <w:t xml:space="preserve"> 静风条件下硫化氢泄漏逃生方向示意图</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8）废水转运事故应急预案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为防止环境污染，建设单位应制定废水转运事故应急预案。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发生废水泄漏或者交通事故等导致废水外泄时，现场拉运工作人员和驾驶员在向主管部门报告的同时，应立即采取有效措施，切断废水与河流、农田等之间的泄漏途径，防止废水进入河流或者农田，阻止事态扩大。</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②建设单位应立即组织人员赶赴现场指挥应急抢险，了解掌握事故动态，采取有效措施，组织实施抢救，防止事态扩大；严格保护事故现场，维护现场秩序，收集相关证据；及时将污染情况和应急工作情况上报。</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③结合废水转运应急预案，建设单位定期组织进行应急预案演习和培训，提高废水罐车司机和拉运工作人员对突发环境事件的应急处置能力。</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④发生事故后，应由当地专业环境监测队伍负责对事故现场进行环境监测，对事故性质、参数与后果进行评估。监测方案可参照《突发环境事件应急监测技术规范》（HJ 589-2010）制定。</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（2）试采过程风险应急预案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根据前述环境风险事故分析，本次评价将针对本项目试采作业的特点，结合企业制定的应急预案，提出试采期环境风险事故应急预案编制要求，供企业及有关部门参考。</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1）通讯联络方式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①报告方式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通常方式有：捎口信、固定电话、移动电话、传真和网络。</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作业区向分公司报告，除非特别紧急的情况采用电话报告外，</w:t>
      </w:r>
      <w:r>
        <w:rPr>
          <w:rFonts w:hint="default" w:ascii="Times New Roman" w:hAnsi="Times New Roman" w:cs="Times New Roman"/>
          <w:color w:val="000000" w:themeColor="text1"/>
          <w:highlight w:val="none"/>
          <w:lang w:eastAsia="zh-CN"/>
          <w14:textFill>
            <w14:solidFill>
              <w14:schemeClr w14:val="tx1"/>
            </w14:solidFill>
          </w14:textFill>
        </w:rPr>
        <w:t>其他</w:t>
      </w:r>
      <w:r>
        <w:rPr>
          <w:rFonts w:hint="default" w:ascii="Times New Roman" w:hAnsi="Times New Roman" w:cs="Times New Roman"/>
          <w:color w:val="000000" w:themeColor="text1"/>
          <w:highlight w:val="none"/>
          <w14:textFill>
            <w14:solidFill>
              <w14:schemeClr w14:val="tx1"/>
            </w14:solidFill>
          </w14:textFill>
        </w:rPr>
        <w:t>一律书面报告（电传）。</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作业区向当地镇、县、市级政府及其职能部门报告事故时，采用先电话</w:t>
      </w:r>
      <w:r>
        <w:rPr>
          <w:rFonts w:hint="default" w:ascii="Times New Roman" w:hAnsi="Times New Roman" w:cs="Times New Roman"/>
          <w:color w:val="000000" w:themeColor="text1"/>
          <w:highlight w:val="none"/>
          <w:lang w:eastAsia="zh-CN"/>
          <w14:textFill>
            <w14:solidFill>
              <w14:schemeClr w14:val="tx1"/>
            </w14:solidFill>
          </w14:textFill>
        </w:rPr>
        <w:t>告知</w:t>
      </w:r>
      <w:r>
        <w:rPr>
          <w:rFonts w:hint="default" w:ascii="Times New Roman" w:hAnsi="Times New Roman" w:cs="Times New Roman"/>
          <w:color w:val="000000" w:themeColor="text1"/>
          <w:highlight w:val="none"/>
          <w14:textFill>
            <w14:solidFill>
              <w14:schemeClr w14:val="tx1"/>
            </w14:solidFill>
          </w14:textFill>
        </w:rPr>
        <w:t>，后附书面报告。</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作业区向村社报告事故时，采用电话或口头报告形式。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②报警方式，作业区确认事故后，对社会公众报警的方式为：电告当地市、区、镇人民政府和所属村社。</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电告110、119。</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电告社会团体或企事业单位。</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用高音喇叭通知社会居民或采用口信，一传十，十传百的方式。借助天然气救险车的扩音设备，巡回告之。</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2）应急响应</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①险情发生后，应急指挥启动应急预案；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②应急小组立即形成，由应急指挥组组长统一发布应急指挥命令；</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③生产抢修组负责现场流程的切换，协调、配合抢险单位实施应急抢险工作，以及在应急情况下现场人员的疏散（考虑该工程距离居民房屋近的特点，还应组织附近居民的疏散）；</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④安全监护组负责现场可燃气体的检测，安全警戒线的设置，并配合相关单位实施应急救援；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⑤通讯联络组负责建立抢险单位、救援单位及地方政府有关部门的联络；</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⑥后勤保障组负责抢险物资组织，后勤、车辆的保障；</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⑦站场发生异常情况（大面积泄漏、火灾、爆炸）；</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⑧集气站值班人员在站控室按下装置ESD按钮，实行全站ESD紧急关断，生产系统闭式放空，同时即向应急指挥汇报起火部位、情况；</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⑨应急指挥下令启动事故应急预案，在控制室向现场下达应急指令；</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⑩通讯联络组迅速打电话报警，向中原油田普光分公司、中国石油化工股份有限公司汇报现场情况，并联系抢险单位实施紧急抢险工作，同时向有关地方政府机构通报情况，请求救援；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⑪生产抢修组人员立即切断生产现场电源，并对现场流程切断情况进行确认；</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⑫如现场存在火情，现场抢修组使用固定式消防系统和移动式灭火器进行灭火；</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⑬安全监护组负责在现场进行检测，在影响距离外设置警戒线，进行安全监护；</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⑭抢修现场严禁使用非防爆用具，车辆一律熄火站外停放，确因工作需要进入现场的车辆必须</w:t>
      </w:r>
      <w:r>
        <w:rPr>
          <w:rFonts w:hint="default" w:ascii="Times New Roman" w:hAnsi="Times New Roman" w:cs="Times New Roman"/>
          <w:color w:val="000000" w:themeColor="text1"/>
          <w:highlight w:val="none"/>
          <w:lang w:eastAsia="zh-CN"/>
          <w14:textFill>
            <w14:solidFill>
              <w14:schemeClr w14:val="tx1"/>
            </w14:solidFill>
          </w14:textFill>
        </w:rPr>
        <w:t>佩戴</w:t>
      </w:r>
      <w:r>
        <w:rPr>
          <w:rFonts w:hint="default" w:ascii="Times New Roman" w:hAnsi="Times New Roman" w:cs="Times New Roman"/>
          <w:color w:val="000000" w:themeColor="text1"/>
          <w:highlight w:val="none"/>
          <w14:textFill>
            <w14:solidFill>
              <w14:schemeClr w14:val="tx1"/>
            </w14:solidFill>
          </w14:textFill>
        </w:rPr>
        <w:t>防火帽，经安全监护组确认安全后，按指定路线行进；</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⑮后勤保障组负责组织相关的应急抢险物资；</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⑯若现场情况无法控制，现场抢修组组织现场人员进行撤离。</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3）事故应急处理措施</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当项目天然气发生泄漏时，项目总负责人或其指定人员应向当地政府报告，协助当地政府立即疏散管线周围的居民，并立即组织对项目周边社会关注点的撤离。</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a</w:t>
      </w:r>
      <w:r>
        <w:rPr>
          <w:rFonts w:hint="default" w:ascii="Times New Roman" w:hAnsi="Times New Roman" w:cs="Times New Roman"/>
          <w:b/>
          <w:color w:val="000000" w:themeColor="text1"/>
          <w:highlight w:val="none"/>
          <w:lang w:eastAsia="zh-CN"/>
          <w14:textFill>
            <w14:solidFill>
              <w14:schemeClr w14:val="tx1"/>
            </w14:solidFill>
          </w14:textFill>
        </w:rPr>
        <w:t>.</w:t>
      </w:r>
      <w:r>
        <w:rPr>
          <w:rFonts w:hint="default" w:ascii="Times New Roman" w:hAnsi="Times New Roman" w:cs="Times New Roman"/>
          <w:b/>
          <w:color w:val="000000" w:themeColor="text1"/>
          <w:highlight w:val="none"/>
          <w14:textFill>
            <w14:solidFill>
              <w14:schemeClr w14:val="tx1"/>
            </w14:solidFill>
          </w14:textFill>
        </w:rPr>
        <w:t>硫化氢泄漏应急疏散预案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当硫化氢气体泄漏时，必须立即向当地政府报告，同时通知事故影响范围内的厂矿企业和居民立即撤离，并组织和协助当地政府</w:t>
      </w:r>
      <w:r>
        <w:rPr>
          <w:rFonts w:hint="default" w:ascii="Times New Roman" w:hAnsi="Times New Roman" w:cs="Times New Roman"/>
          <w:color w:val="000000" w:themeColor="text1"/>
          <w:highlight w:val="none"/>
          <w:lang w:eastAsia="zh-CN"/>
          <w14:textFill>
            <w14:solidFill>
              <w14:schemeClr w14:val="tx1"/>
            </w14:solidFill>
          </w14:textFill>
        </w:rPr>
        <w:t>做</w:t>
      </w:r>
      <w:r>
        <w:rPr>
          <w:rFonts w:hint="default" w:ascii="Times New Roman" w:hAnsi="Times New Roman" w:cs="Times New Roman"/>
          <w:color w:val="000000" w:themeColor="text1"/>
          <w:highlight w:val="none"/>
          <w14:textFill>
            <w14:solidFill>
              <w14:schemeClr w14:val="tx1"/>
            </w14:solidFill>
          </w14:textFill>
        </w:rPr>
        <w:t>好事故影响范围内居民的疏散工作。根据当地情况，应立即组织周边居民向管道上风向方向进行撤离。考虑风向、地形、人口密度、受影响程度等情况及时作出风险和危害程度评估，决定是否扩大撤离范围。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为了在紧急突发事件情况下防止H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S中毒，保障每位员工和站场周围群众的生命安全，应按正确的方法和方向撤离，每位接到撤离通知的员工和群众应按下列程序撤离：</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①群众由当地政府组织撤离，</w:t>
      </w:r>
      <w:r>
        <w:rPr>
          <w:rFonts w:hint="default" w:ascii="Times New Roman" w:hAnsi="Times New Roman" w:cs="Times New Roman"/>
          <w:color w:val="000000" w:themeColor="text1"/>
          <w:highlight w:val="none"/>
          <w:lang w:val="en-GB"/>
          <w14:textFill>
            <w14:solidFill>
              <w14:schemeClr w14:val="tx1"/>
            </w14:solidFill>
          </w14:textFill>
        </w:rPr>
        <w:t>集气站员工由集气站</w:t>
      </w:r>
      <w:r>
        <w:rPr>
          <w:rFonts w:hint="default" w:ascii="Times New Roman" w:hAnsi="Times New Roman" w:cs="Times New Roman"/>
          <w:color w:val="000000" w:themeColor="text1"/>
          <w:highlight w:val="none"/>
          <w14:textFill>
            <w14:solidFill>
              <w14:schemeClr w14:val="tx1"/>
            </w14:solidFill>
          </w14:textFill>
        </w:rPr>
        <w:t>组织撤离；</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w:t>
      </w:r>
      <w:r>
        <w:rPr>
          <w:rFonts w:hint="default" w:ascii="Times New Roman" w:hAnsi="Times New Roman" w:cs="Times New Roman"/>
          <w:color w:val="000000" w:themeColor="text1"/>
          <w:highlight w:val="none"/>
          <w:lang w:val="en-GB"/>
          <w14:textFill>
            <w14:solidFill>
              <w14:schemeClr w14:val="tx1"/>
            </w14:solidFill>
          </w14:textFill>
        </w:rPr>
        <w:t>集气站</w:t>
      </w:r>
      <w:r>
        <w:rPr>
          <w:rFonts w:hint="default" w:ascii="Times New Roman" w:hAnsi="Times New Roman" w:cs="Times New Roman"/>
          <w:color w:val="000000" w:themeColor="text1"/>
          <w:highlight w:val="none"/>
          <w14:textFill>
            <w14:solidFill>
              <w14:schemeClr w14:val="tx1"/>
            </w14:solidFill>
          </w14:textFill>
        </w:rPr>
        <w:t>操作人员戴上正压式空气呼吸器撤离逃生；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③无正压式空气呼吸器者用干净湿毛巾捂住口鼻逃生；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④逃生时要注意风向，一要沿上风（逆风）方向逃生，二要沿着地面上的高处跑，不要接触低凹处的水源。若所处位置沿上风方向逃生时的近道要经过H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严重污染区，则横向绕道避开站场吹来的下风，到达非污染区后，再沿上风方向逃生（离站场越远越好）；若所处位置在站场下风方向的较远处，且风速较小，不能沿上风方向逃生而又无横向逃生小道时，可以最快捷的方式顺风逃生到有横向绕道的地方，再横向逃生避开污染区后向上风方向及沿着地面上的高点方向逃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⑤时间就是生命，紧急逃生时，不要因收贵重物品等事宜延误时间，并且要轻装撤离逃生；</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⑥当所处位置离站场很远时，则只要偏离风向往离站场越来越远的方向逃生即可。</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b</w:t>
      </w:r>
      <w:r>
        <w:rPr>
          <w:rFonts w:hint="default" w:ascii="Times New Roman" w:hAnsi="Times New Roman" w:cs="Times New Roman"/>
          <w:b/>
          <w:color w:val="000000" w:themeColor="text1"/>
          <w:highlight w:val="none"/>
          <w:lang w:eastAsia="zh-CN"/>
          <w14:textFill>
            <w14:solidFill>
              <w14:schemeClr w14:val="tx1"/>
            </w14:solidFill>
          </w14:textFill>
        </w:rPr>
        <w:t>.</w:t>
      </w:r>
      <w:r>
        <w:rPr>
          <w:rFonts w:hint="default" w:ascii="Times New Roman" w:hAnsi="Times New Roman" w:cs="Times New Roman"/>
          <w:b/>
          <w:color w:val="000000" w:themeColor="text1"/>
          <w:highlight w:val="none"/>
          <w14:textFill>
            <w14:solidFill>
              <w14:schemeClr w14:val="tx1"/>
            </w14:solidFill>
          </w14:textFill>
        </w:rPr>
        <w:t>硫化氢中毒应急救援预案</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①</w:t>
      </w:r>
      <w:r>
        <w:rPr>
          <w:rFonts w:hint="default" w:ascii="Times New Roman" w:hAnsi="Times New Roman" w:cs="Times New Roman"/>
          <w:color w:val="000000" w:themeColor="text1"/>
          <w:highlight w:val="none"/>
          <w14:textFill>
            <w14:solidFill>
              <w14:schemeClr w14:val="tx1"/>
            </w14:solidFill>
          </w14:textFill>
        </w:rPr>
        <w:t>场站内需设置硫化氢气体泄漏检测报警系统，对站场天然气泄漏进行检测及报警。硫化氢气体检测报警系统由现场探测器、控制器及配套报警喇叭等设备组成。工艺设备区及井口安装固定式硫化氢探测器，现场探测器的检测信号采用铠装控制电缆敷设至控制器，控制器接收到超标信号，传送至配套喇叭进行报警。RTU的数据上传至集气站控制室、脱硫净化厂中控室。硫化氢气体检测报警1级报警值10mg，2级报警值20mg，工作人员应根据报警值采取相应处理措施。同时在站内设置便携式硫化氢气体检测报警仪1套，对天然气泄漏进行定期巡检。</w:t>
      </w:r>
      <w:r>
        <w:rPr>
          <w:rFonts w:hint="default" w:ascii="Times New Roman" w:hAnsi="Times New Roman" w:cs="Times New Roman"/>
          <w:bCs/>
          <w:color w:val="000000" w:themeColor="text1"/>
          <w:highlight w:val="none"/>
          <w14:textFill>
            <w14:solidFill>
              <w14:schemeClr w14:val="tx1"/>
            </w14:solidFill>
          </w14:textFill>
        </w:rPr>
        <w:t>在可能产生硫化氢的场所工作的员工每人配备防毒面具和空（氧）气呼吸器，并保证有效使用；</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②向周围居民进行防硫化氢中毒的防护知识的宣传，并调查了解附近居民的分布情况，掌握其最有效的联系方式；</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③听到硫化氢报警信号后立即戴上防毒面具或氧气呼吸器；</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④发出警报信号（鸣喇叭），全队处于应急状态；工作人员需立即赶往现场，按“四七”动作控制井口至脱硫塔前区域；做好站场救护准备；卫生员准备担架、氧气袋和急救箱到站场；HSE监督（安全员）检查空气呼吸器并搬出备用；</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⑤救护人员戴好空气呼吸器到岗位检查井口区域是否控制住，有无人员中毒；若发现有人员中毒立即抬至空气流通处施行现场急救，同时与挂钩医院联系；</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⑥由技术员组织处理消除井内的H</w:t>
      </w:r>
      <w:r>
        <w:rPr>
          <w:rFonts w:hint="default" w:ascii="Times New Roman" w:hAnsi="Times New Roman" w:cs="Times New Roman"/>
          <w:bCs/>
          <w:color w:val="000000" w:themeColor="text1"/>
          <w:highlight w:val="none"/>
          <w:vertAlign w:val="subscript"/>
          <w14:textFill>
            <w14:solidFill>
              <w14:schemeClr w14:val="tx1"/>
            </w14:solidFill>
          </w14:textFill>
        </w:rPr>
        <w:t>2</w:t>
      </w:r>
      <w:r>
        <w:rPr>
          <w:rFonts w:hint="default" w:ascii="Times New Roman" w:hAnsi="Times New Roman" w:cs="Times New Roman"/>
          <w:bCs/>
          <w:color w:val="000000" w:themeColor="text1"/>
          <w:highlight w:val="none"/>
          <w14:textFill>
            <w14:solidFill>
              <w14:schemeClr w14:val="tx1"/>
            </w14:solidFill>
          </w14:textFill>
        </w:rPr>
        <w:t>S外逸工作。</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4）应急监测</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按照《中国石油化工股份有限公司中原油田普光分公司环境突发环境事故应急预案》要求开展应急监测。</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5）事故后的恢复程序</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当恢复生产后，善后工作由现场人员负责具体落实，主要包括以下内容：</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①对现场进行清理，撤除所有的机具设备。</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②恢复地貌、植被；疏通河道、交通。</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③根据事故破坏情况，进行评估，按照相关法律，进行赔偿。</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④做好各项记录，进行归档整理。</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6）应急培训与演练</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应急培训和演练是培养和提高各岗位操作人员以及其他人员的日常应急处理能力的重要手段。按照《中国石油化工股份有限公司中原油田普光分公司环境突发环境事故应急预案》要求执行应急培训与演练。</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399" w:name="5.3.7分析结论"/>
      <w:bookmarkEnd w:id="399"/>
      <w:bookmarkStart w:id="400" w:name="_Toc16964"/>
      <w:r>
        <w:rPr>
          <w:rFonts w:hint="default" w:ascii="Times New Roman" w:hAnsi="Times New Roman" w:cs="Times New Roman"/>
          <w:color w:val="000000" w:themeColor="text1"/>
          <w:highlight w:val="none"/>
          <w:lang w:eastAsia="zh-CN"/>
          <w14:textFill>
            <w14:solidFill>
              <w14:schemeClr w14:val="tx1"/>
            </w14:solidFill>
          </w14:textFill>
        </w:rPr>
        <w:t>分析结论</w:t>
      </w:r>
      <w:bookmarkEnd w:id="400"/>
    </w:p>
    <w:p>
      <w:pPr>
        <w:ind w:firstLine="480"/>
        <w:rPr>
          <w:rFonts w:hint="default" w:ascii="Times New Roman" w:hAnsi="Times New Roman" w:cs="Times New Roman"/>
          <w:color w:val="000000" w:themeColor="text1"/>
          <w:szCs w:val="26"/>
          <w:highlight w:val="none"/>
          <w14:textFill>
            <w14:solidFill>
              <w14:schemeClr w14:val="tx1"/>
            </w14:solidFill>
          </w14:textFill>
        </w:rPr>
      </w:pPr>
      <w:r>
        <w:rPr>
          <w:rFonts w:hint="default" w:ascii="Times New Roman" w:hAnsi="Times New Roman" w:cs="Times New Roman"/>
          <w:color w:val="000000" w:themeColor="text1"/>
          <w:szCs w:val="26"/>
          <w:highlight w:val="none"/>
          <w14:textFill>
            <w14:solidFill>
              <w14:schemeClr w14:val="tx1"/>
            </w14:solidFill>
          </w14:textFill>
        </w:rPr>
        <w:t>本工程地质条件、钻井深度、地层压力、天然气含量等综合试采条件在行业的试采井中属于中等不利，环境风险大小处于“引入风险削减措施”级别，与工程地层情况类似的相邻井在钻井中未发生井喷失控事故，发生可能诱发井喷失控的不良现象很少，仅表现为井漏，未出现井喷情况。废水、固废、油类物质等设置于罐内或池内，井场分区分级防渗，发生</w:t>
      </w:r>
      <w:r>
        <w:rPr>
          <w:rFonts w:hint="default" w:ascii="Times New Roman" w:hAnsi="Times New Roman" w:cs="Times New Roman"/>
          <w:color w:val="000000" w:themeColor="text1"/>
          <w:szCs w:val="26"/>
          <w:highlight w:val="none"/>
          <w:lang w:eastAsia="zh-CN"/>
          <w14:textFill>
            <w14:solidFill>
              <w14:schemeClr w14:val="tx1"/>
            </w14:solidFill>
          </w14:textFill>
        </w:rPr>
        <w:t>泄漏</w:t>
      </w:r>
      <w:r>
        <w:rPr>
          <w:rFonts w:hint="default" w:ascii="Times New Roman" w:hAnsi="Times New Roman" w:cs="Times New Roman"/>
          <w:color w:val="000000" w:themeColor="text1"/>
          <w:szCs w:val="26"/>
          <w:highlight w:val="none"/>
          <w14:textFill>
            <w14:solidFill>
              <w14:schemeClr w14:val="tx1"/>
            </w14:solidFill>
          </w14:textFill>
        </w:rPr>
        <w:t>可能性低且有完善应急处置措施。项目发生风险事故</w:t>
      </w:r>
      <w:r>
        <w:rPr>
          <w:rFonts w:hint="default" w:ascii="Times New Roman" w:hAnsi="Times New Roman" w:cs="Times New Roman"/>
          <w:color w:val="000000" w:themeColor="text1"/>
          <w:szCs w:val="26"/>
          <w:highlight w:val="none"/>
          <w:lang w:eastAsia="zh-CN"/>
          <w14:textFill>
            <w14:solidFill>
              <w14:schemeClr w14:val="tx1"/>
            </w14:solidFill>
          </w14:textFill>
        </w:rPr>
        <w:t>的概率</w:t>
      </w:r>
      <w:r>
        <w:rPr>
          <w:rFonts w:hint="default" w:ascii="Times New Roman" w:hAnsi="Times New Roman" w:cs="Times New Roman"/>
          <w:color w:val="000000" w:themeColor="text1"/>
          <w:szCs w:val="26"/>
          <w:highlight w:val="none"/>
          <w14:textFill>
            <w14:solidFill>
              <w14:schemeClr w14:val="tx1"/>
            </w14:solidFill>
          </w14:textFill>
        </w:rPr>
        <w:t>小，风险事故对人身安全、健康、环境的后果影响小，但是要尽量采取风险防范措施尽量避免事故发生，同时完善环境风险应急措施，组织编制、学习、演练应急预案以便在事故发生后将影响降低</w:t>
      </w:r>
      <w:r>
        <w:rPr>
          <w:rFonts w:hint="default" w:ascii="Times New Roman" w:hAnsi="Times New Roman" w:cs="Times New Roman"/>
          <w:color w:val="000000" w:themeColor="text1"/>
          <w:szCs w:val="26"/>
          <w:highlight w:val="none"/>
          <w:lang w:eastAsia="zh-CN"/>
          <w14:textFill>
            <w14:solidFill>
              <w14:schemeClr w14:val="tx1"/>
            </w14:solidFill>
          </w14:textFill>
        </w:rPr>
        <w:t>到最低程度</w:t>
      </w:r>
      <w:r>
        <w:rPr>
          <w:rFonts w:hint="default" w:ascii="Times New Roman" w:hAnsi="Times New Roman" w:cs="Times New Roman"/>
          <w:color w:val="000000" w:themeColor="text1"/>
          <w:szCs w:val="26"/>
          <w:highlight w:val="none"/>
          <w14:textFill>
            <w14:solidFill>
              <w14:schemeClr w14:val="tx1"/>
            </w14:solidFill>
          </w14:textFill>
        </w:rPr>
        <w:t>，在采取以上措施后，可将工程环境风险控制在可接受范围内，本项目环境风险可接受。</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6.7</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建设项目环境风险简单分析内容表</w:t>
      </w:r>
    </w:p>
    <w:tbl>
      <w:tblPr>
        <w:tblStyle w:val="5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5"/>
        <w:gridCol w:w="1265"/>
        <w:gridCol w:w="2291"/>
        <w:gridCol w:w="1079"/>
        <w:gridCol w:w="1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12"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建设项目名称</w:t>
            </w:r>
          </w:p>
        </w:tc>
        <w:tc>
          <w:tcPr>
            <w:tcW w:w="3888" w:type="pct"/>
            <w:gridSpan w:val="4"/>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普光气田P106-2H侧井钻井及试采工程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1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建设地点</w:t>
            </w:r>
          </w:p>
        </w:tc>
        <w:tc>
          <w:tcPr>
            <w:tcW w:w="3888" w:type="pct"/>
            <w:gridSpan w:val="4"/>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宣汉县普光镇北斗村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111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地理坐标</w:t>
            </w:r>
          </w:p>
        </w:tc>
        <w:tc>
          <w:tcPr>
            <w:tcW w:w="74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经度</w:t>
            </w:r>
          </w:p>
        </w:tc>
        <w:tc>
          <w:tcPr>
            <w:tcW w:w="1344"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107.81197205°东</w:t>
            </w:r>
          </w:p>
        </w:tc>
        <w:tc>
          <w:tcPr>
            <w:tcW w:w="633"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纬度</w:t>
            </w:r>
          </w:p>
        </w:tc>
        <w:tc>
          <w:tcPr>
            <w:tcW w:w="11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31.55657136°北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atLeast"/>
        </w:trPr>
        <w:tc>
          <w:tcPr>
            <w:tcW w:w="111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主要危险物质及分布</w:t>
            </w:r>
          </w:p>
        </w:tc>
        <w:tc>
          <w:tcPr>
            <w:tcW w:w="3888" w:type="pct"/>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施工期：柴油及废油，总存在量16.085t，油罐暂存井场防渗区内，废油设置废油桶集中收集暂存于泥浆不落地装置区临时堆放区内，钻井队综合利用或交由有资质的单位处理；甲烷，井喷失控泄露量为1.69t；硫化氢，井喷失控泄露量为0.72t。</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2、试采期：甲烷设备在线量为0.37t，硫化氢设备在线量为0.13t。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4" w:hRule="atLeast"/>
        </w:trPr>
        <w:tc>
          <w:tcPr>
            <w:tcW w:w="111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环境影响途径及危害后果</w:t>
            </w:r>
          </w:p>
        </w:tc>
        <w:tc>
          <w:tcPr>
            <w:tcW w:w="3888" w:type="pct"/>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类危害途径及危害后果为：柴油在使用、储运过程中的风险主要来自于柴油罐自身缺陷、人员误操作、老化等造成的泄漏以及外部破坏产生的事故以及柴油拉运至井场过程中出现交通事故可能引起柴油泄漏污染水体、土壤；</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甲烷、硫化氢危害途径及危害后果为：当钻进气层后，遇到高压气流，因各种原因使井内压力不能平衡地层压力时而造成井喷和井喷失控事故；其中可能造成最大危害的是井喷失控喷射出的天然气扩散中毒影响环境空气及破坏植被，天然气遇火燃烧爆炸造成冲击波和热辐射伤人、伤亡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9" w:hRule="atLeast"/>
        </w:trPr>
        <w:tc>
          <w:tcPr>
            <w:tcW w:w="1112"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风险防范措施要求</w:t>
            </w:r>
          </w:p>
        </w:tc>
        <w:tc>
          <w:tcPr>
            <w:tcW w:w="3888" w:type="pct"/>
            <w:gridSpan w:val="4"/>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①制定应急救援预案并定期演练；</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②配备完善的放空系统、安全截断系统、可燃气体报警系统；</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③按照相关规范进行了防爆、防雷、防静电设计；</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④与站场周边的居民和当地村委会建立联络沟通机制，完善应急监控能力；</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⑤定期对站场设备及管线进行巡检，检查设备及管线有无漏点，确保其设备完好，无泄漏发生；</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⑥钻井期做好分区分级防渗，设置围堰，试采期对火炬分液罐等进行地面硬化、防渗，做好防雨、防晒措施；修建围堰，防止油类泄漏进入周围环境。</w:t>
            </w:r>
          </w:p>
        </w:tc>
      </w:tr>
    </w:tbl>
    <w:p>
      <w:pPr>
        <w:ind w:firstLine="480"/>
        <w:jc w:val="center"/>
        <w:rPr>
          <w:rFonts w:hint="default" w:ascii="Times New Roman" w:hAnsi="Times New Roman" w:cs="Times New Roman"/>
          <w:color w:val="000000" w:themeColor="text1"/>
          <w:szCs w:val="24"/>
          <w:highlight w:val="none"/>
          <w14:textFill>
            <w14:solidFill>
              <w14:schemeClr w14:val="tx1"/>
            </w14:solidFill>
          </w14:textFill>
        </w:rPr>
      </w:pP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br w:type="page"/>
      </w:r>
    </w:p>
    <w:p>
      <w:pPr>
        <w:pStyle w:val="2"/>
        <w:rPr>
          <w:rFonts w:hint="default" w:ascii="Times New Roman" w:hAnsi="Times New Roman" w:cs="Times New Roman"/>
          <w:b/>
          <w:color w:val="000000" w:themeColor="text1"/>
          <w:highlight w:val="none"/>
          <w:lang w:eastAsia="zh-CN"/>
          <w14:textFill>
            <w14:solidFill>
              <w14:schemeClr w14:val="tx1"/>
            </w14:solidFill>
          </w14:textFill>
        </w:rPr>
      </w:pPr>
      <w:bookmarkStart w:id="401" w:name="_Toc14525"/>
      <w:r>
        <w:rPr>
          <w:rFonts w:hint="default" w:ascii="Times New Roman" w:hAnsi="Times New Roman" w:cs="Times New Roman"/>
          <w:color w:val="000000" w:themeColor="text1"/>
          <w:highlight w:val="none"/>
          <w:lang w:eastAsia="zh-CN"/>
          <w14:textFill>
            <w14:solidFill>
              <w14:schemeClr w14:val="tx1"/>
            </w14:solidFill>
          </w14:textFill>
        </w:rPr>
        <w:t>环境保护措施及其可行性论证</w:t>
      </w:r>
      <w:bookmarkEnd w:id="401"/>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02" w:name="_bookmark32"/>
      <w:bookmarkEnd w:id="402"/>
      <w:bookmarkStart w:id="403" w:name="6.1施工期环境保护措施及可行性分析"/>
      <w:bookmarkEnd w:id="403"/>
      <w:bookmarkStart w:id="404" w:name="_Toc12280"/>
      <w:r>
        <w:rPr>
          <w:rFonts w:hint="default" w:ascii="Times New Roman" w:hAnsi="Times New Roman" w:cs="Times New Roman"/>
          <w:color w:val="000000" w:themeColor="text1"/>
          <w:highlight w:val="none"/>
          <w:lang w:eastAsia="zh-CN"/>
          <w14:textFill>
            <w14:solidFill>
              <w14:schemeClr w14:val="tx1"/>
            </w14:solidFill>
          </w14:textFill>
        </w:rPr>
        <w:t>施工期环境保护措施及可行性分析</w:t>
      </w:r>
      <w:bookmarkEnd w:id="404"/>
    </w:p>
    <w:p>
      <w:pPr>
        <w:ind w:firstLine="480"/>
        <w:rPr>
          <w:rFonts w:hint="default" w:ascii="Times New Roman" w:hAnsi="Times New Roman" w:cs="Times New Roman"/>
          <w:color w:val="000000" w:themeColor="text1"/>
          <w:szCs w:val="24"/>
          <w:highlight w:val="none"/>
          <w14:textFill>
            <w14:solidFill>
              <w14:schemeClr w14:val="tx1"/>
            </w14:solidFill>
          </w14:textFill>
        </w:rPr>
      </w:pPr>
      <w:bookmarkStart w:id="405" w:name="_Hlk89361194"/>
      <w:r>
        <w:rPr>
          <w:rFonts w:hint="default" w:ascii="Times New Roman" w:hAnsi="Times New Roman" w:cs="Times New Roman"/>
          <w:color w:val="000000" w:themeColor="text1"/>
          <w:szCs w:val="24"/>
          <w:highlight w:val="none"/>
          <w14:textFill>
            <w14:solidFill>
              <w14:schemeClr w14:val="tx1"/>
            </w14:solidFill>
          </w14:textFill>
        </w:rPr>
        <w:t>本项目利旧原P106集气站建设，</w:t>
      </w:r>
      <w:bookmarkEnd w:id="405"/>
      <w:r>
        <w:rPr>
          <w:rFonts w:hint="default" w:ascii="Times New Roman" w:hAnsi="Times New Roman" w:cs="Times New Roman"/>
          <w:bCs/>
          <w:color w:val="000000" w:themeColor="text1"/>
          <w:szCs w:val="24"/>
          <w:highlight w:val="none"/>
          <w14:textFill>
            <w14:solidFill>
              <w14:schemeClr w14:val="tx1"/>
            </w14:solidFill>
          </w14:textFill>
        </w:rPr>
        <w:t>钻前施工期间通过洒水抑尘等措施对扬尘进行控制，合理使用机械车辆，对燃油废气进行控制；生活污水依托周边居民旱厕收集处理，生产废水沉淀后循环使用；生活垃圾收集后依托当地环卫部门处理，少量建筑垃圾用于道路修整；夜间不施工，采取了噪声控制措施。通过现场调查可见钻前工程对周边环境影响很小。</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406" w:name="6.1.1施工废气防治措施及可行性分析"/>
      <w:bookmarkEnd w:id="406"/>
      <w:bookmarkStart w:id="407" w:name="_Toc120173210"/>
      <w:r>
        <w:rPr>
          <w:rFonts w:hint="default" w:ascii="Times New Roman" w:hAnsi="Times New Roman" w:cs="Times New Roman"/>
          <w:color w:val="000000" w:themeColor="text1"/>
          <w:highlight w:val="none"/>
          <w:lang w:eastAsia="zh-CN"/>
          <w14:textFill>
            <w14:solidFill>
              <w14:schemeClr w14:val="tx1"/>
            </w14:solidFill>
          </w14:textFill>
        </w:rPr>
        <w:t>施工期生态环境保护措施及可行性分析</w:t>
      </w:r>
      <w:bookmarkEnd w:id="407"/>
    </w:p>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1、生态保护恢复措施</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本项目利旧原P106集气站建设，</w:t>
      </w:r>
      <w:r>
        <w:rPr>
          <w:rFonts w:hint="default" w:ascii="Times New Roman" w:hAnsi="Times New Roman" w:cs="Times New Roman"/>
          <w:bCs/>
          <w:color w:val="000000" w:themeColor="text1"/>
          <w:szCs w:val="24"/>
          <w:highlight w:val="none"/>
          <w14:textFill>
            <w14:solidFill>
              <w14:schemeClr w14:val="tx1"/>
            </w14:solidFill>
          </w14:textFill>
        </w:rPr>
        <w:t>但本项目井场工程不新增占地，仅生活区新增部分临时占地，</w:t>
      </w:r>
      <w:r>
        <w:rPr>
          <w:rFonts w:hint="default" w:ascii="Times New Roman" w:hAnsi="Times New Roman" w:cs="Times New Roman"/>
          <w:color w:val="000000" w:themeColor="text1"/>
          <w:szCs w:val="24"/>
          <w:highlight w:val="none"/>
          <w14:textFill>
            <w14:solidFill>
              <w14:schemeClr w14:val="tx1"/>
            </w14:solidFill>
          </w14:textFill>
        </w:rPr>
        <w:t>新增临时</w:t>
      </w:r>
      <w:r>
        <w:rPr>
          <w:rFonts w:hint="default" w:ascii="Times New Roman" w:hAnsi="Times New Roman" w:cs="Times New Roman"/>
          <w:bCs/>
          <w:color w:val="000000" w:themeColor="text1"/>
          <w:highlight w:val="none"/>
          <w14:textFill>
            <w14:solidFill>
              <w14:schemeClr w14:val="tx1"/>
            </w14:solidFill>
          </w14:textFill>
        </w:rPr>
        <w:t>占地面积小，根据调查，新增临时占地类型为</w:t>
      </w:r>
      <w:r>
        <w:rPr>
          <w:rFonts w:hint="eastAsia" w:cs="Times New Roman"/>
          <w:bCs/>
          <w:color w:val="000000" w:themeColor="text1"/>
          <w:szCs w:val="24"/>
          <w:highlight w:val="none"/>
          <w:lang w:val="en-US" w:eastAsia="zh-CN"/>
          <w14:textFill>
            <w14:solidFill>
              <w14:schemeClr w14:val="tx1"/>
            </w14:solidFill>
          </w14:textFill>
        </w:rPr>
        <w:t>旱</w:t>
      </w:r>
      <w:r>
        <w:rPr>
          <w:rFonts w:hint="default" w:ascii="Times New Roman" w:hAnsi="Times New Roman" w:cs="Times New Roman"/>
          <w:bCs/>
          <w:color w:val="000000" w:themeColor="text1"/>
          <w:szCs w:val="24"/>
          <w:highlight w:val="none"/>
          <w14:textFill>
            <w14:solidFill>
              <w14:schemeClr w14:val="tx1"/>
            </w14:solidFill>
          </w14:textFill>
        </w:rPr>
        <w:t>地</w:t>
      </w:r>
      <w:r>
        <w:rPr>
          <w:rFonts w:hint="default" w:ascii="Times New Roman" w:hAnsi="Times New Roman" w:cs="Times New Roman"/>
          <w:bCs/>
          <w:color w:val="000000" w:themeColor="text1"/>
          <w:highlight w:val="none"/>
          <w14:textFill>
            <w14:solidFill>
              <w14:schemeClr w14:val="tx1"/>
            </w14:solidFill>
          </w14:textFill>
        </w:rPr>
        <w:t>，建设单位将对破坏的植被进行补偿，后期将采取生态恢复措施，对临时占地进行复垦。项目施工对区域生态环境影响较小。</w:t>
      </w:r>
    </w:p>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2、水土流失预防措施</w:t>
      </w:r>
    </w:p>
    <w:p>
      <w:pPr>
        <w:ind w:firstLine="480"/>
        <w:rPr>
          <w:rFonts w:hint="default" w:ascii="Times New Roman" w:hAnsi="Times New Roman" w:cs="Times New Roman"/>
          <w:color w:val="000000" w:themeColor="text1"/>
          <w:highlight w:val="none"/>
          <w14:textFill>
            <w14:solidFill>
              <w14:schemeClr w14:val="tx1"/>
            </w14:solidFill>
          </w14:textFill>
        </w:rPr>
      </w:pPr>
      <w:bookmarkStart w:id="408" w:name="_Hlk89361285"/>
      <w:r>
        <w:rPr>
          <w:rFonts w:hint="default" w:ascii="Times New Roman" w:hAnsi="Times New Roman" w:cs="Times New Roman"/>
          <w:color w:val="000000" w:themeColor="text1"/>
          <w:highlight w:val="none"/>
          <w14:textFill>
            <w14:solidFill>
              <w14:schemeClr w14:val="tx1"/>
            </w14:solidFill>
          </w14:textFill>
        </w:rPr>
        <w:t>根据《中华人民共和国长江保护法》（2021年3月1日实施）第六十一条：</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长江流域水土流失重点预防区和重点治理区的县级以上地方人民政府应当采取措施，防治水土流失。生态保护红线范围内的水土流失地块，以自然恢复为主，按照规定有计划地实施退耕还林还草还湿；划入自然保护地核心保护区的永久基本农田，依法有序退出并予以补划。</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②禁止在长江流域水土流失严重、生态脆弱的区域开展可能造成水土流失的生产建设活动。确因国家发展战略和国计民生需要建设的，应当经科学论证，并依法办理审批手续。</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③长江流域县级以上地方人民政府应当对石漠化的土地因地制宜采取综合治理措施，修复生态系统，防止土地石漠化蔓延。</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位于长江流域水土流失重点治理区，本项目未位于生态红线范围内，本项目新增用地面积小，本项目为天然气钻井与试采项目，且将依法办理审批手续。本项目所在地植被茂盛，周边树林分布广泛，水土流失现象不明显，不涉及石漠化等。综上所述，本项目与《中华人民共和国长江保护法》相符。</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本项目在施工期拟采取如下水保措施</w:t>
      </w:r>
      <w:bookmarkEnd w:id="408"/>
      <w:r>
        <w:rPr>
          <w:rFonts w:hint="default" w:ascii="Times New Roman" w:hAnsi="Times New Roman" w:cs="Times New Roman"/>
          <w:color w:val="000000" w:themeColor="text1"/>
          <w:highlight w:val="none"/>
          <w14:textFill>
            <w14:solidFill>
              <w14:schemeClr w14:val="tx1"/>
            </w14:solidFill>
          </w14:textFill>
        </w:rPr>
        <w:t>：</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（1）在施工过程中合理安排施工进度，施工尽量避开雨天和大风天；分段施工，未留疏松地面，减少风蚀导致的水土流失。</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（2）划定施工作业范围和路线，不得扩大施工作业范围，尽可能减少对土壤和农作物的破坏以及由此引发的水土流失。</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（3）在施工中破坏植被的地段，施工结束后，必须及时进行植被恢复工作，减轻水土流失。</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（4）在井场站场施工，设置一定围挡，减少施工过程中水土流失量。</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bCs/>
          <w:color w:val="000000" w:themeColor="text1"/>
          <w:highlight w:val="none"/>
          <w14:textFill>
            <w14:solidFill>
              <w14:schemeClr w14:val="tx1"/>
            </w14:solidFill>
          </w14:textFill>
        </w:rPr>
        <w:t>加强对水土流失的综合治理，严格按照水土保持方案做好水土保持工作。</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（6）在施工过程中及时将土石方回填、夯实，避免长时间堆放，同时尽量减少堆放坡度；</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（7）表土堆场采用编织袋装土压边作为临时拦挡。在表土堆场底端截排水沟交汇处设置临时沉沙池，场地内的雨水汇集后经沉沙池沉淀后排放。</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（8）挖方在边坡未修整前，如遇中到大雨或暴雨，应立即用花胶布覆盖边坡，以免被雨水浸泡和冲刷。开挖的土方在未进行填实和进行地表恢复前，在遇大风或大雨，应用</w:t>
      </w:r>
      <w:r>
        <w:rPr>
          <w:rFonts w:hint="default" w:ascii="Times New Roman" w:hAnsi="Times New Roman" w:cs="Times New Roman"/>
          <w:bCs/>
          <w:color w:val="000000" w:themeColor="text1"/>
          <w:highlight w:val="none"/>
          <w:lang w:eastAsia="zh-CN"/>
          <w14:textFill>
            <w14:solidFill>
              <w14:schemeClr w14:val="tx1"/>
            </w14:solidFill>
          </w14:textFill>
        </w:rPr>
        <w:t>篷布</w:t>
      </w:r>
      <w:r>
        <w:rPr>
          <w:rFonts w:hint="default" w:ascii="Times New Roman" w:hAnsi="Times New Roman" w:cs="Times New Roman"/>
          <w:bCs/>
          <w:color w:val="000000" w:themeColor="text1"/>
          <w:highlight w:val="none"/>
          <w14:textFill>
            <w14:solidFill>
              <w14:schemeClr w14:val="tx1"/>
            </w14:solidFill>
          </w14:textFill>
        </w:rPr>
        <w:t>遮盖，以减少水蚀和风蚀量。</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（9）工程场地建设时，严格控制施工区域，严禁超挖。</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（10）在施工时应特别注意边坡坡度，边坡坡度应严格符合设计边坡坡度的要求，不得使挖方边坡陡于设计边坡坡度，否则边坡既不稳定，又增加了挖方量，容易造成余土。</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11）道路工程用条石护基，并修建排水沟，路面采用碎石铺垫，防止雨水冲刷。井场周围设置挡土、水墙，井场内设施基础采用水泥砼，其余地面均为碎石铺垫。井场内外设置排水、截水沟，减少雨水对施工场地冲刷，排水沟两侧及沟底均为水泥砂浆抹面。</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以上生态保护措施为川东北地区钻采工程常见措施，成熟可靠，能有效降低项目建设对区域生态环境的影响</w:t>
      </w:r>
      <w:r>
        <w:rPr>
          <w:rFonts w:hint="default" w:ascii="Times New Roman" w:hAnsi="Times New Roman" w:cs="Times New Roman"/>
          <w:color w:val="000000" w:themeColor="text1"/>
          <w:highlight w:val="none"/>
          <w14:textFill>
            <w14:solidFill>
              <w14:schemeClr w14:val="tx1"/>
            </w14:solidFill>
          </w14:textFill>
        </w:rPr>
        <w:t>。</w:t>
      </w: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施工期大气污染防治措施及可行性分析</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1、钻前工程</w:t>
      </w:r>
    </w:p>
    <w:p>
      <w:pPr>
        <w:ind w:firstLine="480"/>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针对钻前工程产生的施工扬尘，</w:t>
      </w:r>
      <w:r>
        <w:rPr>
          <w:rFonts w:hint="default" w:ascii="Times New Roman" w:hAnsi="Times New Roman" w:cs="Times New Roman"/>
          <w:color w:val="000000" w:themeColor="text1"/>
          <w:szCs w:val="24"/>
          <w:highlight w:val="none"/>
          <w14:textFill>
            <w14:solidFill>
              <w14:schemeClr w14:val="tx1"/>
            </w14:solidFill>
          </w14:textFill>
        </w:rPr>
        <w:t>施工单位</w:t>
      </w:r>
      <w:r>
        <w:rPr>
          <w:rFonts w:hint="default" w:ascii="Times New Roman" w:hAnsi="Times New Roman" w:cs="Times New Roman"/>
          <w:color w:val="000000" w:themeColor="text1"/>
          <w:szCs w:val="24"/>
          <w:highlight w:val="none"/>
          <w:lang w:val="en-US" w:eastAsia="zh-CN"/>
          <w14:textFill>
            <w14:solidFill>
              <w14:schemeClr w14:val="tx1"/>
            </w14:solidFill>
          </w14:textFill>
        </w:rPr>
        <w:t>拟</w:t>
      </w:r>
      <w:r>
        <w:rPr>
          <w:rFonts w:hint="default" w:ascii="Times New Roman" w:hAnsi="Times New Roman" w:cs="Times New Roman"/>
          <w:color w:val="000000" w:themeColor="text1"/>
          <w:szCs w:val="24"/>
          <w:highlight w:val="none"/>
          <w14:textFill>
            <w14:solidFill>
              <w14:schemeClr w14:val="tx1"/>
            </w14:solidFill>
          </w14:textFill>
        </w:rPr>
        <w:t>采取硬化进出口、冲洗、洒水等措施控制扬尘。对露天堆放河沙、石粉、水泥、灰浆、灰膏等易扬撒的物料予以覆盖，对开挖施工作业面（点）洒水降尘，临时表土堆场洒水、覆盖降尘，密闭运输渣土、砂石等易撒漏扬散物质</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针对施工机械废气，施工单位拟采取</w:t>
      </w:r>
      <w:r>
        <w:rPr>
          <w:rFonts w:hint="default" w:ascii="Times New Roman" w:hAnsi="Times New Roman" w:cs="Times New Roman"/>
          <w:color w:val="000000" w:themeColor="text1"/>
          <w:szCs w:val="24"/>
          <w:highlight w:val="none"/>
          <w14:textFill>
            <w14:solidFill>
              <w14:schemeClr w14:val="tx1"/>
            </w14:solidFill>
          </w14:textFill>
        </w:rPr>
        <w:t>选用尾气排放达标机械车辆，加强保养维护</w:t>
      </w:r>
      <w:r>
        <w:rPr>
          <w:rFonts w:hint="default" w:ascii="Times New Roman" w:hAnsi="Times New Roman" w:cs="Times New Roman"/>
          <w:color w:val="000000" w:themeColor="text1"/>
          <w:szCs w:val="24"/>
          <w:highlight w:val="none"/>
          <w:lang w:val="en-US" w:eastAsia="zh-CN"/>
          <w14:textFill>
            <w14:solidFill>
              <w14:schemeClr w14:val="tx1"/>
            </w14:solidFill>
          </w14:textFill>
        </w:rPr>
        <w:t>等措施来减少废气的排放量。</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由于钻前工程施工工时不长，施工人员不多，不会对当地环境空气造成明显不利影响，对周围环境影响是可接受的</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且上述措施为施工扬尘抑制及减少施工机械废气产生所采取的常用措施，能够有效减少钻前施工阶段的废气影响，措施可行。</w:t>
      </w:r>
    </w:p>
    <w:p>
      <w:pPr>
        <w:pStyle w:val="50"/>
        <w:keepNext w:val="0"/>
        <w:keepLines w:val="0"/>
        <w:pageBreakBefore w:val="0"/>
        <w:widowControl w:val="0"/>
        <w:kinsoku/>
        <w:wordWrap/>
        <w:overflowPunct/>
        <w:topLinePunct w:val="0"/>
        <w:autoSpaceDE/>
        <w:autoSpaceDN/>
        <w:bidi w:val="0"/>
        <w:adjustRightInd w:val="0"/>
        <w:snapToGrid w:val="0"/>
        <w:spacing w:after="0"/>
        <w:ind w:left="0" w:leftChars="0" w:firstLine="480" w:firstLineChars="200"/>
        <w:textAlignment w:val="auto"/>
        <w:rPr>
          <w:rFonts w:hint="default"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t>2、钻井工程</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lang w:eastAsia="zh-CN"/>
          <w14:textFill>
            <w14:solidFill>
              <w14:schemeClr w14:val="tx1"/>
            </w14:solidFill>
          </w14:textFill>
        </w:rPr>
        <w:t>（</w:t>
      </w:r>
      <w:r>
        <w:rPr>
          <w:rFonts w:hint="default" w:ascii="Times New Roman" w:hAnsi="Times New Roman" w:cs="Times New Roman"/>
          <w:b/>
          <w:bCs/>
          <w:color w:val="000000" w:themeColor="text1"/>
          <w:szCs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Cs w:val="24"/>
          <w:highlight w:val="none"/>
          <w14:textFill>
            <w14:solidFill>
              <w14:schemeClr w14:val="tx1"/>
            </w14:solidFill>
          </w14:textFill>
        </w:rPr>
        <w:t>备用柴油发电机废气减缓措施</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钻井过程中备用柴油机燃油废气，可以通过采用节能环保型柴油动力系统设备（自带消烟除尘装置），并适当提高排气筒高度（6m以上），减少污染物排放量与大气环境影响，其影响为临时性，将随网电的正常使用和钻井工程的结束而消除，污染减缓措施可行。</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lang w:eastAsia="zh-CN"/>
          <w14:textFill>
            <w14:solidFill>
              <w14:schemeClr w14:val="tx1"/>
            </w14:solidFill>
          </w14:textFill>
        </w:rPr>
        <w:t>（</w:t>
      </w:r>
      <w:r>
        <w:rPr>
          <w:rFonts w:hint="default" w:ascii="Times New Roman" w:hAnsi="Times New Roman" w:cs="Times New Roman"/>
          <w:b/>
          <w:bCs/>
          <w:color w:val="000000" w:themeColor="text1"/>
          <w:szCs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zCs w:val="24"/>
          <w:highlight w:val="none"/>
          <w14:textFill>
            <w14:solidFill>
              <w14:schemeClr w14:val="tx1"/>
            </w14:solidFill>
          </w14:textFill>
        </w:rPr>
        <w:t>无组织挥发性废气减缓措施</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为天然气钻井及试采工程，因此，除燃油机械使用过程中产生的少量无组织挥发性有机物排放外，还有少量钻井施工过程中无组织排放源。因此，本项目无组织挥发性有机物排放量小，通过自然扩散可有效降低其影响，污染减缓措施可行。</w:t>
      </w:r>
    </w:p>
    <w:p>
      <w:pPr>
        <w:ind w:firstLine="480"/>
        <w:rPr>
          <w:rFonts w:hint="default" w:ascii="Times New Roman" w:hAnsi="Times New Roman" w:cs="Times New Roman"/>
          <w:b/>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Cs w:val="24"/>
          <w:highlight w:val="none"/>
          <w:lang w:eastAsia="zh-CN"/>
          <w14:textFill>
            <w14:solidFill>
              <w14:schemeClr w14:val="tx1"/>
            </w14:solidFill>
          </w14:textFill>
        </w:rPr>
        <w:t>（</w:t>
      </w:r>
      <w:r>
        <w:rPr>
          <w:rFonts w:hint="default" w:ascii="Times New Roman" w:hAnsi="Times New Roman" w:cs="Times New Roman"/>
          <w:b/>
          <w:bCs/>
          <w:color w:val="000000" w:themeColor="text1"/>
          <w:szCs w:val="24"/>
          <w:highlight w:val="none"/>
          <w:lang w:val="en-US" w:eastAsia="zh-CN"/>
          <w14:textFill>
            <w14:solidFill>
              <w14:schemeClr w14:val="tx1"/>
            </w14:solidFill>
          </w14:textFill>
        </w:rPr>
        <w:t>3）事故放喷</w:t>
      </w:r>
      <w:r>
        <w:rPr>
          <w:rFonts w:hint="default" w:ascii="Times New Roman" w:hAnsi="Times New Roman" w:cs="Times New Roman"/>
          <w:b/>
          <w:bCs/>
          <w:color w:val="000000" w:themeColor="text1"/>
          <w:szCs w:val="24"/>
          <w:highlight w:val="none"/>
          <w14:textFill>
            <w14:solidFill>
              <w14:schemeClr w14:val="tx1"/>
            </w14:solidFill>
          </w14:textFill>
        </w:rPr>
        <w:t>废气减缓措施</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事故放喷是由于地层高压异常导致的，在石油天然气行业是低概率事件。事故放喷主产物是含硫天然气燃烧后产生的CO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和SO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该措施满足《陆上石油天然气开采工业大气污染物排放标准》（GB39728-2020）相关要求，措施有效可行。</w:t>
      </w:r>
    </w:p>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3、</w:t>
      </w: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储层改造工程废气</w:t>
      </w:r>
      <w:r>
        <w:rPr>
          <w:rFonts w:hint="default" w:ascii="Times New Roman" w:hAnsi="Times New Roman" w:eastAsia="黑体" w:cs="Times New Roman"/>
          <w:color w:val="000000" w:themeColor="text1"/>
          <w:szCs w:val="24"/>
          <w:highlight w:val="none"/>
          <w14:textFill>
            <w14:solidFill>
              <w14:schemeClr w14:val="tx1"/>
            </w14:solidFill>
          </w14:textFill>
        </w:rPr>
        <w:t>减缓措施</w:t>
      </w:r>
    </w:p>
    <w:p>
      <w:pPr>
        <w:ind w:firstLine="480"/>
        <w:rPr>
          <w:rFonts w:hint="default" w:ascii="Times New Roman" w:hAnsi="Times New Roman" w:eastAsia="宋体" w:cs="Times New Roman"/>
          <w:b/>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Cs w:val="24"/>
          <w:highlight w:val="none"/>
          <w:lang w:eastAsia="zh-CN"/>
          <w14:textFill>
            <w14:solidFill>
              <w14:schemeClr w14:val="tx1"/>
            </w14:solidFill>
          </w14:textFill>
        </w:rPr>
        <w:t>（</w:t>
      </w:r>
      <w:r>
        <w:rPr>
          <w:rFonts w:hint="default" w:ascii="Times New Roman" w:hAnsi="Times New Roman" w:cs="Times New Roman"/>
          <w:b/>
          <w:bCs/>
          <w:color w:val="000000" w:themeColor="text1"/>
          <w:szCs w:val="24"/>
          <w:highlight w:val="none"/>
          <w:lang w:val="en-US" w:eastAsia="zh-CN"/>
          <w14:textFill>
            <w14:solidFill>
              <w14:schemeClr w14:val="tx1"/>
            </w14:solidFill>
          </w14:textFill>
        </w:rPr>
        <w:t>1）压裂作业废气减缓措施</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为减缓压裂期间机械、车辆尾气造成的环境空气污染，施工单位应定期对运输车辆进行维护和保养，尽量使用清洁燃料，保证发动机正常运行，使汽车燃料充分燃烧，能有效减少尾气中污染物排放，污染减缓措施可行。</w:t>
      </w:r>
    </w:p>
    <w:p>
      <w:pPr>
        <w:ind w:firstLine="480"/>
        <w:rPr>
          <w:rFonts w:hint="default" w:ascii="Times New Roman" w:hAnsi="Times New Roman" w:cs="Times New Roman"/>
          <w:b/>
          <w:bCs/>
          <w:color w:val="000000" w:themeColor="text1"/>
          <w:szCs w:val="24"/>
          <w:highlight w:val="none"/>
          <w:lang w:eastAsia="zh-CN"/>
          <w14:textFill>
            <w14:solidFill>
              <w14:schemeClr w14:val="tx1"/>
            </w14:solidFill>
          </w14:textFill>
        </w:rPr>
      </w:pPr>
      <w:r>
        <w:rPr>
          <w:rFonts w:hint="default" w:ascii="Times New Roman" w:hAnsi="Times New Roman" w:cs="Times New Roman"/>
          <w:b/>
          <w:bCs/>
          <w:color w:val="000000" w:themeColor="text1"/>
          <w:szCs w:val="24"/>
          <w:highlight w:val="none"/>
          <w:lang w:eastAsia="zh-CN"/>
          <w14:textFill>
            <w14:solidFill>
              <w14:schemeClr w14:val="tx1"/>
            </w14:solidFill>
          </w14:textFill>
        </w:rPr>
        <w:t>（</w:t>
      </w:r>
      <w:r>
        <w:rPr>
          <w:rFonts w:hint="default" w:ascii="Times New Roman" w:hAnsi="Times New Roman" w:cs="Times New Roman"/>
          <w:b/>
          <w:bCs/>
          <w:color w:val="000000" w:themeColor="text1"/>
          <w:szCs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zCs w:val="24"/>
          <w:highlight w:val="none"/>
          <w:lang w:eastAsia="zh-CN"/>
          <w14:textFill>
            <w14:solidFill>
              <w14:schemeClr w14:val="tx1"/>
            </w14:solidFill>
          </w14:textFill>
        </w:rPr>
        <w:t>完井测试废气减缓措施</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本项目测试放喷的天然气经专用放喷管线引至放喷池后点火燃烧，放喷管口高为1m，采用短火焰灼烧器，修建放喷池及挡墙</w:t>
      </w:r>
      <w:r>
        <w:rPr>
          <w:rFonts w:hint="default" w:ascii="Times New Roman" w:hAnsi="Times New Roman" w:cs="Times New Roman"/>
          <w:color w:val="000000" w:themeColor="text1"/>
          <w:szCs w:val="24"/>
          <w:highlight w:val="none"/>
          <w:lang w:eastAsia="zh-CN"/>
          <w14:textFill>
            <w14:solidFill>
              <w14:schemeClr w14:val="tx1"/>
            </w14:solidFill>
          </w14:textFill>
        </w:rPr>
        <w:t>减少</w:t>
      </w:r>
      <w:r>
        <w:rPr>
          <w:rFonts w:hint="default" w:ascii="Times New Roman" w:hAnsi="Times New Roman" w:cs="Times New Roman"/>
          <w:color w:val="000000" w:themeColor="text1"/>
          <w:szCs w:val="24"/>
          <w:highlight w:val="none"/>
          <w14:textFill>
            <w14:solidFill>
              <w14:schemeClr w14:val="tx1"/>
            </w14:solidFill>
          </w14:textFill>
        </w:rPr>
        <w:t>辐射影响。正对燃烧筒的墙高5.3m，下部厚0.5m，上部墙厚0.24m，两侧墙高4.3m，厚0.5m；内层均采用耐火砖修建。放喷池地势较为空旷，并清除周边25m范围内的杂草、杂树，放喷池内储存约1.0m深的清水，有利于燃烧废气的扩散和减少热辐射污染。本项目气井为含硫化氢天然气井，其燃烧主要产物为SO</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、CO</w:t>
      </w:r>
      <w:r>
        <w:rPr>
          <w:rFonts w:hint="default" w:ascii="Times New Roman" w:hAnsi="Times New Roman" w:cs="Times New Roman"/>
          <w:color w:val="000000" w:themeColor="text1"/>
          <w:szCs w:val="24"/>
          <w:highlight w:val="none"/>
          <w:vertAlign w:val="sub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水蒸气、NOx、颗粒物等。针对测试放喷废气主要采用地面灼烧处理，同时应对测试放喷时周边居民进行临时疏散。除了必要的放喷测试放空外，建议建设单位采取先建内外部集输管网的方式及时将井下天然气接管外输，减少天然气放空量。该措施满足《陆上石油天然气开采工业大气污染物排放标准》（GB39728-2020）相关要求，措施有效可行。</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综上所述，本项目施工期各类废气处置措施在川东北地区钻采工程中已实施多年，具有较好的借鉴经验。根据已经完钻其他中石化川东北地区钻采工程采用相同废气处理措施，到目前为止，中原油田普光分公司未收到废气污染的环保投诉。因此，本项目施工期废气治理措施从经济和环保角度分析是合理、可行的。</w:t>
      </w:r>
    </w:p>
    <w:p>
      <w:pPr>
        <w:pStyle w:val="50"/>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firstLine="480" w:firstLineChars="200"/>
        <w:textAlignment w:val="auto"/>
        <w:outlineLvl w:val="9"/>
        <w:rPr>
          <w:rFonts w:hint="default"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t>4、油气集输工程</w:t>
      </w:r>
    </w:p>
    <w:p>
      <w:pPr>
        <w:pageBreakBefore w:val="0"/>
        <w:kinsoku/>
        <w:wordWrap/>
        <w:overflowPunct/>
        <w:topLinePunct w:val="0"/>
        <w:autoSpaceDE/>
        <w:autoSpaceDN/>
        <w:bidi w:val="0"/>
        <w:adjustRightInd w:val="0"/>
        <w:snapToGrid w:val="0"/>
        <w:spacing w:before="0" w:after="0" w:line="360" w:lineRule="auto"/>
        <w:textAlignment w:val="auto"/>
        <w:outlineLvl w:val="9"/>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油气集输工程在进行井口流程和集气站复建时产生的废气主要为施工扬尘及施工机械和运输车辆尾气，其污染特性与处置方式与钻前工程类似，主要通过定期洒水抑尘及选用尾气排放达标机械车辆，加强保养维护等减少废气影响，该措施能够满足项目废气处置要求，措施可行。</w:t>
      </w:r>
    </w:p>
    <w:p>
      <w:pPr>
        <w:pStyle w:val="4"/>
        <w:pageBreakBefore w:val="0"/>
        <w:kinsoku/>
        <w:wordWrap/>
        <w:overflowPunct/>
        <w:topLinePunct w:val="0"/>
        <w:autoSpaceDE/>
        <w:autoSpaceDN/>
        <w:bidi w:val="0"/>
        <w:adjustRightInd w:val="0"/>
        <w:snapToGrid w:val="0"/>
        <w:spacing w:before="0" w:beforeLines="0" w:line="360" w:lineRule="auto"/>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09" w:name="_Toc120173212"/>
      <w:r>
        <w:rPr>
          <w:rFonts w:hint="default" w:ascii="Times New Roman" w:hAnsi="Times New Roman" w:cs="Times New Roman"/>
          <w:color w:val="000000" w:themeColor="text1"/>
          <w:highlight w:val="none"/>
          <w:lang w:eastAsia="zh-CN"/>
          <w14:textFill>
            <w14:solidFill>
              <w14:schemeClr w14:val="tx1"/>
            </w14:solidFill>
          </w14:textFill>
        </w:rPr>
        <w:t>施工期废水污染防治措施及可行性分析</w:t>
      </w:r>
      <w:bookmarkEnd w:id="409"/>
    </w:p>
    <w:p>
      <w:pPr>
        <w:ind w:firstLine="480"/>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1、钻前工程</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钻前工程废水由施工废水和生活污水两部分组成。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w:t>
      </w:r>
      <w:r>
        <w:rPr>
          <w:rFonts w:hint="eastAsia" w:cs="Times New Roman"/>
          <w:color w:val="000000" w:themeColor="text1"/>
          <w:szCs w:val="24"/>
          <w:highlight w:val="none"/>
          <w:lang w:eastAsia="zh-CN"/>
          <w14:textFill>
            <w14:solidFill>
              <w14:schemeClr w14:val="tx1"/>
            </w14:solidFill>
          </w14:textFill>
        </w:rPr>
        <w:t>经隔油池沉淀处理后回用于洒水降尘</w:t>
      </w:r>
      <w:r>
        <w:rPr>
          <w:rFonts w:hint="default" w:ascii="Times New Roman" w:hAnsi="Times New Roman" w:cs="Times New Roman"/>
          <w:color w:val="000000" w:themeColor="text1"/>
          <w:szCs w:val="24"/>
          <w:highlight w:val="none"/>
          <w14:textFill>
            <w14:solidFill>
              <w14:schemeClr w14:val="tx1"/>
            </w14:solidFill>
          </w14:textFill>
        </w:rPr>
        <w:t>，不外排。</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（2）生活污水来自施工人员，施工期间生活污水产生量小，钻前工程人员生活污水依托周边农户已建设施处理。</w:t>
      </w:r>
    </w:p>
    <w:p>
      <w:pPr>
        <w:ind w:firstLine="480"/>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上述措施为钻前施工阶段常用的废水处理措施，能够有效处置钻前施工阶段产生的生活污水和施工废水，做到</w:t>
      </w:r>
      <w:r>
        <w:rPr>
          <w:rFonts w:hint="default" w:ascii="Times New Roman" w:hAnsi="Times New Roman" w:cs="Times New Roman"/>
          <w:color w:val="000000" w:themeColor="text1"/>
          <w:szCs w:val="24"/>
          <w:highlight w:val="none"/>
          <w14:textFill>
            <w14:solidFill>
              <w14:schemeClr w14:val="tx1"/>
            </w14:solidFill>
          </w14:textFill>
        </w:rPr>
        <w:t>现场无生活污水产生和排放，不会对井场周边地表水产生影响</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措施可行。</w:t>
      </w:r>
    </w:p>
    <w:p>
      <w:pPr>
        <w:ind w:firstLine="480"/>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2、钻井工程</w:t>
      </w:r>
    </w:p>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lang w:eastAsia="zh-CN"/>
          <w14:textFill>
            <w14:solidFill>
              <w14:schemeClr w14:val="tx1"/>
            </w14:solidFill>
          </w14:textFill>
        </w:rPr>
        <w:t>（</w:t>
      </w: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1）</w:t>
      </w:r>
      <w:r>
        <w:rPr>
          <w:rFonts w:hint="default" w:ascii="Times New Roman" w:hAnsi="Times New Roman" w:eastAsia="黑体" w:cs="Times New Roman"/>
          <w:color w:val="000000" w:themeColor="text1"/>
          <w:szCs w:val="24"/>
          <w:highlight w:val="none"/>
          <w14:textFill>
            <w14:solidFill>
              <w14:schemeClr w14:val="tx1"/>
            </w14:solidFill>
          </w14:textFill>
        </w:rPr>
        <w:t>治理措施</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1）钻井废水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2488565</wp:posOffset>
                </wp:positionH>
                <wp:positionV relativeFrom="paragraph">
                  <wp:posOffset>1473835</wp:posOffset>
                </wp:positionV>
                <wp:extent cx="1221740" cy="24892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221740"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大部分（90%）</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95.95pt;margin-top:116.05pt;height:19.6pt;width:96.2pt;z-index:251751424;mso-width-relative:page;mso-height-relative:page;" filled="f" stroked="f" coordsize="21600,21600" o:gfxdata="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aHGk59gAAAALAQAADwAA&#10;AAAAAAABACAAAAAiAAAAZHJzL2Rvd25yZXYueG1sUEsBAhQAFAAAAAgAh07iQLXvedNPAgAAiwQA&#10;AA4AAAAAAAAAAQAgAAAAJwEAAGRycy9lMm9Eb2MueG1sUEsFBgAAAAAGAAYAWQEAAOgFA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大部分（90%）</w:t>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w:t>钻井泥浆大多数回用于项目本身，先经固控设备固液分离后，合格泥浆直接进入泥浆循环罐回用，不合格泥浆和设备冲洗废水等经泥浆不落地处理后的钻井废水约90%回用于钻井过程，约10%暂存于泥浆不落地装置内，定期用密闭罐车拉运至赵家坝污水处理站达标后管输至普光11井回注站回注，不外排；</w:t>
      </w:r>
      <w:r>
        <w:rPr>
          <w:rFonts w:hint="default" w:ascii="Times New Roman" w:hAnsi="Times New Roman" w:cs="Times New Roman"/>
          <w:color w:val="000000" w:themeColor="text1"/>
          <w:highlight w:val="none"/>
          <w14:textFill>
            <w14:solidFill>
              <w14:schemeClr w14:val="tx1"/>
            </w14:solidFill>
          </w14:textFill>
        </w:rPr>
        <w:t>项目钻井期间钻井废水回收及处置措施工艺流程如下。</w:t>
      </w:r>
      <w:bookmarkStart w:id="410" w:name="_Hlk107247128"/>
    </w:p>
    <w:p>
      <w:pPr>
        <w:pageBreakBefore w:val="0"/>
        <w:kinsoku/>
        <w:wordWrap/>
        <w:overflowPunct/>
        <w:topLinePunct w:val="0"/>
        <w:autoSpaceDE/>
        <w:autoSpaceDN/>
        <w:bidi w:val="0"/>
        <w:adjustRightInd w:val="0"/>
        <w:snapToGrid w:val="0"/>
        <w:textAlignment w:val="auto"/>
        <w:outlineLvl w:val="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138430</wp:posOffset>
                </wp:positionH>
                <wp:positionV relativeFrom="paragraph">
                  <wp:posOffset>420370</wp:posOffset>
                </wp:positionV>
                <wp:extent cx="0" cy="619125"/>
                <wp:effectExtent l="6350" t="0" r="6350" b="3175"/>
                <wp:wrapNone/>
                <wp:docPr id="63" name="直接连接符 63"/>
                <wp:cNvGraphicFramePr/>
                <a:graphic xmlns:a="http://schemas.openxmlformats.org/drawingml/2006/main">
                  <a:graphicData uri="http://schemas.microsoft.com/office/word/2010/wordprocessingShape">
                    <wps:wsp>
                      <wps:cNvCnPr/>
                      <wps:spPr>
                        <a:xfrm>
                          <a:off x="1281430" y="3706495"/>
                          <a:ext cx="0" cy="619125"/>
                        </a:xfrm>
                        <a:prstGeom prst="line">
                          <a:avLst/>
                        </a:prstGeom>
                        <a:ln>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0.9pt;margin-top:33.1pt;height:48.75pt;width:0pt;z-index:251753472;mso-width-relative:page;mso-height-relative:page;" filled="f" stroked="t" coordsize="21600,21600" o:gfxdata="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W+He11QAAAAgBAAAPAAAAAAAAAAEAIAAAACIAAABkcnMvZG93bnJldi54bWxQSwEC&#10;FAAUAAAACACHTuJAupAHc/cBAAC/AwAADgAAAAAAAAABACAAAAAkAQAAZHJzL2Uyb0RvYy54bWxQ&#10;SwUGAAAAAAYABgBZAQAAjQUAAAAA&#10;">
                <v:fill on="f" focussize="0,0"/>
                <v:stroke weight="1pt" color="#00B0F0 [3204]" miterlimit="8" joinstyle="miter"/>
                <v:imagedata o:title=""/>
                <o:lock v:ext="edit" aspectratio="f"/>
              </v:lin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122555</wp:posOffset>
                </wp:positionH>
                <wp:positionV relativeFrom="paragraph">
                  <wp:posOffset>420370</wp:posOffset>
                </wp:positionV>
                <wp:extent cx="405130" cy="5080"/>
                <wp:effectExtent l="0" t="46990" r="1270" b="49530"/>
                <wp:wrapNone/>
                <wp:docPr id="53" name="直接箭头连接符 53"/>
                <wp:cNvGraphicFramePr/>
                <a:graphic xmlns:a="http://schemas.openxmlformats.org/drawingml/2006/main">
                  <a:graphicData uri="http://schemas.microsoft.com/office/word/2010/wordprocessingShape">
                    <wps:wsp>
                      <wps:cNvCnPr/>
                      <wps:spPr>
                        <a:xfrm>
                          <a:off x="0" y="0"/>
                          <a:ext cx="405130" cy="5080"/>
                        </a:xfrm>
                        <a:prstGeom prst="straightConnector1">
                          <a:avLst/>
                        </a:prstGeom>
                        <a:ln>
                          <a:solidFill>
                            <a:srgbClr val="00B0F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65pt;margin-top:33.1pt;height:0.4pt;width:31.9pt;z-index:251745280;mso-width-relative:page;mso-height-relative:page;" filled="f" stroked="t" coordsize="21600,21600" o:gfxdata="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B+wUdUAAAAHAQAADwAAAAAAAAABACAAAAAiAAAA&#10;ZHJzL2Rvd25yZXYueG1sUEsBAhQAFAAAAAgAh07iQMzyyWwKAgAA4wMAAA4AAAAAAAAAAQAgAAAA&#10;JAEAAGRycy9lMm9Eb2MueG1sUEsFBgAAAAAGAAYAWQEAAKAFAAAAAA==&#10;">
                <v:fill on="f" focussize="0,0"/>
                <v:stroke weight="1pt" color="#00B0F0 [3204]" miterlimit="8" joinstyle="miter" endarrow="open"/>
                <v:imagedata o:title=""/>
                <o:lock v:ext="edit" aspectratio="f"/>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47328" behindDoc="0" locked="0" layoutInCell="1" allowOverlap="1">
                <wp:simplePos x="0" y="0"/>
                <wp:positionH relativeFrom="column">
                  <wp:posOffset>4662805</wp:posOffset>
                </wp:positionH>
                <wp:positionV relativeFrom="paragraph">
                  <wp:posOffset>530860</wp:posOffset>
                </wp:positionV>
                <wp:extent cx="968375" cy="24892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968375"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赵家坝污水处理站</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67.15pt;margin-top:41.8pt;height:19.6pt;width:76.25pt;z-index:251747328;mso-width-relative:page;mso-height-relative:page;" filled="f" stroked="f" coordsize="21600,21600" o:gfxdata="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Le1lXXAAAACgEAAA8A&#10;AAAAAAAAAQAgAAAAIgAAAGRycy9kb3ducmV2LnhtbFBLAQIUABQAAAAIAIdO4kBgcYOrUQIAAIoE&#10;AAAOAAAAAAAAAAEAIAAAACYBAABkcnMvZTJvRG9jLnhtbFBLBQYAAAAABgAGAFkBAADpBQ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赵家坝污水处理站</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46304" behindDoc="0" locked="0" layoutInCell="1" allowOverlap="1">
                <wp:simplePos x="0" y="0"/>
                <wp:positionH relativeFrom="column">
                  <wp:posOffset>4217670</wp:posOffset>
                </wp:positionH>
                <wp:positionV relativeFrom="paragraph">
                  <wp:posOffset>651510</wp:posOffset>
                </wp:positionV>
                <wp:extent cx="455295" cy="6350"/>
                <wp:effectExtent l="0" t="49530" r="1905" b="45720"/>
                <wp:wrapNone/>
                <wp:docPr id="55" name="直接箭头连接符 55"/>
                <wp:cNvGraphicFramePr/>
                <a:graphic xmlns:a="http://schemas.openxmlformats.org/drawingml/2006/main">
                  <a:graphicData uri="http://schemas.microsoft.com/office/word/2010/wordprocessingShape">
                    <wps:wsp>
                      <wps:cNvCnPr/>
                      <wps:spPr>
                        <a:xfrm flipV="1">
                          <a:off x="0" y="0"/>
                          <a:ext cx="455295" cy="6350"/>
                        </a:xfrm>
                        <a:prstGeom prst="straightConnector1">
                          <a:avLst/>
                        </a:prstGeom>
                        <a:ln>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32.1pt;margin-top:51.3pt;height:0.5pt;width:35.85pt;z-index:251746304;mso-width-relative:page;mso-height-relative:page;" filled="f" stroked="t" coordsize="21600,21600" o:gfxdata="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KESAE1gAAAAsBAAAPAAAAAAAAAAEA&#10;IAAAACIAAABkcnMvZG93bnJldi54bWxQSwECFAAUAAAACACHTuJAVOiUUhECAADtAwAADgAAAAAA&#10;AAABACAAAAAlAQAAZHJzL2Uyb0RvYy54bWxQSwUGAAAAAAYABgBZAQAAqAUAAAAA&#10;">
                <v:fill on="f" focussize="0,0"/>
                <v:stroke weight="1pt" color="#00B050 [3204]" miterlimit="8" joinstyle="miter" endarrow="open"/>
                <v:imagedata o:title=""/>
                <o:lock v:ext="edit" aspectratio="f"/>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44256" behindDoc="0" locked="0" layoutInCell="1" allowOverlap="1">
                <wp:simplePos x="0" y="0"/>
                <wp:positionH relativeFrom="column">
                  <wp:posOffset>3347720</wp:posOffset>
                </wp:positionH>
                <wp:positionV relativeFrom="paragraph">
                  <wp:posOffset>546735</wp:posOffset>
                </wp:positionV>
                <wp:extent cx="857885" cy="241300"/>
                <wp:effectExtent l="6350" t="6350" r="12065" b="6350"/>
                <wp:wrapNone/>
                <wp:docPr id="52" name="文本框 52"/>
                <wp:cNvGraphicFramePr/>
                <a:graphic xmlns:a="http://schemas.openxmlformats.org/drawingml/2006/main">
                  <a:graphicData uri="http://schemas.microsoft.com/office/word/2010/wordprocessingShape">
                    <wps:wsp>
                      <wps:cNvSpPr txBox="1"/>
                      <wps:spPr>
                        <a:xfrm>
                          <a:off x="0" y="0"/>
                          <a:ext cx="857885" cy="241300"/>
                        </a:xfrm>
                        <a:prstGeom prst="rect">
                          <a:avLst/>
                        </a:prstGeom>
                        <a:noFill/>
                        <a:ln w="12700" cmpd="sng">
                          <a:solidFill>
                            <a:schemeClr val="tx1"/>
                          </a:solidFill>
                          <a:prstDash val="solid"/>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罐车拉运</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63.6pt;margin-top:43.05pt;height:19pt;width:67.55pt;z-index:251744256;mso-width-relative:page;mso-height-relative:page;" filled="f" stroked="t" coordsize="21600,21600" o:gfxdata="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KG3x/XAAAACgEAAA8AAAAAAAAAAQAgAAAAIgAAAGRycy9kb3du&#10;cmV2LnhtbFBLAQIUABQAAAAIAIdO4kAVPOZ/cgIAANgEAAAOAAAAAAAAAAEAIAAAACYBAABkcnMv&#10;ZTJvRG9jLnhtbFBLBQYAAAAABgAGAFkBAAAKBgAAAAA=&#10;">
                <v:fill on="f"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罐车拉运</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42208" behindDoc="0" locked="0" layoutInCell="1" allowOverlap="1">
                <wp:simplePos x="0" y="0"/>
                <wp:positionH relativeFrom="column">
                  <wp:posOffset>3324225</wp:posOffset>
                </wp:positionH>
                <wp:positionV relativeFrom="paragraph">
                  <wp:posOffset>102235</wp:posOffset>
                </wp:positionV>
                <wp:extent cx="857885" cy="241300"/>
                <wp:effectExtent l="6350" t="6350" r="12065" b="6350"/>
                <wp:wrapNone/>
                <wp:docPr id="50" name="文本框 50"/>
                <wp:cNvGraphicFramePr/>
                <a:graphic xmlns:a="http://schemas.openxmlformats.org/drawingml/2006/main">
                  <a:graphicData uri="http://schemas.microsoft.com/office/word/2010/wordprocessingShape">
                    <wps:wsp>
                      <wps:cNvSpPr txBox="1"/>
                      <wps:spPr>
                        <a:xfrm>
                          <a:off x="0" y="0"/>
                          <a:ext cx="857885" cy="241300"/>
                        </a:xfrm>
                        <a:prstGeom prst="rect">
                          <a:avLst/>
                        </a:prstGeom>
                        <a:noFill/>
                        <a:ln w="12700" cmpd="sng">
                          <a:solidFill>
                            <a:schemeClr val="tx1"/>
                          </a:solidFill>
                          <a:prstDash val="solid"/>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钻井过程回用</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61.75pt;margin-top:8.05pt;height:19pt;width:67.55pt;z-index:251742208;mso-width-relative:page;mso-height-relative:page;" filled="f" stroked="t" coordsize="21600,21600" o:gfxdata="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JnSQHVAAAACQEAAA8AAAAAAAAAAQAgAAAAIgAAAGRycy9kb3ducmV2&#10;LnhtbFBLAQIUABQAAAAIAIdO4kDVLxuPcQIAANgEAAAOAAAAAAAAAAEAIAAAACQBAABkcnMvZTJv&#10;RG9jLnhtbFBLBQYAAAAABgAGAFkBAAAHBgAAAAA=&#10;">
                <v:fill on="f"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钻井过程回用</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43232" behindDoc="0" locked="0" layoutInCell="1" allowOverlap="1">
                <wp:simplePos x="0" y="0"/>
                <wp:positionH relativeFrom="column">
                  <wp:posOffset>2900045</wp:posOffset>
                </wp:positionH>
                <wp:positionV relativeFrom="paragraph">
                  <wp:posOffset>651510</wp:posOffset>
                </wp:positionV>
                <wp:extent cx="455295" cy="6350"/>
                <wp:effectExtent l="0" t="49530" r="1905" b="45720"/>
                <wp:wrapNone/>
                <wp:docPr id="51" name="直接箭头连接符 51"/>
                <wp:cNvGraphicFramePr/>
                <a:graphic xmlns:a="http://schemas.openxmlformats.org/drawingml/2006/main">
                  <a:graphicData uri="http://schemas.microsoft.com/office/word/2010/wordprocessingShape">
                    <wps:wsp>
                      <wps:cNvCnPr/>
                      <wps:spPr>
                        <a:xfrm flipV="1">
                          <a:off x="0" y="0"/>
                          <a:ext cx="455295" cy="6350"/>
                        </a:xfrm>
                        <a:prstGeom prst="straightConnector1">
                          <a:avLst/>
                        </a:prstGeom>
                        <a:ln>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8.35pt;margin-top:51.3pt;height:0.5pt;width:35.85pt;z-index:251743232;mso-width-relative:page;mso-height-relative:page;" filled="f" stroked="t" coordsize="21600,21600" o:gfxdata="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GE0iL/VAAAACwEAAA8AAAAAAAAAAQAg&#10;AAAAIgAAAGRycy9kb3ducmV2LnhtbFBLAQIUABQAAAAIAIdO4kDzy5ZOEQIAAO0DAAAOAAAAAAAA&#10;AAEAIAAAACQBAABkcnMvZTJvRG9jLnhtbFBLBQYAAAAABgAGAFkBAACnBQAAAAA=&#10;">
                <v:fill on="f" focussize="0,0"/>
                <v:stroke weight="1pt" color="#00B050 [3204]" miterlimit="8" joinstyle="miter" endarrow="open"/>
                <v:imagedata o:title=""/>
                <o:lock v:ext="edit" aspectratio="f"/>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38112" behindDoc="0" locked="0" layoutInCell="1" allowOverlap="1">
                <wp:simplePos x="0" y="0"/>
                <wp:positionH relativeFrom="column">
                  <wp:posOffset>2091055</wp:posOffset>
                </wp:positionH>
                <wp:positionV relativeFrom="paragraph">
                  <wp:posOffset>252730</wp:posOffset>
                </wp:positionV>
                <wp:extent cx="968375" cy="24892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968375"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钻井废水</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64.65pt;margin-top:19.9pt;height:19.6pt;width:76.25pt;z-index:251738112;mso-width-relative:page;mso-height-relative:page;" filled="f" stroked="f" coordsize="21600,21600" o:gfxdata="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thCJJ1gAAAAkBAAAPAAAA&#10;AAAAAAEAIAAAACIAAABkcnMvZG93bnJldi54bWxQSwECFAAUAAAACACHTuJAcQz5H1ACAACKBAAA&#10;DgAAAAAAAAABACAAAAAlAQAAZHJzL2Uyb0RvYy54bWxQSwUGAAAAAAYABgBZAQAA5wU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钻井废水</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41184" behindDoc="0" locked="0" layoutInCell="1" allowOverlap="1">
                <wp:simplePos x="0" y="0"/>
                <wp:positionH relativeFrom="column">
                  <wp:posOffset>2884170</wp:posOffset>
                </wp:positionH>
                <wp:positionV relativeFrom="paragraph">
                  <wp:posOffset>222885</wp:posOffset>
                </wp:positionV>
                <wp:extent cx="455295" cy="6350"/>
                <wp:effectExtent l="0" t="49530" r="1905" b="45720"/>
                <wp:wrapNone/>
                <wp:docPr id="49" name="直接箭头连接符 49"/>
                <wp:cNvGraphicFramePr/>
                <a:graphic xmlns:a="http://schemas.openxmlformats.org/drawingml/2006/main">
                  <a:graphicData uri="http://schemas.microsoft.com/office/word/2010/wordprocessingShape">
                    <wps:wsp>
                      <wps:cNvCnPr/>
                      <wps:spPr>
                        <a:xfrm flipV="1">
                          <a:off x="0" y="0"/>
                          <a:ext cx="455295" cy="6350"/>
                        </a:xfrm>
                        <a:prstGeom prst="straightConnector1">
                          <a:avLst/>
                        </a:prstGeom>
                        <a:ln>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7.1pt;margin-top:17.55pt;height:0.5pt;width:35.85pt;z-index:251741184;mso-width-relative:page;mso-height-relative:page;" filled="f" stroked="t" coordsize="21600,21600" o:gfxdata="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CxD31QAAAAkBAAAPAAAAAAAAAAEA&#10;IAAAACIAAABkcnMvZG93bnJldi54bWxQSwECFAAUAAAACACHTuJApwG5ZBICAADtAwAADgAAAAAA&#10;AAABACAAAAAkAQAAZHJzL2Uyb0RvYy54bWxQSwUGAAAAAAYABgBZAQAAqAUAAAAA&#10;">
                <v:fill on="f" focussize="0,0"/>
                <v:stroke weight="1pt" color="#00B050 [3204]" miterlimit="8" joinstyle="miter" endarrow="open"/>
                <v:imagedata o:title=""/>
                <o:lock v:ext="edit" aspectratio="f"/>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40160" behindDoc="0" locked="0" layoutInCell="1" allowOverlap="1">
                <wp:simplePos x="0" y="0"/>
                <wp:positionH relativeFrom="column">
                  <wp:posOffset>2889885</wp:posOffset>
                </wp:positionH>
                <wp:positionV relativeFrom="paragraph">
                  <wp:posOffset>238760</wp:posOffset>
                </wp:positionV>
                <wp:extent cx="0" cy="428625"/>
                <wp:effectExtent l="6350" t="0" r="6350" b="3175"/>
                <wp:wrapNone/>
                <wp:docPr id="47" name="直接连接符 47"/>
                <wp:cNvGraphicFramePr/>
                <a:graphic xmlns:a="http://schemas.openxmlformats.org/drawingml/2006/main">
                  <a:graphicData uri="http://schemas.microsoft.com/office/word/2010/wordprocessingShape">
                    <wps:wsp>
                      <wps:cNvCnPr/>
                      <wps:spPr>
                        <a:xfrm>
                          <a:off x="0" y="0"/>
                          <a:ext cx="0" cy="428625"/>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27.55pt;margin-top:18.8pt;height:33.75pt;width:0pt;z-index:251740160;mso-width-relative:page;mso-height-relative:page;" filled="f" stroked="t" coordsize="21600,21600" o:gfxdata="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m/MXA&#10;1wAAAAoBAAAPAAAAAAAAAAEAIAAAACIAAABkcnMvZG93bnJldi54bWxQSwECFAAUAAAACACHTuJA&#10;w/+QWekBAACzAwAADgAAAAAAAAABACAAAAAmAQAAZHJzL2Uyb0RvYy54bWxQSwUGAAAAAAYABgBZ&#10;AQAAgQUAAAAA&#10;">
                <v:fill on="f" focussize="0,0"/>
                <v:stroke weight="1pt" color="#00B050 [3204]" miterlimit="8" joinstyle="miter"/>
                <v:imagedata o:title=""/>
                <o:lock v:ext="edit" aspectratio="f"/>
              </v:lin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2266315</wp:posOffset>
                </wp:positionH>
                <wp:positionV relativeFrom="paragraph">
                  <wp:posOffset>488950</wp:posOffset>
                </wp:positionV>
                <wp:extent cx="610235" cy="0"/>
                <wp:effectExtent l="0" t="6350" r="12065" b="6350"/>
                <wp:wrapNone/>
                <wp:docPr id="46" name="直接连接符 46"/>
                <wp:cNvGraphicFramePr/>
                <a:graphic xmlns:a="http://schemas.openxmlformats.org/drawingml/2006/main">
                  <a:graphicData uri="http://schemas.microsoft.com/office/word/2010/wordprocessingShape">
                    <wps:wsp>
                      <wps:cNvCnPr/>
                      <wps:spPr>
                        <a:xfrm>
                          <a:off x="3393440" y="4020820"/>
                          <a:ext cx="610235" cy="0"/>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78.45pt;margin-top:38.5pt;height:0pt;width:48.05pt;z-index:251739136;mso-width-relative:page;mso-height-relative:page;" filled="f" stroked="t" coordsize="21600,21600" o:gfxdata="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D0IdjYAAAACQEAAA8AAAAAAAAAAQAgAAAAIgAAAGRycy9kb3ducmV2LnhtbFBL&#10;AQIUABQAAAAIAIdO4kDIsmCC9gEAAL8DAAAOAAAAAAAAAAEAIAAAACcBAABkcnMvZTJvRG9jLnht&#10;bFBLBQYAAAAABgAGAFkBAACPBQAAAAA=&#10;">
                <v:fill on="f" focussize="0,0"/>
                <v:stroke weight="1pt" color="#00B050 [3204]" miterlimit="8" joinstyle="miter"/>
                <v:imagedata o:title=""/>
                <o:lock v:ext="edit" aspectratio="f"/>
              </v:lin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971550</wp:posOffset>
                </wp:positionH>
                <wp:positionV relativeFrom="paragraph">
                  <wp:posOffset>146685</wp:posOffset>
                </wp:positionV>
                <wp:extent cx="968375" cy="248920"/>
                <wp:effectExtent l="0" t="0" r="9525" b="5080"/>
                <wp:wrapNone/>
                <wp:docPr id="32" name="文本框 32"/>
                <wp:cNvGraphicFramePr/>
                <a:graphic xmlns:a="http://schemas.openxmlformats.org/drawingml/2006/main">
                  <a:graphicData uri="http://schemas.microsoft.com/office/word/2010/wordprocessingShape">
                    <wps:wsp>
                      <wps:cNvSpPr txBox="1"/>
                      <wps:spPr>
                        <a:xfrm>
                          <a:off x="0" y="0"/>
                          <a:ext cx="968375"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钻井泥浆、岩屑</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76.5pt;margin-top:11.55pt;height:19.6pt;width:76.25pt;z-index:251731968;mso-width-relative:page;mso-height-relative:page;" filled="f" stroked="f" coordsize="21600,21600" o:gfxdata="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8KTpcdYAAAAJAQAADwAA&#10;AAAAAAABACAAAAAiAAAAZHJzL2Rvd25yZXYueG1sUEsBAhQAFAAAAAgAh07iQDc7vvFRAgAAigQA&#10;AA4AAAAAAAAAAQAgAAAAJQEAAGRycy9lMm9Eb2MueG1sUEsFBgAAAAAGAAYAWQEAAOgFA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钻井泥浆、岩屑</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1075055</wp:posOffset>
                </wp:positionH>
                <wp:positionV relativeFrom="paragraph">
                  <wp:posOffset>417830</wp:posOffset>
                </wp:positionV>
                <wp:extent cx="746125" cy="0"/>
                <wp:effectExtent l="0" t="50800" r="3175" b="50800"/>
                <wp:wrapNone/>
                <wp:docPr id="31" name="直接箭头连接符 31"/>
                <wp:cNvGraphicFramePr/>
                <a:graphic xmlns:a="http://schemas.openxmlformats.org/drawingml/2006/main">
                  <a:graphicData uri="http://schemas.microsoft.com/office/word/2010/wordprocessingShape">
                    <wps:wsp>
                      <wps:cNvCnPr/>
                      <wps:spPr>
                        <a:xfrm>
                          <a:off x="2218055" y="3703955"/>
                          <a:ext cx="746125" cy="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84.65pt;margin-top:32.9pt;height:0pt;width:58.75pt;z-index:251730944;mso-width-relative:page;mso-height-relative:page;" filled="f" stroked="t" coordsize="21600,21600" o:gfxdata="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zop3o1QAAAAkBAAAPAAAAAAAA&#10;AAEAIAAAACIAAABkcnMvZG93bnJldi54bWxQSwECFAAUAAAACACHTuJA3hEAzRUCAADsAwAADgAA&#10;AAAAAAABACAAAAAkAQAAZHJzL2Uyb0RvYy54bWxQSwUGAAAAAAYABgBZAQAAqwUAAAAA&#10;">
                <v:fill on="f" focussize="0,0"/>
                <v:stroke weight="1pt" color="#FF0000 [3204]" miterlimit="8" joinstyle="miter" endarrow="open"/>
                <v:imagedata o:title=""/>
                <o:lock v:ext="edit" aspectratio="f"/>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1844675</wp:posOffset>
                </wp:positionH>
                <wp:positionV relativeFrom="paragraph">
                  <wp:posOffset>296545</wp:posOffset>
                </wp:positionV>
                <wp:extent cx="405765" cy="875665"/>
                <wp:effectExtent l="4445" t="5080" r="8890" b="8255"/>
                <wp:wrapNone/>
                <wp:docPr id="30" name="文本框 30"/>
                <wp:cNvGraphicFramePr/>
                <a:graphic xmlns:a="http://schemas.openxmlformats.org/drawingml/2006/main">
                  <a:graphicData uri="http://schemas.microsoft.com/office/word/2010/wordprocessingShape">
                    <wps:wsp>
                      <wps:cNvSpPr txBox="1"/>
                      <wps:spPr>
                        <a:xfrm>
                          <a:off x="0" y="0"/>
                          <a:ext cx="405765" cy="875665"/>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sz w:val="15"/>
                                <w:szCs w:val="15"/>
                                <w:lang w:val="en-US" w:eastAsia="zh-CN"/>
                              </w:rPr>
                            </w:pPr>
                          </w:p>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sz w:val="15"/>
                                <w:szCs w:val="15"/>
                                <w:lang w:val="en-US" w:eastAsia="zh-CN"/>
                              </w:rPr>
                            </w:pPr>
                            <w:r>
                              <w:rPr>
                                <w:rFonts w:hint="eastAsia"/>
                                <w:sz w:val="15"/>
                                <w:szCs w:val="15"/>
                                <w:lang w:val="en-US" w:eastAsia="zh-CN"/>
                              </w:rPr>
                              <w:t>泥浆</w:t>
                            </w:r>
                          </w:p>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sz w:val="15"/>
                                <w:szCs w:val="15"/>
                                <w:lang w:val="en-US" w:eastAsia="zh-CN"/>
                              </w:rPr>
                            </w:pPr>
                            <w:r>
                              <w:rPr>
                                <w:rFonts w:hint="eastAsia"/>
                                <w:sz w:val="15"/>
                                <w:szCs w:val="15"/>
                                <w:lang w:val="en-US" w:eastAsia="zh-CN"/>
                              </w:rPr>
                              <w:t>不落地</w:t>
                            </w:r>
                          </w:p>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装置</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45.25pt;margin-top:23.35pt;height:68.95pt;width:31.95pt;z-index:251729920;mso-width-relative:page;mso-height-relative:page;" fillcolor="#FFFFFF" filled="t" stroked="t" coordsize="21600,21600" o:gfxdata="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FPFZI2gAAAAoBAAAPAAAAAAAAAAEAIAAAACIAAABkcnMvZG93bnJldi54bWxQSwEC&#10;FAAUAAAACACHTuJApqz7ymQCAADcBAAADgAAAAAAAAABACAAAAApAQAAZHJzL2Uyb0RvYy54bWxQ&#10;SwUGAAAAAAYABgBZAQAA/wU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sz w:val="15"/>
                          <w:szCs w:val="15"/>
                          <w:lang w:val="en-US" w:eastAsia="zh-CN"/>
                        </w:rPr>
                      </w:pPr>
                    </w:p>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sz w:val="15"/>
                          <w:szCs w:val="15"/>
                          <w:lang w:val="en-US" w:eastAsia="zh-CN"/>
                        </w:rPr>
                      </w:pPr>
                      <w:r>
                        <w:rPr>
                          <w:rFonts w:hint="eastAsia"/>
                          <w:sz w:val="15"/>
                          <w:szCs w:val="15"/>
                          <w:lang w:val="en-US" w:eastAsia="zh-CN"/>
                        </w:rPr>
                        <w:t>泥浆</w:t>
                      </w:r>
                    </w:p>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sz w:val="15"/>
                          <w:szCs w:val="15"/>
                          <w:lang w:val="en-US" w:eastAsia="zh-CN"/>
                        </w:rPr>
                      </w:pPr>
                      <w:r>
                        <w:rPr>
                          <w:rFonts w:hint="eastAsia"/>
                          <w:sz w:val="15"/>
                          <w:szCs w:val="15"/>
                          <w:lang w:val="en-US" w:eastAsia="zh-CN"/>
                        </w:rPr>
                        <w:t>不落地</w:t>
                      </w:r>
                    </w:p>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装置</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527050</wp:posOffset>
                </wp:positionH>
                <wp:positionV relativeFrom="paragraph">
                  <wp:posOffset>304800</wp:posOffset>
                </wp:positionV>
                <wp:extent cx="548005" cy="225425"/>
                <wp:effectExtent l="4445" t="5080" r="6350" b="10795"/>
                <wp:wrapNone/>
                <wp:docPr id="27" name="文本框 27"/>
                <wp:cNvGraphicFramePr/>
                <a:graphic xmlns:a="http://schemas.openxmlformats.org/drawingml/2006/main">
                  <a:graphicData uri="http://schemas.microsoft.com/office/word/2010/wordprocessingShape">
                    <wps:wsp>
                      <wps:cNvSpPr txBox="1"/>
                      <wps:spPr>
                        <a:xfrm>
                          <a:off x="1670050" y="3590925"/>
                          <a:ext cx="548005" cy="225425"/>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eastAsia="宋体"/>
                                <w:sz w:val="15"/>
                                <w:szCs w:val="15"/>
                                <w:lang w:val="en-US" w:eastAsia="zh-CN"/>
                              </w:rPr>
                            </w:pPr>
                            <w:r>
                              <w:rPr>
                                <w:rFonts w:hint="eastAsia"/>
                                <w:sz w:val="15"/>
                                <w:szCs w:val="15"/>
                                <w:lang w:val="en-US" w:eastAsia="zh-CN"/>
                              </w:rPr>
                              <w:t>钻井</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41.5pt;margin-top:24pt;height:17.75pt;width:43.15pt;z-index:251727872;mso-width-relative:page;mso-height-relative:page;" fillcolor="#FFFFFF" filled="t" stroked="t" coordsize="21600,21600" o:gfxdata="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WPe1rtcAAAAIAQAADwAAAAAAAAABACAAAAAiAAAAZHJzL2Rvd25y&#10;ZXYueG1sUEsBAhQAFAAAAAgAh07iQMPzRv9xAgAA6AQAAA4AAAAAAAAAAQAgAAAAJgEAAGRycy9l&#10;Mm9Eb2MueG1sUEsFBgAAAAAGAAYAWQEAAAkGA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eastAsia" w:eastAsia="宋体"/>
                          <w:sz w:val="15"/>
                          <w:szCs w:val="15"/>
                          <w:lang w:val="en-US" w:eastAsia="zh-CN"/>
                        </w:rPr>
                      </w:pPr>
                      <w:r>
                        <w:rPr>
                          <w:rFonts w:hint="eastAsia"/>
                          <w:sz w:val="15"/>
                          <w:szCs w:val="15"/>
                          <w:lang w:val="en-US" w:eastAsia="zh-CN"/>
                        </w:rPr>
                        <w:t>钻井</w:t>
                      </w:r>
                    </w:p>
                  </w:txbxContent>
                </v:textbox>
              </v:shape>
            </w:pict>
          </mc:Fallback>
        </mc:AlternateContent>
      </w:r>
    </w:p>
    <w:p>
      <w:pPr>
        <w:pageBreakBefore w:val="0"/>
        <w:kinsoku/>
        <w:wordWrap/>
        <w:overflowPunct/>
        <w:topLinePunct w:val="0"/>
        <w:autoSpaceDE/>
        <w:autoSpaceDN/>
        <w:bidi w:val="0"/>
        <w:adjustRightInd w:val="0"/>
        <w:snapToGrid w:val="0"/>
        <w:textAlignment w:val="auto"/>
        <w:outlineLvl w:val="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55520" behindDoc="0" locked="0" layoutInCell="1" allowOverlap="1">
                <wp:simplePos x="0" y="0"/>
                <wp:positionH relativeFrom="column">
                  <wp:posOffset>-527685</wp:posOffset>
                </wp:positionH>
                <wp:positionV relativeFrom="paragraph">
                  <wp:posOffset>254635</wp:posOffset>
                </wp:positionV>
                <wp:extent cx="968375" cy="24892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968375"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清水</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41.55pt;margin-top:20.05pt;height:19.6pt;width:76.25pt;z-index:251755520;mso-width-relative:page;mso-height-relative:page;" filled="f" stroked="f" coordsize="21600,21600" o:gfxdata="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sp68TdcAAAAIAQAADwAA&#10;AAAAAAABACAAAAAiAAAAZHJzL2Rvd25yZXYueG1sUEsBAhQAFAAAAAgAh07iQGNsnQJQAgAAigQA&#10;AA4AAAAAAAAAAQAgAAAAJgEAAGRycy9lMm9Eb2MueG1sUEsFBgAAAAAGAAYAWQEAAOgFA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清水</w:t>
                      </w:r>
                    </w:p>
                  </w:txbxContent>
                </v:textbox>
              </v:shape>
            </w:pict>
          </mc:Fallback>
        </mc:AlternateContent>
      </w:r>
    </w:p>
    <w:p>
      <w:pPr>
        <w:pageBreakBefore w:val="0"/>
        <w:kinsoku/>
        <w:wordWrap/>
        <w:overflowPunct/>
        <w:topLinePunct w:val="0"/>
        <w:autoSpaceDE/>
        <w:autoSpaceDN/>
        <w:bidi w:val="0"/>
        <w:adjustRightInd w:val="0"/>
        <w:snapToGrid w:val="0"/>
        <w:textAlignment w:val="auto"/>
        <w:outlineLvl w:val="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2465070</wp:posOffset>
                </wp:positionH>
                <wp:positionV relativeFrom="paragraph">
                  <wp:posOffset>132715</wp:posOffset>
                </wp:positionV>
                <wp:extent cx="1221740" cy="24892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221740"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剩余部分（10%）</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94.1pt;margin-top:10.45pt;height:19.6pt;width:96.2pt;z-index:251750400;mso-width-relative:page;mso-height-relative:page;" filled="f" stroked="f" coordsize="21600,21600" o:gfxdata="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Q5uFwNcAAAAJAQAADwAA&#10;AAAAAAABACAAAAAiAAAAZHJzL2Rvd25yZXYueG1sUEsBAhQAFAAAAAgAh07iQEhALCJQAgAAiwQA&#10;AA4AAAAAAAAAAQAgAAAAJgEAAGRycy9lMm9Eb2MueG1sUEsFBgAAAAAGAAYAWQEAAOgFA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剩余部分（10%）</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48352" behindDoc="0" locked="0" layoutInCell="1" allowOverlap="1">
                <wp:simplePos x="0" y="0"/>
                <wp:positionH relativeFrom="column">
                  <wp:posOffset>5107305</wp:posOffset>
                </wp:positionH>
                <wp:positionV relativeFrom="paragraph">
                  <wp:posOffset>165100</wp:posOffset>
                </wp:positionV>
                <wp:extent cx="8255" cy="287020"/>
                <wp:effectExtent l="45085" t="0" r="48260" b="5080"/>
                <wp:wrapNone/>
                <wp:docPr id="57" name="直接箭头连接符 57"/>
                <wp:cNvGraphicFramePr/>
                <a:graphic xmlns:a="http://schemas.openxmlformats.org/drawingml/2006/main">
                  <a:graphicData uri="http://schemas.microsoft.com/office/word/2010/wordprocessingShape">
                    <wps:wsp>
                      <wps:cNvCnPr/>
                      <wps:spPr>
                        <a:xfrm>
                          <a:off x="0" y="0"/>
                          <a:ext cx="8255" cy="28702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02.15pt;margin-top:13pt;height:22.6pt;width:0.65pt;z-index:251748352;mso-width-relative:page;mso-height-relative:page;" filled="f" stroked="t" coordsize="21600,21600" o:gfxdata="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DijLTXAAAACQEAAA8AAAAAAAAAAQAgAAAAIgAA&#10;AGRycy9kb3ducmV2LnhtbFBLAQIUABQAAAAIAIdO4kAmPlP2CQIAAOMDAAAOAAAAAAAAAAEAIAAA&#10;ACYBAABkcnMvZTJvRG9jLnhtbFBLBQYAAAAABgAGAFkBAAChBQAAAAA=&#10;">
                <v:fill on="f" focussize="0,0"/>
                <v:stroke weight="1pt" color="#FF0000 [3204]" miterlimit="8" joinstyle="miter" endarrow="open"/>
                <v:imagedata o:title=""/>
                <o:lock v:ext="edit" aspectratio="f"/>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-281940</wp:posOffset>
                </wp:positionH>
                <wp:positionV relativeFrom="paragraph">
                  <wp:posOffset>237490</wp:posOffset>
                </wp:positionV>
                <wp:extent cx="405130" cy="5080"/>
                <wp:effectExtent l="0" t="46990" r="1270" b="49530"/>
                <wp:wrapNone/>
                <wp:docPr id="64" name="直接箭头连接符 64"/>
                <wp:cNvGraphicFramePr/>
                <a:graphic xmlns:a="http://schemas.openxmlformats.org/drawingml/2006/main">
                  <a:graphicData uri="http://schemas.microsoft.com/office/word/2010/wordprocessingShape">
                    <wps:wsp>
                      <wps:cNvCnPr/>
                      <wps:spPr>
                        <a:xfrm>
                          <a:off x="0" y="0"/>
                          <a:ext cx="405130" cy="5080"/>
                        </a:xfrm>
                        <a:prstGeom prst="straightConnector1">
                          <a:avLst/>
                        </a:prstGeom>
                        <a:ln>
                          <a:solidFill>
                            <a:srgbClr val="00B0F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2pt;margin-top:18.7pt;height:0.4pt;width:31.9pt;z-index:251754496;mso-width-relative:page;mso-height-relative:page;" filled="f" stroked="t" coordsize="21600,21600" o:gfxdata="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uU/EN1wAAAAgBAAAPAAAAAAAAAAEAIAAAACIA&#10;AABkcnMvZG93bnJldi54bWxQSwECFAAUAAAACACHTuJAgutfvgoCAADjAwAADgAAAAAAAAABACAA&#10;AAAmAQAAZHJzL2Uyb0RvYy54bWxQSwUGAAAAAAYABgBZAQAAogUAAAAA&#10;">
                <v:fill on="f" focussize="0,0"/>
                <v:stroke weight="1pt" color="#00B0F0 [3204]" miterlimit="8" joinstyle="miter" endarrow="open"/>
                <v:imagedata o:title=""/>
                <o:lock v:ext="edit" aspectratio="f"/>
              </v:shape>
            </w:pict>
          </mc:Fallback>
        </mc:AlternateContent>
      </w:r>
    </w:p>
    <w:p>
      <w:pPr>
        <w:pageBreakBefore w:val="0"/>
        <w:kinsoku/>
        <w:wordWrap/>
        <w:overflowPunct/>
        <w:topLinePunct w:val="0"/>
        <w:autoSpaceDE/>
        <w:autoSpaceDN/>
        <w:bidi w:val="0"/>
        <w:adjustRightInd w:val="0"/>
        <w:snapToGrid w:val="0"/>
        <w:textAlignment w:val="auto"/>
        <w:outlineLvl w:val="9"/>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60640" behindDoc="0" locked="0" layoutInCell="1" allowOverlap="1">
                <wp:simplePos x="0" y="0"/>
                <wp:positionH relativeFrom="column">
                  <wp:posOffset>4710430</wp:posOffset>
                </wp:positionH>
                <wp:positionV relativeFrom="paragraph">
                  <wp:posOffset>182245</wp:posOffset>
                </wp:positionV>
                <wp:extent cx="968375" cy="24892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968375"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普光11回注井</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70.9pt;margin-top:14.35pt;height:19.6pt;width:76.25pt;z-index:251760640;mso-width-relative:page;mso-height-relative:page;" filled="f" stroked="f" coordsize="21600,21600" o:gfxdata="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i4UqHXAAAACQEAAA8A&#10;AAAAAAAAAQAgAAAAIgAAAGRycy9kb3ducmV2LnhtbFBLAQIUABQAAAAIAIdO4kDIaZftUQIAAIoE&#10;AAAOAAAAAAAAAAEAIAAAACYBAABkcnMvZTJvRG9jLnhtbFBLBQYAAAAABgAGAFkBAADpBQ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普光11回注井</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56544" behindDoc="0" locked="0" layoutInCell="1" allowOverlap="1">
                <wp:simplePos x="0" y="0"/>
                <wp:positionH relativeFrom="column">
                  <wp:posOffset>2163445</wp:posOffset>
                </wp:positionH>
                <wp:positionV relativeFrom="paragraph">
                  <wp:posOffset>95250</wp:posOffset>
                </wp:positionV>
                <wp:extent cx="968375" cy="24892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968375"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钻井固废</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70.35pt;margin-top:7.5pt;height:19.6pt;width:76.25pt;z-index:251756544;mso-width-relative:page;mso-height-relative:page;" filled="f" stroked="f" coordsize="21600,21600" o:gfxdata="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DbU3tYAAAAJAQAADwAA&#10;AAAAAAABACAAAAAiAAAAZHJzL2Rvd25yZXYueG1sUEsBAhQAFAAAAAgAh07iQHshVbhRAgAAigQA&#10;AA4AAAAAAAAAAQAgAAAAJQEAAGRycy9lMm9Eb2MueG1sUEsFBgAAAAAGAAYAWQEAAOgFA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钻井固废</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2900045</wp:posOffset>
                </wp:positionH>
                <wp:positionV relativeFrom="paragraph">
                  <wp:posOffset>116840</wp:posOffset>
                </wp:positionV>
                <wp:extent cx="1789430" cy="812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789430" cy="81280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lang w:val="en-US" w:eastAsia="zh-CN"/>
                              </w:rPr>
                            </w:pPr>
                            <w:r>
                              <w:rPr>
                                <w:rFonts w:hint="default"/>
                                <w:sz w:val="15"/>
                                <w:szCs w:val="15"/>
                                <w:lang w:val="en-US" w:eastAsia="zh-CN"/>
                              </w:rPr>
                              <w:t>近交给依法取得生态环境部门关于利用和处置相关工业固体废物项目环评批复、具有处理处置相应固体废物能力并配套建设有废气、废水、固废等污染物治理设施的单位进行资源化利用</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28.35pt;margin-top:9.2pt;height:64pt;width:140.9pt;z-index:251749376;mso-width-relative:page;mso-height-relative:page;" filled="f" stroked="f" coordsize="21600,21600" o:gfxdata="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tClHmtcAAAAKAQAADwAA&#10;AAAAAAABACAAAAAiAAAAZHJzL2Rvd25yZXYueG1sUEsBAhQAFAAAAAgAh07iQLTGFV9QAgAAiwQA&#10;AA4AAAAAAAAAAQAgAAAAJgEAAGRycy9lMm9Eb2MueG1sUEsFBgAAAAAGAAYAWQEAAOgFA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textAlignment w:val="auto"/>
                        <w:rPr>
                          <w:rFonts w:hint="default"/>
                          <w:lang w:val="en-US" w:eastAsia="zh-CN"/>
                        </w:rPr>
                      </w:pPr>
                      <w:r>
                        <w:rPr>
                          <w:rFonts w:hint="default"/>
                          <w:sz w:val="15"/>
                          <w:szCs w:val="15"/>
                          <w:lang w:val="en-US" w:eastAsia="zh-CN"/>
                        </w:rPr>
                        <w:t>近交给依法取得生态环境部门关于利用和处置相关工业固体废物项目环评批复、具有处理处置相应固体废物能力并配套建设有废气、废水、固废等污染物治理设施的单位进行资源化利用</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1185545</wp:posOffset>
                </wp:positionH>
                <wp:positionV relativeFrom="paragraph">
                  <wp:posOffset>260350</wp:posOffset>
                </wp:positionV>
                <wp:extent cx="691515" cy="1270"/>
                <wp:effectExtent l="0" t="49530" r="6985" b="50800"/>
                <wp:wrapNone/>
                <wp:docPr id="34" name="直接箭头连接符 34"/>
                <wp:cNvGraphicFramePr/>
                <a:graphic xmlns:a="http://schemas.openxmlformats.org/drawingml/2006/main">
                  <a:graphicData uri="http://schemas.microsoft.com/office/word/2010/wordprocessingShape">
                    <wps:wsp>
                      <wps:cNvCnPr/>
                      <wps:spPr>
                        <a:xfrm>
                          <a:off x="0" y="0"/>
                          <a:ext cx="691515" cy="127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3.35pt;margin-top:20.5pt;height:0.1pt;width:54.45pt;z-index:251732992;mso-width-relative:page;mso-height-relative:page;" filled="f" stroked="t" coordsize="21600,21600" o:gfxdata="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&#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H2HAXVAAAACQEAAA8AAAAAAAAAAQAgAAAAIgAAAGRy&#10;cy9kb3ducmV2LnhtbFBLAQIUABQAAAAIAIdO4kD/pTgmCAIAAOMDAAAOAAAAAAAAAAEAIAAAACQB&#10;AABkcnMvZTJvRG9jLnhtbFBLBQYAAAAABgAGAFkBAACeBQAAAAA=&#10;">
                <v:fill on="f" focussize="0,0"/>
                <v:stroke weight="1pt" color="#FF0000 [3204]" miterlimit="8" joinstyle="miter" endarrow="open"/>
                <v:imagedata o:title=""/>
                <o:lock v:ext="edit" aspectratio="f"/>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122555</wp:posOffset>
                </wp:positionH>
                <wp:positionV relativeFrom="paragraph">
                  <wp:posOffset>259715</wp:posOffset>
                </wp:positionV>
                <wp:extent cx="405130" cy="5080"/>
                <wp:effectExtent l="0" t="46990" r="1270" b="49530"/>
                <wp:wrapNone/>
                <wp:docPr id="62" name="直接箭头连接符 62"/>
                <wp:cNvGraphicFramePr/>
                <a:graphic xmlns:a="http://schemas.openxmlformats.org/drawingml/2006/main">
                  <a:graphicData uri="http://schemas.microsoft.com/office/word/2010/wordprocessingShape">
                    <wps:wsp>
                      <wps:cNvCnPr/>
                      <wps:spPr>
                        <a:xfrm>
                          <a:off x="0" y="0"/>
                          <a:ext cx="405130" cy="5080"/>
                        </a:xfrm>
                        <a:prstGeom prst="straightConnector1">
                          <a:avLst/>
                        </a:prstGeom>
                        <a:ln>
                          <a:solidFill>
                            <a:srgbClr val="00B0F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65pt;margin-top:20.45pt;height:0.4pt;width:31.9pt;z-index:251752448;mso-width-relative:page;mso-height-relative:page;" filled="f" stroked="t" coordsize="21600,21600" o:gfxdata="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RIrinWAAAABwEAAA8AAAAAAAAAAQAgAAAAIgAA&#10;AGRycy9kb3ducmV2LnhtbFBLAQIUABQAAAAIAIdO4kAppkzgCgIAAOMDAAAOAAAAAAAAAAEAIAAA&#10;ACUBAABkcnMvZTJvRG9jLnhtbFBLBQYAAAAABgAGAFkBAAChBQAAAAA=&#10;">
                <v:fill on="f" focussize="0,0"/>
                <v:stroke weight="1pt" color="#00B0F0 [3204]" miterlimit="8" joinstyle="miter" endarrow="open"/>
                <v:imagedata o:title=""/>
                <o:lock v:ext="edit" aspectratio="f"/>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34016" behindDoc="0" locked="0" layoutInCell="1" allowOverlap="1">
                <wp:simplePos x="0" y="0"/>
                <wp:positionH relativeFrom="column">
                  <wp:posOffset>1011555</wp:posOffset>
                </wp:positionH>
                <wp:positionV relativeFrom="paragraph">
                  <wp:posOffset>22860</wp:posOffset>
                </wp:positionV>
                <wp:extent cx="968375" cy="24892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968375"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冲洗废水</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79.65pt;margin-top:1.8pt;height:19.6pt;width:76.25pt;z-index:251734016;mso-width-relative:page;mso-height-relative:page;" filled="f" stroked="f" coordsize="21600,21600" o:gfxdata="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Sn1MXVAAAACAEAAA8AAAAA&#10;AAAAAQAgAAAAIgAAAGRycy9kb3ducmV2LnhtbFBLAQIUABQAAAAIAIdO4kBOnOc2UAIAAIoEAAAO&#10;AAAAAAAAAAEAIAAAACQBAABkcnMvZTJvRG9jLnhtbFBLBQYAAAAABgAGAFkBAADmBQ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冲洗废水</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511810</wp:posOffset>
                </wp:positionH>
                <wp:positionV relativeFrom="paragraph">
                  <wp:posOffset>128905</wp:posOffset>
                </wp:positionV>
                <wp:extent cx="635000" cy="225425"/>
                <wp:effectExtent l="5080" t="4445" r="7620" b="11430"/>
                <wp:wrapNone/>
                <wp:docPr id="29" name="文本框 29"/>
                <wp:cNvGraphicFramePr/>
                <a:graphic xmlns:a="http://schemas.openxmlformats.org/drawingml/2006/main">
                  <a:graphicData uri="http://schemas.microsoft.com/office/word/2010/wordprocessingShape">
                    <wps:wsp>
                      <wps:cNvSpPr txBox="1"/>
                      <wps:spPr>
                        <a:xfrm>
                          <a:off x="0" y="0"/>
                          <a:ext cx="635000" cy="225425"/>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设备冲洗</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40.3pt;margin-top:10.15pt;height:17.75pt;width:50pt;z-index:251728896;mso-width-relative:page;mso-height-relative:page;" fillcolor="#FFFFFF" filled="t" stroked="t" coordsize="21600,21600" o:gfxdata="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8Patp1gAAAAgBAAAPAAAAAAAAAAEAIAAAACIAAABkcnMvZG93bnJldi54bWxQSwECFAAU&#10;AAAACACHTuJAGlyVwmUCAADcBAAADgAAAAAAAAABACAAAAAlAQAAZHJzL2Uyb0RvYy54bWxQSwUG&#10;AAAAAAYABgBZAQAA/AU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设备冲洗</w:t>
                      </w:r>
                    </w:p>
                  </w:txbxContent>
                </v:textbox>
              </v:shape>
            </w:pict>
          </mc:Fallback>
        </mc:AlternateContent>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2171065</wp:posOffset>
                </wp:positionH>
                <wp:positionV relativeFrom="paragraph">
                  <wp:posOffset>20955</wp:posOffset>
                </wp:positionV>
                <wp:extent cx="968375" cy="24892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968375"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罐车拉运</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70.95pt;margin-top:1.65pt;height:19.6pt;width:76.25pt;z-index:251759616;mso-width-relative:page;mso-height-relative:page;" filled="f" stroked="f" coordsize="21600,21600" o:gfxdata="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T6Z7t1QAAAAgBAAAPAAAA&#10;AAAAAAEAIAAAACIAAABkcnMvZG93bnJldi54bWxQSwECFAAUAAAACACHTuJAcxrt0VECAACKBAAA&#10;DgAAAAAAAAABACAAAAAkAQAAZHJzL2Uyb0RvYy54bWxQSwUGAAAAAAYABgBZAQAA5wU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罐车拉运</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35040" behindDoc="0" locked="0" layoutInCell="1" allowOverlap="1">
                <wp:simplePos x="0" y="0"/>
                <wp:positionH relativeFrom="column">
                  <wp:posOffset>2258060</wp:posOffset>
                </wp:positionH>
                <wp:positionV relativeFrom="paragraph">
                  <wp:posOffset>41275</wp:posOffset>
                </wp:positionV>
                <wp:extent cx="746125" cy="0"/>
                <wp:effectExtent l="0" t="50800" r="3175" b="50800"/>
                <wp:wrapNone/>
                <wp:docPr id="41" name="直接箭头连接符 41"/>
                <wp:cNvGraphicFramePr/>
                <a:graphic xmlns:a="http://schemas.openxmlformats.org/drawingml/2006/main">
                  <a:graphicData uri="http://schemas.microsoft.com/office/word/2010/wordprocessingShape">
                    <wps:wsp>
                      <wps:cNvCnPr/>
                      <wps:spPr>
                        <a:xfrm>
                          <a:off x="0" y="0"/>
                          <a:ext cx="746125" cy="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77.8pt;margin-top:3.25pt;height:0pt;width:58.75pt;z-index:251735040;mso-width-relative:page;mso-height-relative:page;" filled="f" stroked="t" coordsize="21600,21600" o:gfxdata="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Y8z4c1AAAAAcBAAAPAAAAAAAAAAEAIAAAACIAAABkcnMv&#10;ZG93bnJldi54bWxQSwECFAAUAAAACACHTuJAAS5PXwcCAADgAwAADgAAAAAAAAABACAAAAAjAQAA&#10;ZHJzL2Uyb0RvYy54bWxQSwUGAAAAAAYABgBZAQAAnAUAAAAA&#10;">
                <v:fill on="f" focussize="0,0"/>
                <v:stroke weight="1pt" color="#FF0000 [3204]" miterlimit="8" joinstyle="miter" endarrow="open"/>
                <v:imagedata o:title=""/>
                <o:lock v:ext="edit" aspectratio="f"/>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36064" behindDoc="0" locked="0" layoutInCell="1" allowOverlap="1">
                <wp:simplePos x="0" y="0"/>
                <wp:positionH relativeFrom="column">
                  <wp:posOffset>2023745</wp:posOffset>
                </wp:positionH>
                <wp:positionV relativeFrom="paragraph">
                  <wp:posOffset>158115</wp:posOffset>
                </wp:positionV>
                <wp:extent cx="3175" cy="471170"/>
                <wp:effectExtent l="50165" t="0" r="48260" b="11430"/>
                <wp:wrapNone/>
                <wp:docPr id="42" name="直接箭头连接符 42"/>
                <wp:cNvGraphicFramePr/>
                <a:graphic xmlns:a="http://schemas.openxmlformats.org/drawingml/2006/main">
                  <a:graphicData uri="http://schemas.microsoft.com/office/word/2010/wordprocessingShape">
                    <wps:wsp>
                      <wps:cNvCnPr/>
                      <wps:spPr>
                        <a:xfrm flipH="1" flipV="1">
                          <a:off x="0" y="0"/>
                          <a:ext cx="3175" cy="47117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59.35pt;margin-top:12.45pt;height:37.1pt;width:0.25pt;z-index:251736064;mso-width-relative:page;mso-height-relative:page;" filled="f" stroked="t" coordsize="21600,21600" o:gfxdata="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YXNpo2gAAAAkBAAAPAAAA&#10;AAAAAAEAIAAAACIAAABkcnMvZG93bnJldi54bWxQSwECFAAUAAAACACHTuJAGtq4sRMCAAD3AwAA&#10;DgAAAAAAAAABACAAAAApAQAAZHJzL2Uyb0RvYy54bWxQSwUGAAAAAAYABgBZAQAArgUAAAAA&#10;">
                <v:fill on="f" focussize="0,0"/>
                <v:stroke weight="1pt" color="#000000 [3213]" miterlimit="8" joinstyle="miter" endarrow="open"/>
                <v:imagedata o:title=""/>
                <o:lock v:ext="edit" aspectratio="f"/>
              </v:shape>
            </w:pict>
          </mc:Fallback>
        </mc:AlternateContent>
      </w:r>
    </w:p>
    <w:p>
      <w:pPr>
        <w:pStyle w:val="163"/>
        <w:rPr>
          <w:rFonts w:hint="default" w:ascii="Times New Roman" w:hAnsi="Times New Roman" w:cs="Times New Roman"/>
          <w:color w:val="000000" w:themeColor="text1"/>
          <w:highlight w:val="none"/>
          <w14:textFill>
            <w14:solidFill>
              <w14:schemeClr w14:val="tx1"/>
            </w14:solidFill>
          </w14:textFill>
        </w:rPr>
      </w:pP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37088" behindDoc="0" locked="0" layoutInCell="1" allowOverlap="1">
                <wp:simplePos x="0" y="0"/>
                <wp:positionH relativeFrom="column">
                  <wp:posOffset>1638935</wp:posOffset>
                </wp:positionH>
                <wp:positionV relativeFrom="paragraph">
                  <wp:posOffset>134620</wp:posOffset>
                </wp:positionV>
                <wp:extent cx="968375" cy="24892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968375"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初期雨水</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29.05pt;margin-top:10.6pt;height:19.6pt;width:76.25pt;z-index:251737088;mso-width-relative:page;mso-height-relative:page;" filled="f" stroked="f" coordsize="21600,21600" o:gfxdata="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1Q1n9YAAAAJAQAADwAA&#10;AAAAAAABACAAAAAiAAAAZHJzL2Rvd25yZXYueG1sUEsBAhQAFAAAAAgAh07iQACQGLFRAgAAigQA&#10;AA4AAAAAAAAAAQAgAAAAJQEAAGRycy9lMm9Eb2MueG1sUEsFBgAAAAAGAAYAWQEAAOgFA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初期雨水</w:t>
                      </w:r>
                    </w:p>
                  </w:txbxContent>
                </v:textbox>
              </v:shape>
            </w:pict>
          </mc:Fallback>
        </mc:AlternateContent>
      </w:r>
    </w:p>
    <w:p>
      <w:pPr>
        <w:pStyle w:val="163"/>
        <w:rPr>
          <w:rFonts w:hint="default" w:ascii="Times New Roman" w:hAnsi="Times New Roman" w:cs="Times New Roman"/>
          <w:color w:val="000000" w:themeColor="text1"/>
          <w:highlight w:val="none"/>
          <w14:textFill>
            <w14:solidFill>
              <w14:schemeClr w14:val="tx1"/>
            </w14:solidFill>
          </w14:textFill>
        </w:rPr>
      </w:pP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项目钻井废水回收利用工艺流程图</w:t>
      </w:r>
    </w:p>
    <w:bookmarkEnd w:id="410"/>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zCs w:val="24"/>
          <w:highlight w:val="none"/>
          <w14:textFill>
            <w14:solidFill>
              <w14:schemeClr w14:val="tx1"/>
            </w14:solidFill>
          </w14:textFill>
        </w:rPr>
        <w:t>）生活污水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钻井期间</w:t>
      </w:r>
      <w:r>
        <w:rPr>
          <w:rFonts w:hint="default" w:ascii="Times New Roman" w:hAnsi="Times New Roman" w:cs="Times New Roman"/>
          <w:color w:val="000000" w:themeColor="text1"/>
          <w:szCs w:val="24"/>
          <w:highlight w:val="none"/>
          <w:lang w:val="en-US" w:eastAsia="zh-CN"/>
          <w14:textFill>
            <w14:solidFill>
              <w14:schemeClr w14:val="tx1"/>
            </w14:solidFill>
          </w14:textFill>
        </w:rPr>
        <w:t>施工人员</w:t>
      </w:r>
      <w:r>
        <w:rPr>
          <w:rFonts w:hint="default" w:ascii="Times New Roman" w:hAnsi="Times New Roman" w:cs="Times New Roman"/>
          <w:bCs/>
          <w:color w:val="000000" w:themeColor="text1"/>
          <w:szCs w:val="24"/>
          <w:highlight w:val="none"/>
          <w14:textFill>
            <w14:solidFill>
              <w14:schemeClr w14:val="tx1"/>
            </w14:solidFill>
          </w14:textFill>
        </w:rPr>
        <w:t>生活污水</w:t>
      </w:r>
      <w:r>
        <w:rPr>
          <w:rFonts w:hint="default" w:ascii="Times New Roman" w:hAnsi="Times New Roman" w:cs="Times New Roman"/>
          <w:color w:val="000000" w:themeColor="text1"/>
          <w:szCs w:val="24"/>
          <w:highlight w:val="none"/>
          <w14:textFill>
            <w14:solidFill>
              <w14:schemeClr w14:val="tx1"/>
            </w14:solidFill>
          </w14:textFill>
        </w:rPr>
        <w:t>经生态厕所收集后定期由密闭罐车拉运至周边生活污水处理厂处理。</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lang w:val="en-US" w:eastAsia="zh-CN"/>
          <w14:textFill>
            <w14:solidFill>
              <w14:schemeClr w14:val="tx1"/>
            </w14:solidFill>
          </w14:textFill>
        </w:rPr>
        <w:t>3</w:t>
      </w:r>
      <w:r>
        <w:rPr>
          <w:rFonts w:hint="default" w:ascii="Times New Roman" w:hAnsi="Times New Roman" w:cs="Times New Roman"/>
          <w:b/>
          <w:bCs/>
          <w:color w:val="000000" w:themeColor="text1"/>
          <w:szCs w:val="24"/>
          <w:highlight w:val="none"/>
          <w14:textFill>
            <w14:solidFill>
              <w14:schemeClr w14:val="tx1"/>
            </w14:solidFill>
          </w14:textFill>
        </w:rPr>
        <w:t>）初期雨水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采用清污分流，井场四周设置排水沟，并设置集水坑，初期雨水收集进入泥浆不落地装置区与钻井废水合并处理，后期雨水依靠井站设置的地面坡度和内外环沟的阀门控制，就地散排至排水沟，排出场外。若场内雨水被污染流入外环沟，则需封闭外环沟由作业队伍从集水坑抽汲至泥浆不落地装置区或放喷池。</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泥浆不落地装置和放喷池均比地面高且有遮雨篷遮盖，可防止周边雨水汇入；井场周围设置雨水沟，井场周边雨水均不会进入井场内，井场内的雨水则顺着地势而排入四周的雨水沟；泥浆不落地装置上方配备了防雨棚，这样可避免因雨水进入泥浆不落地装置而增加废水量。</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由于项目拟建地周围有冲沟与河流，为了进一步做好对附近冲沟、河流的保护工作，建议建设单位做好以下应急环保工作：</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①在钻井过程中应加强废水管理，尤其雨季时加强监管内外排水沟，确保污水不流出井场。</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②在做好泥浆不落地装置区水罐和放喷池的清运工作同时，对集水坑进行及时清掏，做好防渗。</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③废水在拉运过程中经过河渠与冲沟附近时，应减缓车速，平稳通过。</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④本次环评要求构建的地表水“三级”防控体系：具体如下：</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第一级防控措施是对存放废水和原料的罐、池定期检查，确认罐、池容量不超过设计容量，并及时清空，确保废水暂存容量足够；</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第二级防控措施是通过对可能发生废水</w:t>
      </w:r>
      <w:r>
        <w:rPr>
          <w:rFonts w:hint="default" w:ascii="Times New Roman" w:hAnsi="Times New Roman" w:cs="Times New Roman"/>
          <w:color w:val="000000" w:themeColor="text1"/>
          <w:szCs w:val="24"/>
          <w:highlight w:val="none"/>
          <w:lang w:eastAsia="zh-CN"/>
          <w14:textFill>
            <w14:solidFill>
              <w14:schemeClr w14:val="tx1"/>
            </w14:solidFill>
          </w14:textFill>
        </w:rPr>
        <w:t>泄漏</w:t>
      </w:r>
      <w:r>
        <w:rPr>
          <w:rFonts w:hint="default" w:ascii="Times New Roman" w:hAnsi="Times New Roman" w:cs="Times New Roman"/>
          <w:color w:val="000000" w:themeColor="text1"/>
          <w:szCs w:val="24"/>
          <w:highlight w:val="none"/>
          <w14:textFill>
            <w14:solidFill>
              <w14:schemeClr w14:val="tx1"/>
            </w14:solidFill>
          </w14:textFill>
        </w:rPr>
        <w:t>的罐、池区以及作业区等区域修建围堰，避免</w:t>
      </w:r>
      <w:r>
        <w:rPr>
          <w:rFonts w:hint="default" w:ascii="Times New Roman" w:hAnsi="Times New Roman" w:cs="Times New Roman"/>
          <w:color w:val="000000" w:themeColor="text1"/>
          <w:szCs w:val="24"/>
          <w:highlight w:val="none"/>
          <w:lang w:eastAsia="zh-CN"/>
          <w14:textFill>
            <w14:solidFill>
              <w14:schemeClr w14:val="tx1"/>
            </w14:solidFill>
          </w14:textFill>
        </w:rPr>
        <w:t>泄漏</w:t>
      </w:r>
      <w:r>
        <w:rPr>
          <w:rFonts w:hint="default" w:ascii="Times New Roman" w:hAnsi="Times New Roman" w:cs="Times New Roman"/>
          <w:color w:val="000000" w:themeColor="text1"/>
          <w:szCs w:val="24"/>
          <w:highlight w:val="none"/>
          <w14:textFill>
            <w14:solidFill>
              <w14:schemeClr w14:val="tx1"/>
            </w14:solidFill>
          </w14:textFill>
        </w:rPr>
        <w:t>废水散排进入井场其他区域；</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第三级防控措施是内环沟集污坑、方井、井场四周集水坑等废水汇集处低进高出，同时设置水泵，将废水抽至泥浆不落地系统废水罐或放喷池，拦截可能流出井场外的废水，保持内环沟、集污坑、方井、放喷池等常空，有足够容积。</w:t>
      </w:r>
    </w:p>
    <w:p>
      <w:pPr>
        <w:ind w:firstLine="482"/>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在废水外溢事故发生，集水坑拦截失效时，在集水坑附近等低洼区域以及外溢口处采用沙包、装土编织袋等拦截措施阻止废水进入外环境，同时保持放喷池常空，放喷池有足够容积，在沙包、装土编织袋等拦截措施失效时，通过泵将井场场内外溢废水引流至泥浆不落地区废水罐、放喷池并及时处理转运。</w:t>
      </w:r>
    </w:p>
    <w:p>
      <w:pPr>
        <w:ind w:firstLine="480"/>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（2）治理措施可行性分析</w:t>
      </w:r>
    </w:p>
    <w:p>
      <w:pPr>
        <w:ind w:firstLine="482"/>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1）</w:t>
      </w:r>
      <w:r>
        <w:rPr>
          <w:rFonts w:hint="default" w:ascii="Times New Roman" w:hAnsi="Times New Roman" w:cs="Times New Roman"/>
          <w:color w:val="000000" w:themeColor="text1"/>
          <w:szCs w:val="24"/>
          <w:highlight w:val="none"/>
          <w14:textFill>
            <w14:solidFill>
              <w14:schemeClr w14:val="tx1"/>
            </w14:solidFill>
          </w14:textFill>
        </w:rPr>
        <w:t>污水收集处理设施可行性分析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钻井过程中废水由泥浆不落地装置收集，泥浆不落地装置内放置有现场配备40m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废水罐4个（位于</w:t>
      </w:r>
      <w:r>
        <w:rPr>
          <w:rFonts w:hint="default" w:ascii="Times New Roman" w:hAnsi="Times New Roman" w:cs="Times New Roman"/>
          <w:color w:val="000000" w:themeColor="text1"/>
          <w:szCs w:val="24"/>
          <w:highlight w:val="none"/>
          <w:lang w:eastAsia="zh-CN"/>
          <w14:textFill>
            <w14:solidFill>
              <w14:schemeClr w14:val="tx1"/>
            </w14:solidFill>
          </w14:textFill>
        </w:rPr>
        <w:t>不落地操作平台</w:t>
      </w:r>
      <w:r>
        <w:rPr>
          <w:rFonts w:hint="default" w:ascii="Times New Roman" w:hAnsi="Times New Roman" w:cs="Times New Roman"/>
          <w:color w:val="000000" w:themeColor="text1"/>
          <w:szCs w:val="24"/>
          <w:highlight w:val="none"/>
          <w14:textFill>
            <w14:solidFill>
              <w14:schemeClr w14:val="tx1"/>
            </w14:solidFill>
          </w14:textFill>
        </w:rPr>
        <w:t>废水处理区，分为1个隔油罐、2个沉淀罐、1个回用罐），本项目废水临时存放能力达到160m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（4个废水罐共计160m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，1个放喷池共计300m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）。本项目钻井期间污水经固控设备固液分离后，钻井废水351.32m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，井站设立污水定期拉运机制，通过定期拉运，能使现场废水最大存量保持在始终低于460m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的水平，井场的泥浆不落地装置与放喷池的容量能满足井场整个钻井期的生产需求。</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为防止在暴雨或连续降雨等极端天气条件下发生废水泄露，对初期雨水进行收集，本项目“不落地”处理装置与放喷池有效容积达到460m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，能满足本项目应对暴雨或连续降雨等极端天气条件下初期雨水的收集需要（初期雨水量</w:t>
      </w:r>
      <w:r>
        <w:rPr>
          <w:rFonts w:hint="default" w:ascii="Times New Roman" w:hAnsi="Times New Roman" w:cs="Times New Roman"/>
          <w:color w:val="000000" w:themeColor="text1"/>
          <w:szCs w:val="24"/>
          <w:highlight w:val="none"/>
          <w:lang w:val="en-US" w:eastAsia="zh-CN"/>
          <w14:textFill>
            <w14:solidFill>
              <w14:schemeClr w14:val="tx1"/>
            </w14:solidFill>
          </w14:textFill>
        </w:rPr>
        <w:t>147.1</w:t>
      </w:r>
      <w:r>
        <w:rPr>
          <w:rFonts w:hint="default" w:ascii="Times New Roman" w:hAnsi="Times New Roman" w:cs="Times New Roman"/>
          <w:color w:val="000000" w:themeColor="text1"/>
          <w:szCs w:val="24"/>
          <w:highlight w:val="none"/>
          <w14:textFill>
            <w14:solidFill>
              <w14:schemeClr w14:val="tx1"/>
            </w14:solidFill>
          </w14:textFill>
        </w:rPr>
        <w:t>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），杜绝废水外溢污染事故。</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钻井期生活污水经生态厕所收集后定期由密闭罐车拉运至周边生活污水处理厂处理</w:t>
      </w:r>
      <w:r>
        <w:rPr>
          <w:rFonts w:hint="default" w:ascii="Times New Roman" w:hAnsi="Times New Roman" w:cs="Times New Roman"/>
          <w:color w:val="000000" w:themeColor="text1"/>
          <w:szCs w:val="24"/>
          <w:highlight w:val="none"/>
          <w14:textFill>
            <w14:solidFill>
              <w14:schemeClr w14:val="tx1"/>
            </w14:solidFill>
          </w14:textFill>
        </w:rPr>
        <w:t>，钻井期生态厕所能满足50人入厕需求，本项目钻井期最多人员为45人，且加强管理，定期拉运后，生态厕所满足使用需求。</w:t>
      </w:r>
    </w:p>
    <w:p>
      <w:pPr>
        <w:ind w:firstLine="482"/>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2）泥浆不落地工艺可行性分析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随钻泥浆不落地能做到泥浆、岩屑“不落地”，对钻井过程中产生的污染物实行随钻处理，增大了废水利用率，同时降低道路运输风险。随钻处理污染物技术成熟、可靠，资源化处置得到的泥饼体积减小，固化后泥饼含水率约60%，运输方便，分离出液体大部分能回用钻井作业，在减少废物排放的同时节约了成本。尤为重要的是项目对污染物实现了综合利用，符合当前环保管理减量化、无害化、资源化的要求，属“三废”综合利用及治理工程，泥浆不落地工艺的实施，将大大提高废水回用率和降低固废产生量，降低环保风险，确保中原油田普光分公司清洁生产、绿色开发和可持续发展。根据川东北地区配套的泥浆不落地系统处理经验，系统内正常运行设置2个清洁生产操作平台，每个操作平台设置40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废水罐4个，20m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岩屑固化罐4个，3m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岩屑收集罐8个，化学品存放区1处和1套固废处理设备就能满足川东北地区单井泥浆不落地处理能力要求。本项目按照上述进行了设置，故泥浆不落地装置处理能力满足本项目需求。因此，本项目采用随钻泥浆不落地工艺是可行的。</w:t>
      </w:r>
    </w:p>
    <w:p>
      <w:pPr>
        <w:ind w:firstLine="482"/>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3）钻井废水回用可行性分析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经泥浆不落地处理后的钻井废水水质简单，悬浮物和油含量低，</w:t>
      </w:r>
      <w:r>
        <w:rPr>
          <w:rFonts w:hint="default" w:ascii="Times New Roman" w:hAnsi="Times New Roman" w:cs="Times New Roman"/>
          <w:color w:val="000000" w:themeColor="text1"/>
          <w:szCs w:val="24"/>
          <w:highlight w:val="none"/>
          <w:lang w:val="en-US" w:eastAsia="zh-CN"/>
          <w14:textFill>
            <w14:solidFill>
              <w14:schemeClr w14:val="tx1"/>
            </w14:solidFill>
          </w14:textFill>
        </w:rPr>
        <w:t>将钻井废水</w:t>
      </w:r>
      <w:r>
        <w:rPr>
          <w:rFonts w:hint="default" w:ascii="Times New Roman" w:hAnsi="Times New Roman" w:cs="Times New Roman"/>
          <w:color w:val="000000" w:themeColor="text1"/>
          <w:szCs w:val="24"/>
          <w:highlight w:val="none"/>
          <w14:textFill>
            <w14:solidFill>
              <w14:schemeClr w14:val="tx1"/>
            </w14:solidFill>
          </w14:textFill>
        </w:rPr>
        <w:t>经简单预处理即符合配置</w:t>
      </w:r>
      <w:r>
        <w:rPr>
          <w:rFonts w:hint="default" w:ascii="Times New Roman" w:hAnsi="Times New Roman" w:cs="Times New Roman"/>
          <w:color w:val="000000" w:themeColor="text1"/>
          <w:szCs w:val="24"/>
          <w:highlight w:val="none"/>
          <w:lang w:val="en-US" w:eastAsia="zh-CN"/>
          <w14:textFill>
            <w14:solidFill>
              <w14:schemeClr w14:val="tx1"/>
            </w14:solidFill>
          </w14:textFill>
        </w:rPr>
        <w:t>钻井液的</w:t>
      </w:r>
      <w:r>
        <w:rPr>
          <w:rFonts w:hint="default" w:ascii="Times New Roman" w:hAnsi="Times New Roman" w:cs="Times New Roman"/>
          <w:color w:val="000000" w:themeColor="text1"/>
          <w:szCs w:val="24"/>
          <w:highlight w:val="none"/>
          <w14:textFill>
            <w14:solidFill>
              <w14:schemeClr w14:val="tx1"/>
            </w14:solidFill>
          </w14:textFill>
        </w:rPr>
        <w:t>要求。将钻井废水重复</w:t>
      </w:r>
      <w:r>
        <w:rPr>
          <w:rFonts w:hint="default" w:ascii="Times New Roman" w:hAnsi="Times New Roman" w:cs="Times New Roman"/>
          <w:color w:val="000000" w:themeColor="text1"/>
          <w:szCs w:val="24"/>
          <w:highlight w:val="none"/>
          <w:lang w:val="en-US" w:eastAsia="zh-CN"/>
          <w14:textFill>
            <w14:solidFill>
              <w14:schemeClr w14:val="tx1"/>
            </w14:solidFill>
          </w14:textFill>
        </w:rPr>
        <w:t>使用</w:t>
      </w:r>
      <w:r>
        <w:rPr>
          <w:rFonts w:hint="default" w:ascii="Times New Roman" w:hAnsi="Times New Roman" w:cs="Times New Roman"/>
          <w:color w:val="000000" w:themeColor="text1"/>
          <w:szCs w:val="24"/>
          <w:highlight w:val="none"/>
          <w14:textFill>
            <w14:solidFill>
              <w14:schemeClr w14:val="tx1"/>
            </w14:solidFill>
          </w14:textFill>
        </w:rPr>
        <w:t>，已经属成熟工艺，在</w:t>
      </w:r>
      <w:r>
        <w:rPr>
          <w:rFonts w:hint="default" w:ascii="Times New Roman" w:hAnsi="Times New Roman" w:cs="Times New Roman"/>
          <w:color w:val="000000" w:themeColor="text1"/>
          <w:szCs w:val="24"/>
          <w:highlight w:val="none"/>
          <w:lang w:val="en-US" w:eastAsia="zh-CN"/>
          <w14:textFill>
            <w14:solidFill>
              <w14:schemeClr w14:val="tx1"/>
            </w14:solidFill>
          </w14:textFill>
        </w:rPr>
        <w:t>钻井</w:t>
      </w:r>
      <w:r>
        <w:rPr>
          <w:rFonts w:hint="default" w:ascii="Times New Roman" w:hAnsi="Times New Roman" w:cs="Times New Roman"/>
          <w:color w:val="000000" w:themeColor="text1"/>
          <w:szCs w:val="24"/>
          <w:highlight w:val="none"/>
          <w14:textFill>
            <w14:solidFill>
              <w14:schemeClr w14:val="tx1"/>
            </w14:solidFill>
          </w14:textFill>
        </w:rPr>
        <w:t>施工中广泛使用。因此将钻井废水重复</w:t>
      </w:r>
      <w:r>
        <w:rPr>
          <w:rFonts w:hint="default" w:ascii="Times New Roman" w:hAnsi="Times New Roman" w:cs="Times New Roman"/>
          <w:color w:val="000000" w:themeColor="text1"/>
          <w:szCs w:val="24"/>
          <w:highlight w:val="none"/>
          <w:lang w:val="en-US" w:eastAsia="zh-CN"/>
          <w14:textFill>
            <w14:solidFill>
              <w14:schemeClr w14:val="tx1"/>
            </w14:solidFill>
          </w14:textFill>
        </w:rPr>
        <w:t>配置钻井</w:t>
      </w:r>
      <w:r>
        <w:rPr>
          <w:rFonts w:hint="default" w:ascii="Times New Roman" w:hAnsi="Times New Roman" w:cs="Times New Roman"/>
          <w:color w:val="000000" w:themeColor="text1"/>
          <w:szCs w:val="24"/>
          <w:highlight w:val="none"/>
          <w14:textFill>
            <w14:solidFill>
              <w14:schemeClr w14:val="tx1"/>
            </w14:solidFill>
          </w14:textFill>
        </w:rPr>
        <w:t>液是可行的。可以满足钻井作业废水的处置需求，符合《石油天然气开采业污染防治技术政策》中“在钻井和井下作业过程中，鼓励污油、污水进入生产流程循环利用”的要求，属清洁生产措施，已在钻井工程中得到广泛采用，技术较成熟，该措施技术有效、可行。</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4）剩余</w:t>
      </w:r>
      <w:r>
        <w:rPr>
          <w:rFonts w:hint="default" w:ascii="Times New Roman" w:hAnsi="Times New Roman" w:cs="Times New Roman"/>
          <w:color w:val="000000" w:themeColor="text1"/>
          <w:szCs w:val="24"/>
          <w:highlight w:val="none"/>
          <w14:textFill>
            <w14:solidFill>
              <w14:schemeClr w14:val="tx1"/>
            </w14:solidFill>
          </w14:textFill>
        </w:rPr>
        <w:t>钻井废水转运预处理和回注可行性分析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本项目拟将剩余</w:t>
      </w:r>
      <w:r>
        <w:rPr>
          <w:rFonts w:hint="default" w:ascii="Times New Roman" w:hAnsi="Times New Roman" w:cs="Times New Roman"/>
          <w:color w:val="000000" w:themeColor="text1"/>
          <w:szCs w:val="24"/>
          <w:highlight w:val="none"/>
          <w14:textFill>
            <w14:solidFill>
              <w14:schemeClr w14:val="tx1"/>
            </w14:solidFill>
          </w14:textFill>
        </w:rPr>
        <w:t>不可回用钻井废水用密闭罐车拉运至赵家坝污水处理站达标后管输至普光11井回注站回注，不外排。</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 1 \* GB3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①</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赵家坝产出水处理站依托可行性分析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赵家坝产出水处理站位于天然气净化厂内，属于普光主体工程，赵家坝污水处理站设计处理能力800m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/d，目前实际处理污水量为350m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/d，处理后的污水进入普光11井回注，污水处理系统采用“氧化除硫+混凝沉降+过滤”工艺，出水水质能够满足《气田水回注方法》（SY/T6596-2004）表1中标准。</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赵家坝污水处理站目前剩余处理能力为450m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/d，本项目未能回用的作业废水。根据产生量定期运输，根据周边钻井经验和采气期气田水产生情况，钻井期日运输量不超过50m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/d，同时在建项目处理量按照100m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/d计算，故赵家坝污水处理站也完全有能力处理本项目钻井期</w:t>
      </w:r>
      <w:r>
        <w:rPr>
          <w:rFonts w:hint="default" w:ascii="Times New Roman" w:hAnsi="Times New Roman" w:cs="Times New Roman"/>
          <w:color w:val="000000" w:themeColor="text1"/>
          <w:szCs w:val="24"/>
          <w:highlight w:val="none"/>
          <w14:textFill>
            <w14:solidFill>
              <w14:schemeClr w14:val="tx1"/>
            </w14:solidFill>
          </w14:textFill>
        </w:rPr>
        <w:t>不可回用钻井废水</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共计产生量为</w:t>
      </w:r>
      <w:r>
        <w:rPr>
          <w:rFonts w:hint="default" w:ascii="Times New Roman" w:hAnsi="Times New Roman" w:cs="Times New Roman"/>
          <w:color w:val="000000" w:themeColor="text1"/>
          <w:szCs w:val="24"/>
          <w:highlight w:val="none"/>
          <w14:textFill>
            <w14:solidFill>
              <w14:schemeClr w14:val="tx1"/>
            </w14:solidFill>
          </w14:textFill>
        </w:rPr>
        <w:t>351.32m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vertAlign w:val="baseli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 2 \* GB3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②</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普光11井污水回注站</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本项目经赵家坝污水处理站处理后的作业废水经处理达标后均通过普光11井回注地层。普光11井位于达州市宣汉县普光镇，天然气净化厂东1.6km处，属于普光主体工程，普光11井主要接收赵家坝污水站来水，约为350m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/d。该井站回注层位为飞仙关组（井段5552m～5716m），回注水量储集空间为132×10</w:t>
      </w:r>
      <w:r>
        <w:rPr>
          <w:rFonts w:hint="default" w:ascii="Times New Roman" w:hAnsi="Times New Roman" w:cs="Times New Roman"/>
          <w:bCs/>
          <w:color w:val="000000" w:themeColor="text1"/>
          <w:szCs w:val="24"/>
          <w:highlight w:val="none"/>
          <w:vertAlign w:val="superscript"/>
          <w14:textFill>
            <w14:solidFill>
              <w14:schemeClr w14:val="tx1"/>
            </w14:solidFill>
          </w14:textFill>
        </w:rPr>
        <w:t>4</w:t>
      </w:r>
      <w:r>
        <w:rPr>
          <w:rFonts w:hint="default" w:ascii="Times New Roman" w:hAnsi="Times New Roman" w:cs="Times New Roman"/>
          <w:bCs/>
          <w:color w:val="000000" w:themeColor="text1"/>
          <w:szCs w:val="24"/>
          <w:highlight w:val="none"/>
          <w14:textFill>
            <w14:solidFill>
              <w14:schemeClr w14:val="tx1"/>
            </w14:solidFill>
          </w14:textFill>
        </w:rPr>
        <w:t>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，井口高压管线设计压力为35MPa，目前回注压力4.5MPa，污水回注设计规模为800m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/d，目前回注量为350m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/d。累计注水65×10</w:t>
      </w:r>
      <w:r>
        <w:rPr>
          <w:rFonts w:hint="default" w:ascii="Times New Roman" w:hAnsi="Times New Roman" w:cs="Times New Roman"/>
          <w:bCs/>
          <w:color w:val="000000" w:themeColor="text1"/>
          <w:szCs w:val="24"/>
          <w:highlight w:val="none"/>
          <w:vertAlign w:val="superscript"/>
          <w14:textFill>
            <w14:solidFill>
              <w14:schemeClr w14:val="tx1"/>
            </w14:solidFill>
          </w14:textFill>
        </w:rPr>
        <w:t>4</w:t>
      </w:r>
      <w:r>
        <w:rPr>
          <w:rFonts w:hint="default" w:ascii="Times New Roman" w:hAnsi="Times New Roman" w:cs="Times New Roman"/>
          <w:bCs/>
          <w:color w:val="000000" w:themeColor="text1"/>
          <w:szCs w:val="24"/>
          <w:highlight w:val="none"/>
          <w14:textFill>
            <w14:solidFill>
              <w14:schemeClr w14:val="tx1"/>
            </w14:solidFill>
          </w14:textFill>
        </w:rPr>
        <w:t>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，剩余回注空间67×10</w:t>
      </w:r>
      <w:r>
        <w:rPr>
          <w:rFonts w:hint="default" w:ascii="Times New Roman" w:hAnsi="Times New Roman" w:cs="Times New Roman"/>
          <w:bCs/>
          <w:color w:val="000000" w:themeColor="text1"/>
          <w:szCs w:val="24"/>
          <w:highlight w:val="none"/>
          <w:vertAlign w:val="superscript"/>
          <w14:textFill>
            <w14:solidFill>
              <w14:schemeClr w14:val="tx1"/>
            </w14:solidFill>
          </w14:textFill>
        </w:rPr>
        <w:t>4</w:t>
      </w:r>
      <w:r>
        <w:rPr>
          <w:rFonts w:hint="default" w:ascii="Times New Roman" w:hAnsi="Times New Roman" w:cs="Times New Roman"/>
          <w:bCs/>
          <w:color w:val="000000" w:themeColor="text1"/>
          <w:szCs w:val="24"/>
          <w:highlight w:val="none"/>
          <w14:textFill>
            <w14:solidFill>
              <w14:schemeClr w14:val="tx1"/>
            </w14:solidFill>
          </w14:textFill>
        </w:rPr>
        <w:t>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因此本项目钻井期间普光11井有相应的回注能力及空间。因此，本项目未能回用完的作业废水和气田水可由赵家坝污水处理站通过“氧化除硫+混凝沉降+过滤”工艺处理本项目废水，处理后能够满足《气田水回注方法》（SY/T6596-2004）表1中标准，并且有足够处理能力，处理后能够通过普光11井回注地层，同时普光11井已稳定运行10年，地下空间结构稳定，运行期间未检测到地下空间发生结构变化，剩余日回注量远大于本项目日气田水产生量，剩余储集空间较大，满足回注要求。</w:t>
      </w:r>
    </w:p>
    <w:p>
      <w:pPr>
        <w:ind w:firstLine="480"/>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3、储层改造工程</w:t>
      </w:r>
    </w:p>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lang w:eastAsia="zh-CN"/>
          <w14:textFill>
            <w14:solidFill>
              <w14:schemeClr w14:val="tx1"/>
            </w14:solidFill>
          </w14:textFill>
        </w:rPr>
        <w:t>（</w:t>
      </w: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1）</w:t>
      </w:r>
      <w:r>
        <w:rPr>
          <w:rFonts w:hint="default" w:ascii="Times New Roman" w:hAnsi="Times New Roman" w:eastAsia="黑体" w:cs="Times New Roman"/>
          <w:color w:val="000000" w:themeColor="text1"/>
          <w:szCs w:val="24"/>
          <w:highlight w:val="none"/>
          <w14:textFill>
            <w14:solidFill>
              <w14:schemeClr w14:val="tx1"/>
            </w14:solidFill>
          </w14:textFill>
        </w:rPr>
        <w:t>治理措施</w:t>
      </w:r>
    </w:p>
    <w:p>
      <w:pPr>
        <w:ind w:firstLine="482"/>
        <w:rPr>
          <w:rFonts w:hint="default" w:ascii="Times New Roman" w:hAnsi="Times New Roman" w:eastAsia="宋体" w:cs="Times New Roman"/>
          <w:b/>
          <w:color w:val="000000" w:themeColor="text1"/>
          <w:szCs w:val="24"/>
          <w:highlight w:val="none"/>
          <w:lang w:val="en-US" w:eastAsia="zh-CN"/>
          <w14:textFill>
            <w14:solidFill>
              <w14:schemeClr w14:val="tx1"/>
            </w14:solidFill>
          </w14:textFill>
        </w:rPr>
      </w:pPr>
      <w:r>
        <w:rPr>
          <w:rFonts w:hint="default" w:ascii="Times New Roman" w:hAnsi="Times New Roman" w:cs="Times New Roman"/>
          <w:b/>
          <w:color w:val="000000" w:themeColor="text1"/>
          <w:szCs w:val="24"/>
          <w:highlight w:val="none"/>
          <w:lang w:val="en-US" w:eastAsia="zh-CN"/>
          <w14:textFill>
            <w14:solidFill>
              <w14:schemeClr w14:val="tx1"/>
            </w14:solidFill>
          </w14:textFill>
        </w:rPr>
        <w:t>1</w:t>
      </w:r>
      <w:r>
        <w:rPr>
          <w:rFonts w:hint="default" w:ascii="Times New Roman" w:hAnsi="Times New Roman" w:cs="Times New Roman"/>
          <w:b/>
          <w:color w:val="000000" w:themeColor="text1"/>
          <w:szCs w:val="24"/>
          <w:highlight w:val="none"/>
          <w14:textFill>
            <w14:solidFill>
              <w14:schemeClr w14:val="tx1"/>
            </w14:solidFill>
          </w14:textFill>
        </w:rPr>
        <w:t>）压裂返排液</w:t>
      </w:r>
      <w:r>
        <w:rPr>
          <w:rFonts w:hint="default" w:ascii="Times New Roman" w:hAnsi="Times New Roman" w:cs="Times New Roman"/>
          <w:b/>
          <w:color w:val="000000" w:themeColor="text1"/>
          <w:szCs w:val="24"/>
          <w:highlight w:val="none"/>
          <w:lang w:val="en-US" w:eastAsia="zh-CN"/>
          <w14:textFill>
            <w14:solidFill>
              <w14:schemeClr w14:val="tx1"/>
            </w14:solidFill>
          </w14:textFill>
        </w:rPr>
        <w:t>及洗井废水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62688" behindDoc="0" locked="0" layoutInCell="1" allowOverlap="1">
                <wp:simplePos x="0" y="0"/>
                <wp:positionH relativeFrom="column">
                  <wp:posOffset>3012440</wp:posOffset>
                </wp:positionH>
                <wp:positionV relativeFrom="paragraph">
                  <wp:posOffset>861060</wp:posOffset>
                </wp:positionV>
                <wp:extent cx="746760" cy="24892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746760" cy="248920"/>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洗井废水</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37.2pt;margin-top:67.8pt;height:19.6pt;width:58.8pt;z-index:251762688;mso-width-relative:page;mso-height-relative:page;" filled="f" stroked="f" coordsize="21600,21600" o:gfxdata="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BPRF3YAAAACwEAAA8A&#10;AAAAAAAAAQAgAAAAIgAAAGRycy9kb3ducmV2LnhtbFBLAQIUABQAAAAIAIdO4kACYsZhUAIAAIoE&#10;AAAOAAAAAAAAAAEAIAAAACcBAABkcnMvZTJvRG9jLnhtbFBLBQYAAAAABgAGAFkBAADpBQ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洗井废水</w:t>
                      </w:r>
                    </w:p>
                  </w:txbxContent>
                </v:textbox>
              </v:shape>
            </w:pict>
          </mc:Fallback>
        </mc:AlternateConten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完井阶段产生的洗井废水与</w:t>
      </w:r>
      <w:r>
        <w:rPr>
          <w:rFonts w:hint="default" w:ascii="Times New Roman" w:hAnsi="Times New Roman" w:cs="Times New Roman"/>
          <w:bCs/>
          <w:color w:val="000000" w:themeColor="text1"/>
          <w:szCs w:val="24"/>
          <w:highlight w:val="none"/>
          <w14:textFill>
            <w14:solidFill>
              <w14:schemeClr w14:val="tx1"/>
            </w14:solidFill>
          </w14:textFill>
        </w:rPr>
        <w:t>压裂返排液</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放喷时</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由放喷管排入压裂液储罐或放喷池，</w:t>
      </w:r>
      <w:r>
        <w:rPr>
          <w:rFonts w:hint="default" w:ascii="Times New Roman" w:hAnsi="Times New Roman" w:cs="Times New Roman"/>
          <w:color w:val="000000" w:themeColor="text1"/>
          <w:highlight w:val="none"/>
          <w:lang w:eastAsia="zh-CN"/>
          <w14:textFill>
            <w14:solidFill>
              <w14:schemeClr w14:val="tx1"/>
            </w14:solidFill>
          </w14:textFill>
        </w:rPr>
        <w:t>优先回用于周边其他井场压裂液配置</w:t>
      </w:r>
      <w:r>
        <w:rPr>
          <w:rFonts w:hint="default" w:ascii="Times New Roman" w:hAnsi="Times New Roman" w:cs="Times New Roman"/>
          <w:color w:val="000000" w:themeColor="text1"/>
          <w:highlight w:val="none"/>
          <w14:textFill>
            <w14:solidFill>
              <w14:schemeClr w14:val="tx1"/>
            </w14:solidFill>
          </w14:textFill>
        </w:rPr>
        <w:t>，不能回用的用罐车拉运至赵家坝污水处理站处理达标后经普光11井回注站回注</w:t>
      </w:r>
      <w:r>
        <w:rPr>
          <w:rFonts w:hint="default" w:ascii="Times New Roman" w:hAnsi="Times New Roman" w:cs="Times New Roman"/>
          <w:color w:val="000000" w:themeColor="text1"/>
          <w:szCs w:val="24"/>
          <w:highlight w:val="none"/>
          <w14:textFill>
            <w14:solidFill>
              <w14:schemeClr w14:val="tx1"/>
            </w14:solidFill>
          </w14:textFill>
        </w:rPr>
        <w:t>，不外排。</w:t>
      </w:r>
    </w:p>
    <w:p>
      <w:pPr>
        <w:pStyle w:val="93"/>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63712" behindDoc="0" locked="0" layoutInCell="1" allowOverlap="1">
                <wp:simplePos x="0" y="0"/>
                <wp:positionH relativeFrom="column">
                  <wp:posOffset>2884805</wp:posOffset>
                </wp:positionH>
                <wp:positionV relativeFrom="paragraph">
                  <wp:posOffset>696595</wp:posOffset>
                </wp:positionV>
                <wp:extent cx="0" cy="294005"/>
                <wp:effectExtent l="50800" t="0" r="50800" b="10795"/>
                <wp:wrapNone/>
                <wp:docPr id="74" name="直接箭头连接符 74"/>
                <wp:cNvGraphicFramePr/>
                <a:graphic xmlns:a="http://schemas.openxmlformats.org/drawingml/2006/main">
                  <a:graphicData uri="http://schemas.microsoft.com/office/word/2010/wordprocessingShape">
                    <wps:wsp>
                      <wps:cNvCnPr/>
                      <wps:spPr>
                        <a:xfrm>
                          <a:off x="4027805" y="7856220"/>
                          <a:ext cx="0" cy="294005"/>
                        </a:xfrm>
                        <a:prstGeom prst="straightConnector1">
                          <a:avLst/>
                        </a:prstGeom>
                        <a:ln>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7.15pt;margin-top:54.85pt;height:23.15pt;width:0pt;z-index:251763712;mso-width-relative:page;mso-height-relative:page;" filled="f" stroked="t" coordsize="21600,21600" o:gfxdata="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RioUnXAAAACwEAAA8AAAAA&#10;AAAAAQAgAAAAIgAAAGRycy9kb3ducmV2LnhtbFBLAQIUABQAAAAIAIdO4kD4G9gYFQIAAOwDAAAO&#10;AAAAAAAAAAEAIAAAACYBAABkcnMvZTJvRG9jLnhtbFBLBQYAAAAABgAGAFkBAACtBQAAAAA=&#10;">
                <v:fill on="f" focussize="0,0"/>
                <v:stroke weight="1pt" color="#00B050 [3204]" miterlimit="8" joinstyle="miter" endarrow="open"/>
                <v:imagedata o:title=""/>
                <o:lock v:ext="edit" aspectratio="f"/>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3590925</wp:posOffset>
                </wp:positionH>
                <wp:positionV relativeFrom="paragraph">
                  <wp:posOffset>58420</wp:posOffset>
                </wp:positionV>
                <wp:extent cx="699770" cy="248920"/>
                <wp:effectExtent l="4445" t="5080" r="6985" b="12700"/>
                <wp:wrapNone/>
                <wp:docPr id="72" name="文本框 72"/>
                <wp:cNvGraphicFramePr/>
                <a:graphic xmlns:a="http://schemas.openxmlformats.org/drawingml/2006/main">
                  <a:graphicData uri="http://schemas.microsoft.com/office/word/2010/wordprocessingShape">
                    <wps:wsp>
                      <wps:cNvSpPr txBox="1"/>
                      <wps:spPr>
                        <a:xfrm>
                          <a:off x="0" y="0"/>
                          <a:ext cx="699770" cy="248920"/>
                        </a:xfrm>
                        <a:prstGeom prst="rect">
                          <a:avLst/>
                        </a:prstGeom>
                        <a:noFill/>
                        <a:ln w="9525">
                          <a:solidFill>
                            <a:schemeClr val="tx1"/>
                          </a:solid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完井作业</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82.75pt;margin-top:4.6pt;height:19.6pt;width:55.1pt;z-index:251757568;mso-width-relative:page;mso-height-relative:page;" filled="f" stroked="t" coordsize="21600,21600" o:gfxdata="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Bm1QdcAAAAIAQAADwAAAAAAAAABACAAAAAiAAAAZHJzL2Rvd25yZXYueG1sUEsBAhQAFAAA&#10;AAgAh07iQG+XtkNiAgAAswQAAA4AAAAAAAAAAQAgAAAAJgEAAGRycy9lMm9Eb2MueG1sUEsFBgAA&#10;AAAGAAYAWQEAAPoFAAAAAA==&#10;">
                <v:fill on="f" focussize="0,0"/>
                <v:stroke color="#000000 [3213]"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sz w:val="15"/>
                          <w:szCs w:val="15"/>
                          <w:lang w:val="en-US" w:eastAsia="zh-CN"/>
                        </w:rPr>
                      </w:pPr>
                      <w:r>
                        <w:rPr>
                          <w:rFonts w:hint="eastAsia"/>
                          <w:sz w:val="15"/>
                          <w:szCs w:val="15"/>
                          <w:lang w:val="en-US" w:eastAsia="zh-CN"/>
                        </w:rPr>
                        <w:t>完井作业</w:t>
                      </w:r>
                    </w:p>
                  </w:txbxContent>
                </v:textbox>
              </v:shape>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61664" behindDoc="0" locked="0" layoutInCell="1" allowOverlap="1">
                <wp:simplePos x="0" y="0"/>
                <wp:positionH relativeFrom="column">
                  <wp:posOffset>3119120</wp:posOffset>
                </wp:positionH>
                <wp:positionV relativeFrom="paragraph">
                  <wp:posOffset>166370</wp:posOffset>
                </wp:positionV>
                <wp:extent cx="480060" cy="5080"/>
                <wp:effectExtent l="0" t="46355" r="2540" b="50165"/>
                <wp:wrapNone/>
                <wp:docPr id="69" name="直接箭头连接符 69"/>
                <wp:cNvGraphicFramePr/>
                <a:graphic xmlns:a="http://schemas.openxmlformats.org/drawingml/2006/main">
                  <a:graphicData uri="http://schemas.microsoft.com/office/word/2010/wordprocessingShape">
                    <wps:wsp>
                      <wps:cNvCnPr/>
                      <wps:spPr>
                        <a:xfrm flipH="1">
                          <a:off x="0" y="0"/>
                          <a:ext cx="480060" cy="508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45.6pt;margin-top:13.1pt;height:0.4pt;width:37.8pt;z-index:251761664;mso-width-relative:page;mso-height-relative:page;" filled="f" stroked="t" coordsize="21600,21600" o:gfxdata="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drp//WAAAACQEAAA8AAAAAAAAAAQAg&#10;AAAAIgAAAGRycy9kb3ducmV2LnhtbFBLAQIUABQAAAAIAIdO4kCRZFRgEAIAAO0DAAAOAAAAAAAA&#10;AAEAIAAAACUBAABkcnMvZTJvRG9jLnhtbFBLBQYAAAAABgAGAFkBAACnBQAAAAA=&#10;">
                <v:fill on="f" focussize="0,0"/>
                <v:stroke weight="1pt" color="#FF0000 [3204]" miterlimit="8" joinstyle="miter" endarrow="open"/>
                <v:imagedata o:title=""/>
                <o:lock v:ext="edit" aspectratio="f"/>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071745" cy="791210"/>
            <wp:effectExtent l="0" t="0" r="8255" b="8890"/>
            <wp:docPr id="1218262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62087" name="图片 1"/>
                    <pic:cNvPicPr>
                      <a:picLocks noChangeAspect="1" noChangeArrowheads="1"/>
                    </pic:cNvPicPr>
                  </pic:nvPicPr>
                  <pic:blipFill>
                    <a:blip r:embed="rId110">
                      <a:extLst>
                        <a:ext uri="{28A0092B-C50C-407E-A947-70E740481C1C}">
                          <a14:useLocalDpi xmlns:a14="http://schemas.microsoft.com/office/drawing/2010/main" val="0"/>
                        </a:ext>
                      </a:extLst>
                    </a:blip>
                    <a:srcRect l="6318"/>
                    <a:stretch>
                      <a:fillRect/>
                    </a:stretch>
                  </pic:blipFill>
                  <pic:spPr>
                    <a:xfrm>
                      <a:off x="0" y="0"/>
                      <a:ext cx="5124850" cy="799832"/>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2274570</wp:posOffset>
                </wp:positionH>
                <wp:positionV relativeFrom="paragraph">
                  <wp:posOffset>168275</wp:posOffset>
                </wp:positionV>
                <wp:extent cx="1239520" cy="34480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239520" cy="344805"/>
                        </a:xfrm>
                        <a:prstGeom prst="rect">
                          <a:avLst/>
                        </a:prstGeom>
                        <a:noFill/>
                        <a:ln w="9525">
                          <a:noFill/>
                          <a:miter lim="800000"/>
                        </a:ln>
                      </wps:spPr>
                      <wps:txb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sz w:val="15"/>
                                <w:szCs w:val="15"/>
                                <w:lang w:val="en-US" w:eastAsia="zh-CN"/>
                              </w:rPr>
                            </w:pPr>
                            <w:r>
                              <w:rPr>
                                <w:rFonts w:hint="default"/>
                                <w:sz w:val="15"/>
                                <w:szCs w:val="15"/>
                                <w:lang w:val="en-US" w:eastAsia="zh-CN"/>
                              </w:rPr>
                              <w:t>优先回用于</w:t>
                            </w:r>
                            <w:r>
                              <w:rPr>
                                <w:rFonts w:hint="eastAsia"/>
                                <w:sz w:val="15"/>
                                <w:szCs w:val="15"/>
                                <w:lang w:val="en-US" w:eastAsia="zh-CN"/>
                              </w:rPr>
                              <w:t>其他井场压裂液配置</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79.1pt;margin-top:13.25pt;height:27.15pt;width:97.6pt;z-index:251758592;mso-width-relative:page;mso-height-relative:page;" filled="f" stroked="f" coordsize="21600,21600" o:gfxdata="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h8Xhn1wAAAAkBAAAPAAAA&#10;AAAAAAEAIAAAACIAAABkcnMvZG93bnJldi54bWxQSwECFAAUAAAACACHTuJAYVhf/U8CAACLBAAA&#10;DgAAAAAAAAABACAAAAAmAQAAZHJzL2Uyb0RvYy54bWxQSwUGAAAAAAYABgBZAQAA5wUAAAAA&#10;">
                <v:fill on="f" focussize="0,0"/>
                <v:stroke on="f" miterlimit="8" joinstyle="miter"/>
                <v:imagedata o:title=""/>
                <o:lock v:ext="edit" aspectratio="f"/>
                <v:textbox>
                  <w:txbxContent>
                    <w:p>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sz w:val="15"/>
                          <w:szCs w:val="15"/>
                          <w:lang w:val="en-US" w:eastAsia="zh-CN"/>
                        </w:rPr>
                      </w:pPr>
                      <w:r>
                        <w:rPr>
                          <w:rFonts w:hint="default"/>
                          <w:sz w:val="15"/>
                          <w:szCs w:val="15"/>
                          <w:lang w:val="en-US" w:eastAsia="zh-CN"/>
                        </w:rPr>
                        <w:t>优先回用于</w:t>
                      </w:r>
                      <w:r>
                        <w:rPr>
                          <w:rFonts w:hint="eastAsia"/>
                          <w:sz w:val="15"/>
                          <w:szCs w:val="15"/>
                          <w:lang w:val="en-US" w:eastAsia="zh-CN"/>
                        </w:rPr>
                        <w:t>其他井场压裂液配置</w:t>
                      </w:r>
                    </w:p>
                  </w:txbxContent>
                </v:textbox>
              </v:shape>
            </w:pict>
          </mc:Fallback>
        </mc:AlternateContent>
      </w:r>
    </w:p>
    <w:p>
      <w:pPr>
        <w:pStyle w:val="163"/>
        <w:rPr>
          <w:rFonts w:hint="default" w:ascii="Times New Roman" w:hAnsi="Times New Roman" w:cs="Times New Roman"/>
          <w:color w:val="000000" w:themeColor="text1"/>
          <w:highlight w:val="none"/>
          <w14:textFill>
            <w14:solidFill>
              <w14:schemeClr w14:val="tx1"/>
            </w14:solidFill>
          </w14:textFill>
        </w:rPr>
      </w:pPr>
    </w:p>
    <w:p>
      <w:pPr>
        <w:pStyle w:val="163"/>
        <w:rPr>
          <w:rFonts w:hint="default" w:ascii="Times New Roman" w:hAnsi="Times New Roman" w:cs="Times New Roman"/>
          <w:color w:val="000000" w:themeColor="text1"/>
          <w:highlight w:val="none"/>
          <w14:textFill>
            <w14:solidFill>
              <w14:schemeClr w14:val="tx1"/>
            </w14:solidFill>
          </w14:textFill>
        </w:rPr>
      </w:pP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项目压裂返排液</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洗井废水</w:t>
      </w:r>
      <w:r>
        <w:rPr>
          <w:rFonts w:hint="default" w:ascii="Times New Roman" w:hAnsi="Times New Roman" w:cs="Times New Roman"/>
          <w:color w:val="000000" w:themeColor="text1"/>
          <w:highlight w:val="none"/>
          <w14:textFill>
            <w14:solidFill>
              <w14:schemeClr w14:val="tx1"/>
            </w14:solidFill>
          </w14:textFill>
        </w:rPr>
        <w:t>回收利用工艺流程图</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zCs w:val="24"/>
          <w:highlight w:val="none"/>
          <w14:textFill>
            <w14:solidFill>
              <w14:schemeClr w14:val="tx1"/>
            </w14:solidFill>
          </w14:textFill>
        </w:rPr>
        <w:t>）生活污水</w:t>
      </w:r>
    </w:p>
    <w:p>
      <w:pPr>
        <w:ind w:firstLine="480"/>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储层改造</w:t>
      </w:r>
      <w:r>
        <w:rPr>
          <w:rFonts w:hint="default" w:ascii="Times New Roman" w:hAnsi="Times New Roman" w:cs="Times New Roman"/>
          <w:color w:val="000000" w:themeColor="text1"/>
          <w:szCs w:val="24"/>
          <w:highlight w:val="none"/>
          <w14:textFill>
            <w14:solidFill>
              <w14:schemeClr w14:val="tx1"/>
            </w14:solidFill>
          </w14:textFill>
        </w:rPr>
        <w:t>期间</w:t>
      </w:r>
      <w:r>
        <w:rPr>
          <w:rFonts w:hint="default" w:ascii="Times New Roman" w:hAnsi="Times New Roman" w:cs="Times New Roman"/>
          <w:bCs/>
          <w:color w:val="000000" w:themeColor="text1"/>
          <w:szCs w:val="24"/>
          <w:highlight w:val="none"/>
          <w14:textFill>
            <w14:solidFill>
              <w14:schemeClr w14:val="tx1"/>
            </w14:solidFill>
          </w14:textFill>
        </w:rPr>
        <w:t>钻</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施工人员</w:t>
      </w:r>
      <w:r>
        <w:rPr>
          <w:rFonts w:hint="default" w:ascii="Times New Roman" w:hAnsi="Times New Roman" w:cs="Times New Roman"/>
          <w:bCs/>
          <w:color w:val="000000" w:themeColor="text1"/>
          <w:szCs w:val="24"/>
          <w:highlight w:val="none"/>
          <w14:textFill>
            <w14:solidFill>
              <w14:schemeClr w14:val="tx1"/>
            </w14:solidFill>
          </w14:textFill>
        </w:rPr>
        <w:t>生活污水</w:t>
      </w:r>
      <w:r>
        <w:rPr>
          <w:rFonts w:hint="default" w:ascii="Times New Roman" w:hAnsi="Times New Roman" w:cs="Times New Roman"/>
          <w:color w:val="000000" w:themeColor="text1"/>
          <w:szCs w:val="24"/>
          <w:highlight w:val="none"/>
          <w14:textFill>
            <w14:solidFill>
              <w14:schemeClr w14:val="tx1"/>
            </w14:solidFill>
          </w14:textFill>
        </w:rPr>
        <w:t>经生态厕所收集后定期由密闭罐车拉运至周边生活污水处理厂处理。</w:t>
      </w:r>
      <w:r>
        <w:rPr>
          <w:rFonts w:hint="default" w:ascii="Times New Roman" w:hAnsi="Times New Roman" w:cs="Times New Roman"/>
          <w:color w:val="000000" w:themeColor="text1"/>
          <w:szCs w:val="24"/>
          <w:highlight w:val="none"/>
          <w:lang w:val="en-US" w:eastAsia="zh-CN"/>
          <w14:textFill>
            <w14:solidFill>
              <w14:schemeClr w14:val="tx1"/>
            </w14:solidFill>
          </w14:textFill>
        </w:rPr>
        <w:t>该措施做到</w:t>
      </w:r>
      <w:r>
        <w:rPr>
          <w:rFonts w:hint="default" w:ascii="Times New Roman" w:hAnsi="Times New Roman" w:cs="Times New Roman"/>
          <w:color w:val="000000" w:themeColor="text1"/>
          <w:szCs w:val="24"/>
          <w:highlight w:val="none"/>
          <w14:textFill>
            <w14:solidFill>
              <w14:schemeClr w14:val="tx1"/>
            </w14:solidFill>
          </w14:textFill>
        </w:rPr>
        <w:t>现场无生活污水产生和排放，不会对井场周边地表水产生影响</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措施可行。</w:t>
      </w:r>
    </w:p>
    <w:p>
      <w:pPr>
        <w:ind w:firstLine="480"/>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黑体" w:cs="Times New Roman"/>
          <w:color w:val="000000" w:themeColor="text1"/>
          <w:szCs w:val="24"/>
          <w:highlight w:val="none"/>
          <w:lang w:eastAsia="zh-CN"/>
          <w14:textFill>
            <w14:solidFill>
              <w14:schemeClr w14:val="tx1"/>
            </w14:solidFill>
          </w14:textFill>
        </w:rPr>
        <w:t>（</w:t>
      </w: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2）</w:t>
      </w:r>
      <w:r>
        <w:rPr>
          <w:rFonts w:hint="default" w:ascii="Times New Roman" w:hAnsi="Times New Roman" w:eastAsia="黑体" w:cs="Times New Roman"/>
          <w:color w:val="000000" w:themeColor="text1"/>
          <w:szCs w:val="24"/>
          <w:highlight w:val="none"/>
          <w14:textFill>
            <w14:solidFill>
              <w14:schemeClr w14:val="tx1"/>
            </w14:solidFill>
          </w14:textFill>
        </w:rPr>
        <w:t>治理措施</w:t>
      </w:r>
      <w:r>
        <w:rPr>
          <w:rFonts w:hint="default" w:ascii="Times New Roman" w:hAnsi="Times New Roman" w:eastAsia="黑体" w:cs="Times New Roman"/>
          <w:color w:val="000000" w:themeColor="text1"/>
          <w:szCs w:val="24"/>
          <w:highlight w:val="none"/>
          <w:lang w:val="en-US" w:eastAsia="zh-CN"/>
          <w14:textFill>
            <w14:solidFill>
              <w14:schemeClr w14:val="tx1"/>
            </w14:solidFill>
          </w14:textFill>
        </w:rPr>
        <w:t>可行性分析</w:t>
      </w:r>
    </w:p>
    <w:p>
      <w:pPr>
        <w:ind w:firstLine="482"/>
        <w:rPr>
          <w:rFonts w:hint="default" w:ascii="Times New Roman" w:hAnsi="Times New Roman" w:cs="Times New Roman"/>
          <w:b/>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Cs w:val="24"/>
          <w:highlight w:val="none"/>
          <w:lang w:val="en-US" w:eastAsia="zh-CN"/>
          <w14:textFill>
            <w14:solidFill>
              <w14:schemeClr w14:val="tx1"/>
            </w14:solidFill>
          </w14:textFill>
        </w:rPr>
        <w:t>1）污水收集处理设施可行性分析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bookmarkStart w:id="411" w:name="_Hlk89361389"/>
      <w:r>
        <w:rPr>
          <w:rFonts w:hint="default" w:ascii="Times New Roman" w:hAnsi="Times New Roman" w:cs="Times New Roman"/>
          <w:color w:val="000000" w:themeColor="text1"/>
          <w:szCs w:val="24"/>
          <w:highlight w:val="none"/>
          <w14:textFill>
            <w14:solidFill>
              <w14:schemeClr w14:val="tx1"/>
            </w14:solidFill>
          </w14:textFill>
        </w:rPr>
        <w:t>经固控设备固液分离后洗井废水产生量最大为100m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，井场的泥浆不落地装置与放喷池的容量能满足井场洗井期的生产需求。</w:t>
      </w:r>
      <w:bookmarkEnd w:id="411"/>
    </w:p>
    <w:p>
      <w:pPr>
        <w:ind w:firstLine="480"/>
        <w:rPr>
          <w:rFonts w:hint="default" w:ascii="Times New Roman" w:hAnsi="Times New Roman" w:cs="Times New Roman"/>
          <w:color w:val="000000" w:themeColor="text1"/>
          <w:szCs w:val="24"/>
          <w:highlight w:val="none"/>
          <w14:textFill>
            <w14:solidFill>
              <w14:schemeClr w14:val="tx1"/>
            </w14:solidFill>
          </w14:textFill>
        </w:rPr>
      </w:pPr>
      <w:bookmarkStart w:id="412" w:name="_Hlk92200258"/>
      <w:r>
        <w:rPr>
          <w:rFonts w:hint="default" w:ascii="Times New Roman" w:hAnsi="Times New Roman" w:cs="Times New Roman"/>
          <w:color w:val="000000" w:themeColor="text1"/>
          <w:szCs w:val="24"/>
          <w:highlight w:val="none"/>
          <w14:textFill>
            <w14:solidFill>
              <w14:schemeClr w14:val="tx1"/>
            </w14:solidFill>
          </w14:textFill>
        </w:rPr>
        <w:t>完井测试分段压裂产生的加砂压裂返排液大部分进入压裂液储罐，少量进入放喷池，进入放喷池内的返排液全部泵入压裂液储罐。</w:t>
      </w:r>
      <w:r>
        <w:rPr>
          <w:rFonts w:hint="default" w:ascii="Times New Roman" w:hAnsi="Times New Roman" w:cs="Times New Roman"/>
          <w:color w:val="000000" w:themeColor="text1"/>
          <w:szCs w:val="24"/>
          <w:highlight w:val="none"/>
          <w:lang w:val="en-US" w:eastAsia="zh-CN"/>
          <w14:textFill>
            <w14:solidFill>
              <w14:schemeClr w14:val="tx1"/>
            </w14:solidFill>
          </w14:textFill>
        </w:rPr>
        <w:t>压裂返排液产生时及时拉运出井场，</w:t>
      </w:r>
      <w:r>
        <w:rPr>
          <w:rFonts w:hint="default" w:ascii="Times New Roman" w:hAnsi="Times New Roman" w:cs="Times New Roman"/>
          <w:color w:val="000000" w:themeColor="text1"/>
          <w:szCs w:val="24"/>
          <w:highlight w:val="none"/>
          <w14:textFill>
            <w14:solidFill>
              <w14:schemeClr w14:val="tx1"/>
            </w14:solidFill>
          </w14:textFill>
        </w:rPr>
        <w:t>现场需要暂存的压裂返排液量相对较小，压裂液返排前期可由已空置的压裂液储罐进行收集储存，由于地层吸收损耗及放喷蒸发，返排液量远小于入井液量，压裂液罐总容积大于压裂返排液返排量，</w:t>
      </w:r>
      <w:bookmarkStart w:id="413" w:name="_Hlk92200417"/>
      <w:r>
        <w:rPr>
          <w:rFonts w:hint="default" w:ascii="Times New Roman" w:hAnsi="Times New Roman" w:cs="Times New Roman"/>
          <w:color w:val="000000" w:themeColor="text1"/>
          <w:szCs w:val="24"/>
          <w:highlight w:val="none"/>
          <w14:textFill>
            <w14:solidFill>
              <w14:schemeClr w14:val="tx1"/>
            </w14:solidFill>
          </w14:textFill>
        </w:rPr>
        <w:t>满足储存要求。</w:t>
      </w:r>
      <w:bookmarkEnd w:id="413"/>
      <w:r>
        <w:rPr>
          <w:rFonts w:hint="default" w:ascii="Times New Roman" w:hAnsi="Times New Roman" w:cs="Times New Roman"/>
          <w:color w:val="000000" w:themeColor="text1"/>
          <w:szCs w:val="24"/>
          <w:highlight w:val="none"/>
          <w14:textFill>
            <w14:solidFill>
              <w14:schemeClr w14:val="tx1"/>
            </w14:solidFill>
          </w14:textFill>
        </w:rPr>
        <w:t>项目在井场周围设置了放喷池2座，单个放喷池容积为300m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由于放喷池主要起接收中转压裂返排液作用，压裂返排液暂存在空置的压裂液储罐，因此只要及时对放喷池废水及时抽吸至压裂液储罐，井场的放喷池的容量就能满足井场整个压裂期的生产需求。放喷池底部及四周铺设复合防水卷材（聚乙烯丙纶复合卷材）作防渗漏处理，防水卷材搭接长度不小于150mm，阴角处做处理，防止卷材折断。</w:t>
      </w:r>
    </w:p>
    <w:bookmarkEnd w:id="412"/>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highlight w:val="none"/>
          <w:lang w:val="en-US" w:eastAsia="zh-CN"/>
          <w14:textFill>
            <w14:solidFill>
              <w14:schemeClr w14:val="tx1"/>
            </w14:solidFill>
          </w14:textFill>
        </w:rPr>
        <w:t>储层改造</w:t>
      </w:r>
      <w:r>
        <w:rPr>
          <w:rFonts w:hint="default" w:ascii="Times New Roman" w:hAnsi="Times New Roman" w:cs="Times New Roman"/>
          <w:bCs/>
          <w:color w:val="000000" w:themeColor="text1"/>
          <w:highlight w:val="none"/>
          <w14:textFill>
            <w14:solidFill>
              <w14:schemeClr w14:val="tx1"/>
            </w14:solidFill>
          </w14:textFill>
        </w:rPr>
        <w:t>期生活污水经生态厕所收集后定期由密闭罐车拉运至周边生活污水处理厂处理</w:t>
      </w:r>
      <w:r>
        <w:rPr>
          <w:rFonts w:hint="default" w:ascii="Times New Roman" w:hAnsi="Times New Roman" w:cs="Times New Roman"/>
          <w:color w:val="000000" w:themeColor="text1"/>
          <w:szCs w:val="24"/>
          <w:highlight w:val="none"/>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项目</w:t>
      </w:r>
      <w:r>
        <w:rPr>
          <w:rFonts w:hint="default" w:ascii="Times New Roman" w:hAnsi="Times New Roman" w:cs="Times New Roman"/>
          <w:color w:val="000000" w:themeColor="text1"/>
          <w:szCs w:val="24"/>
          <w:highlight w:val="none"/>
          <w14:textFill>
            <w14:solidFill>
              <w14:schemeClr w14:val="tx1"/>
            </w14:solidFill>
          </w14:textFill>
        </w:rPr>
        <w:t>钻井期</w:t>
      </w:r>
      <w:r>
        <w:rPr>
          <w:rFonts w:hint="default" w:ascii="Times New Roman" w:hAnsi="Times New Roman" w:cs="Times New Roman"/>
          <w:color w:val="000000" w:themeColor="text1"/>
          <w:szCs w:val="24"/>
          <w:highlight w:val="none"/>
          <w:lang w:val="en-US" w:eastAsia="zh-CN"/>
          <w14:textFill>
            <w14:solidFill>
              <w14:schemeClr w14:val="tx1"/>
            </w14:solidFill>
          </w14:textFill>
        </w:rPr>
        <w:t>已建设的</w:t>
      </w:r>
      <w:r>
        <w:rPr>
          <w:rFonts w:hint="default" w:ascii="Times New Roman" w:hAnsi="Times New Roman" w:cs="Times New Roman"/>
          <w:color w:val="000000" w:themeColor="text1"/>
          <w:szCs w:val="24"/>
          <w:highlight w:val="none"/>
          <w14:textFill>
            <w14:solidFill>
              <w14:schemeClr w14:val="tx1"/>
            </w14:solidFill>
          </w14:textFill>
        </w:rPr>
        <w:t>生态厕所能满足50人入厕需求，本项目</w:t>
      </w:r>
      <w:r>
        <w:rPr>
          <w:rFonts w:hint="default" w:ascii="Times New Roman" w:hAnsi="Times New Roman" w:cs="Times New Roman"/>
          <w:color w:val="000000" w:themeColor="text1"/>
          <w:szCs w:val="24"/>
          <w:highlight w:val="none"/>
          <w:lang w:val="en-US" w:eastAsia="zh-CN"/>
          <w14:textFill>
            <w14:solidFill>
              <w14:schemeClr w14:val="tx1"/>
            </w14:solidFill>
          </w14:textFill>
        </w:rPr>
        <w:t>储层改造期</w:t>
      </w:r>
      <w:r>
        <w:rPr>
          <w:rFonts w:hint="default" w:ascii="Times New Roman" w:hAnsi="Times New Roman" w:cs="Times New Roman"/>
          <w:color w:val="000000" w:themeColor="text1"/>
          <w:szCs w:val="24"/>
          <w:highlight w:val="none"/>
          <w14:textFill>
            <w14:solidFill>
              <w14:schemeClr w14:val="tx1"/>
            </w14:solidFill>
          </w14:textFill>
        </w:rPr>
        <w:t>最多人员为4</w:t>
      </w:r>
      <w:r>
        <w:rPr>
          <w:rFonts w:hint="default" w:ascii="Times New Roman" w:hAnsi="Times New Roman" w:cs="Times New Roman"/>
          <w:color w:val="000000" w:themeColor="text1"/>
          <w:szCs w:val="24"/>
          <w:highlight w:val="none"/>
          <w:lang w:val="en-US" w:eastAsia="zh-CN"/>
          <w14:textFill>
            <w14:solidFill>
              <w14:schemeClr w14:val="tx1"/>
            </w14:solidFill>
          </w14:textFill>
        </w:rPr>
        <w:t>0</w:t>
      </w:r>
      <w:r>
        <w:rPr>
          <w:rFonts w:hint="default" w:ascii="Times New Roman" w:hAnsi="Times New Roman" w:cs="Times New Roman"/>
          <w:color w:val="000000" w:themeColor="text1"/>
          <w:szCs w:val="24"/>
          <w:highlight w:val="none"/>
          <w14:textFill>
            <w14:solidFill>
              <w14:schemeClr w14:val="tx1"/>
            </w14:solidFill>
          </w14:textFill>
        </w:rPr>
        <w:t>人，且加强管理，定期拉运后，生态厕所满足使用需求。</w:t>
      </w:r>
    </w:p>
    <w:p>
      <w:pPr>
        <w:ind w:firstLine="482"/>
        <w:rPr>
          <w:rFonts w:hint="default" w:ascii="Times New Roman" w:hAnsi="Times New Roman" w:cs="Times New Roman"/>
          <w:b/>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Cs w:val="24"/>
          <w:highlight w:val="none"/>
          <w:lang w:val="en-US" w:eastAsia="zh-CN"/>
          <w14:textFill>
            <w14:solidFill>
              <w14:schemeClr w14:val="tx1"/>
            </w14:solidFill>
          </w14:textFill>
        </w:rPr>
        <w:t>2）洗井废水、压裂返排液回用可行性分析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用于配置压裂液的液体经去除杂质、添加药剂等简单处理后即可重复使用，</w:t>
      </w:r>
      <w:r>
        <w:rPr>
          <w:rFonts w:hint="default" w:ascii="Times New Roman" w:hAnsi="Times New Roman" w:cs="Times New Roman"/>
          <w:color w:val="000000" w:themeColor="text1"/>
          <w:szCs w:val="24"/>
          <w:highlight w:val="none"/>
          <w:lang w:val="en-US" w:eastAsia="zh-CN"/>
          <w14:textFill>
            <w14:solidFill>
              <w14:schemeClr w14:val="tx1"/>
            </w14:solidFill>
          </w14:textFill>
        </w:rPr>
        <w:t>项目产生</w:t>
      </w:r>
      <w:r>
        <w:rPr>
          <w:rFonts w:hint="default" w:ascii="Times New Roman" w:hAnsi="Times New Roman" w:cs="Times New Roman"/>
          <w:color w:val="000000" w:themeColor="text1"/>
          <w:szCs w:val="24"/>
          <w:highlight w:val="none"/>
          <w14:textFill>
            <w14:solidFill>
              <w14:schemeClr w14:val="tx1"/>
            </w14:solidFill>
          </w14:textFill>
        </w:rPr>
        <w:t>的经固液分离后的洗井废水和压返液水质简单，悬浮物和油含量低，在配置压裂液前经简单预处理即符合压裂液配置要求。将洗井废水和压返液重复配置压裂液，已经属成熟工艺，在压裂施工中广泛使用。因此将洗井废水和压返液重复配置压裂液是可行的。</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压裂返排液使用指标及回用要求如下：降阻水：固相含量≤1000mg/L、氯根含量≤50000mg/L、铁细菌TGB≤2.5×10</w:t>
      </w:r>
      <w:r>
        <w:rPr>
          <w:rFonts w:hint="default" w:ascii="Times New Roman" w:hAnsi="Times New Roman" w:cs="Times New Roman"/>
          <w:color w:val="000000" w:themeColor="text1"/>
          <w:szCs w:val="24"/>
          <w:highlight w:val="none"/>
          <w:vertAlign w:val="superscript"/>
          <w14:textFill>
            <w14:solidFill>
              <w14:schemeClr w14:val="tx1"/>
            </w14:solidFill>
          </w14:textFill>
        </w:rPr>
        <w:t>4</w:t>
      </w:r>
      <w:r>
        <w:rPr>
          <w:rFonts w:hint="default" w:ascii="Times New Roman" w:hAnsi="Times New Roman" w:cs="Times New Roman"/>
          <w:color w:val="000000" w:themeColor="text1"/>
          <w:szCs w:val="24"/>
          <w:highlight w:val="none"/>
          <w14:textFill>
            <w14:solidFill>
              <w14:schemeClr w14:val="tx1"/>
            </w14:solidFill>
          </w14:textFill>
        </w:rPr>
        <w:t>个/mg、腐生菌≤2.5×10</w:t>
      </w:r>
      <w:r>
        <w:rPr>
          <w:rFonts w:hint="default" w:ascii="Times New Roman" w:hAnsi="Times New Roman" w:cs="Times New Roman"/>
          <w:color w:val="000000" w:themeColor="text1"/>
          <w:szCs w:val="24"/>
          <w:highlight w:val="none"/>
          <w:vertAlign w:val="superscript"/>
          <w14:textFill>
            <w14:solidFill>
              <w14:schemeClr w14:val="tx1"/>
            </w14:solidFill>
          </w14:textFill>
        </w:rPr>
        <w:t>4</w:t>
      </w:r>
      <w:r>
        <w:rPr>
          <w:rFonts w:hint="default" w:ascii="Times New Roman" w:hAnsi="Times New Roman" w:cs="Times New Roman"/>
          <w:color w:val="000000" w:themeColor="text1"/>
          <w:szCs w:val="24"/>
          <w:highlight w:val="none"/>
          <w14:textFill>
            <w14:solidFill>
              <w14:schemeClr w14:val="tx1"/>
            </w14:solidFill>
          </w14:textFill>
        </w:rPr>
        <w:t>个/mg，瓜胶压裂返排液除上述指标外，增加以钙离子计算的总硬度≤800mg/L。本项目洗井废水和压裂返排液中固相含量＜500mg/L、氯根含量≤4000mg/L、总硬度≤800mg/L，铁细菌TGB和腐生菌含量也符合要求，因此将洗井废水和压返液重复配置压裂液是可行的。同时根据统计，同一口井可回用废水产生量远小于单井需要配置压裂返排液新水使用量，因此洗井废水量能全部用于区域内压裂液配置。将洗井废水和单井废弃的压返液返排液重复配置压裂液，用于重复压裂，可以满足钻井作业废水的处置需求，符合《石油天然气开采业污染防治技术政策》中“在钻井和井下作业过程中，鼓励污油、污水进入生产流程循环利用”的要求，属清洁生产措施，已在钻井工程中得到广泛采用，技术较成熟，该措施技术有效、可行。</w:t>
      </w:r>
    </w:p>
    <w:p>
      <w:pPr>
        <w:ind w:firstLine="482"/>
        <w:rPr>
          <w:rFonts w:hint="default" w:ascii="Times New Roman" w:hAnsi="Times New Roman" w:cs="Times New Roman"/>
          <w:b/>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Cs w:val="24"/>
          <w:highlight w:val="none"/>
          <w:lang w:val="en-US" w:eastAsia="zh-CN"/>
          <w14:textFill>
            <w14:solidFill>
              <w14:schemeClr w14:val="tx1"/>
            </w14:solidFill>
          </w14:textFill>
        </w:rPr>
        <w:t>3）洗井废水、压裂返排液转运预处理和回注可行性分析</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若周边无用水需求的井场时，则项目产生的</w:t>
      </w:r>
      <w:r>
        <w:rPr>
          <w:rFonts w:hint="default" w:ascii="Times New Roman" w:hAnsi="Times New Roman" w:cs="Times New Roman"/>
          <w:color w:val="000000" w:themeColor="text1"/>
          <w:szCs w:val="24"/>
          <w:highlight w:val="none"/>
          <w14:textFill>
            <w14:solidFill>
              <w14:schemeClr w14:val="tx1"/>
            </w14:solidFill>
          </w14:textFill>
        </w:rPr>
        <w:t>洗井废水、压裂返排液</w:t>
      </w:r>
      <w:r>
        <w:rPr>
          <w:rFonts w:hint="default" w:ascii="Times New Roman" w:hAnsi="Times New Roman" w:cs="Times New Roman"/>
          <w:color w:val="000000" w:themeColor="text1"/>
          <w:szCs w:val="24"/>
          <w:highlight w:val="none"/>
          <w:lang w:val="en-US" w:eastAsia="zh-CN"/>
          <w14:textFill>
            <w14:solidFill>
              <w14:schemeClr w14:val="tx1"/>
            </w14:solidFill>
          </w14:textFill>
        </w:rPr>
        <w:t>将</w:t>
      </w:r>
      <w:r>
        <w:rPr>
          <w:rFonts w:hint="default" w:ascii="Times New Roman" w:hAnsi="Times New Roman" w:cs="Times New Roman"/>
          <w:color w:val="000000" w:themeColor="text1"/>
          <w:szCs w:val="24"/>
          <w:highlight w:val="none"/>
          <w14:textFill>
            <w14:solidFill>
              <w14:schemeClr w14:val="tx1"/>
            </w14:solidFill>
          </w14:textFill>
        </w:rPr>
        <w:t>用密闭罐车拉运至赵家坝污水处理站达标后管输至普光11井回注站回注，不外排。</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（1）赵家坝产出水处理站依托可行性分析</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赵家坝产出水处理站位于天然气净化厂内，属于普光主体工程，赵家坝污水处理站设计处理能力800m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/d，目前实际处理污水量为350m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/d，处理后的污水进入普光11井回注，污水处理系统采用“氧化除硫+混凝沉降+过滤”工艺，出水水质能够满足《气田水回注方法》（SY/T6596-2004）表1中标准。</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赵家坝污水处理站目前剩余处理能力为450m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/d，本项目未能回用的作业废水。根据产生量定期运输，根据周边钻井经验和采气期气田水产生情况，钻井期日运输量不超过50m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/d，同时在建项目处理量按照100m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/d计算，故赵家坝污水处理站也完全有能力处理本项目</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储层改造期间</w:t>
      </w:r>
      <w:r>
        <w:rPr>
          <w:rFonts w:hint="default" w:ascii="Times New Roman" w:hAnsi="Times New Roman" w:cs="Times New Roman"/>
          <w:bCs/>
          <w:color w:val="000000" w:themeColor="text1"/>
          <w:szCs w:val="24"/>
          <w:highlight w:val="none"/>
          <w14:textFill>
            <w14:solidFill>
              <w14:schemeClr w14:val="tx1"/>
            </w14:solidFill>
          </w14:textFill>
        </w:rPr>
        <w:t>未能回用的</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压裂返排液及洗井废水</w:t>
      </w:r>
      <w:r>
        <w:rPr>
          <w:rFonts w:hint="default" w:ascii="Times New Roman" w:hAnsi="Times New Roman" w:cs="Times New Roman"/>
          <w:bCs/>
          <w:color w:val="000000" w:themeColor="text1"/>
          <w:szCs w:val="24"/>
          <w:highlight w:val="none"/>
          <w14:textFill>
            <w14:solidFill>
              <w14:schemeClr w14:val="tx1"/>
            </w14:solidFill>
          </w14:textFill>
        </w:rPr>
        <w:t>。</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（2）普光11井污水回注站</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本项目经赵家坝污水处理站处理后的作业废水经处理达标后均通过普光11井回注地层。普光11井位于达州市宣汉县普光镇，天然气净化厂东1.6km处，属于普光主体工程，普光11井主要接收赵家坝污水站来水，约为350m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/d。该井站回注层位为飞仙关组（井段5552m～5716m），回注水量储集空间为132×10</w:t>
      </w:r>
      <w:r>
        <w:rPr>
          <w:rFonts w:hint="default" w:ascii="Times New Roman" w:hAnsi="Times New Roman" w:cs="Times New Roman"/>
          <w:bCs/>
          <w:color w:val="000000" w:themeColor="text1"/>
          <w:szCs w:val="24"/>
          <w:highlight w:val="none"/>
          <w:vertAlign w:val="superscript"/>
          <w14:textFill>
            <w14:solidFill>
              <w14:schemeClr w14:val="tx1"/>
            </w14:solidFill>
          </w14:textFill>
        </w:rPr>
        <w:t>4</w:t>
      </w:r>
      <w:r>
        <w:rPr>
          <w:rFonts w:hint="default" w:ascii="Times New Roman" w:hAnsi="Times New Roman" w:cs="Times New Roman"/>
          <w:bCs/>
          <w:color w:val="000000" w:themeColor="text1"/>
          <w:szCs w:val="24"/>
          <w:highlight w:val="none"/>
          <w14:textFill>
            <w14:solidFill>
              <w14:schemeClr w14:val="tx1"/>
            </w14:solidFill>
          </w14:textFill>
        </w:rPr>
        <w:t>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，井口高压管线设计压力为35MPa，目前回注压力4.5MPa，污水回注设计规模为800m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/d，目前回注量为350m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/d。累计注水65×10</w:t>
      </w:r>
      <w:r>
        <w:rPr>
          <w:rFonts w:hint="default" w:ascii="Times New Roman" w:hAnsi="Times New Roman" w:cs="Times New Roman"/>
          <w:bCs/>
          <w:color w:val="000000" w:themeColor="text1"/>
          <w:szCs w:val="24"/>
          <w:highlight w:val="none"/>
          <w:vertAlign w:val="superscript"/>
          <w14:textFill>
            <w14:solidFill>
              <w14:schemeClr w14:val="tx1"/>
            </w14:solidFill>
          </w14:textFill>
        </w:rPr>
        <w:t>4</w:t>
      </w:r>
      <w:r>
        <w:rPr>
          <w:rFonts w:hint="default" w:ascii="Times New Roman" w:hAnsi="Times New Roman" w:cs="Times New Roman"/>
          <w:bCs/>
          <w:color w:val="000000" w:themeColor="text1"/>
          <w:szCs w:val="24"/>
          <w:highlight w:val="none"/>
          <w14:textFill>
            <w14:solidFill>
              <w14:schemeClr w14:val="tx1"/>
            </w14:solidFill>
          </w14:textFill>
        </w:rPr>
        <w:t>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，剩余回注空间67×10</w:t>
      </w:r>
      <w:r>
        <w:rPr>
          <w:rFonts w:hint="default" w:ascii="Times New Roman" w:hAnsi="Times New Roman" w:cs="Times New Roman"/>
          <w:bCs/>
          <w:color w:val="000000" w:themeColor="text1"/>
          <w:szCs w:val="24"/>
          <w:highlight w:val="none"/>
          <w:vertAlign w:val="superscript"/>
          <w14:textFill>
            <w14:solidFill>
              <w14:schemeClr w14:val="tx1"/>
            </w14:solidFill>
          </w14:textFill>
        </w:rPr>
        <w:t>4</w:t>
      </w:r>
      <w:r>
        <w:rPr>
          <w:rFonts w:hint="default" w:ascii="Times New Roman" w:hAnsi="Times New Roman" w:cs="Times New Roman"/>
          <w:bCs/>
          <w:color w:val="000000" w:themeColor="text1"/>
          <w:szCs w:val="24"/>
          <w:highlight w:val="none"/>
          <w14:textFill>
            <w14:solidFill>
              <w14:schemeClr w14:val="tx1"/>
            </w14:solidFill>
          </w14:textFill>
        </w:rPr>
        <w:t>m</w:t>
      </w:r>
      <w:r>
        <w:rPr>
          <w:rFonts w:hint="default" w:ascii="Times New Roman" w:hAnsi="Times New Roman" w:cs="Times New Roman"/>
          <w:bCs/>
          <w:color w:val="000000" w:themeColor="text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Cs w:val="24"/>
          <w:highlight w:val="none"/>
          <w14:textFill>
            <w14:solidFill>
              <w14:schemeClr w14:val="tx1"/>
            </w14:solidFill>
          </w14:textFill>
        </w:rPr>
        <w:t>。因此本项目钻井期间普光11井有相应的回注能力及空间。因此，本项目未能回用完的作业废水和气田水可由赵家坝污水处理站通过“氧化除硫+混凝沉降+过滤”工艺处理本项目废水，处理后能够满足《气田水回注方法》（SY/T6596-2004）表1中标准，并且有足够处理能力，处理后能够通过普光11井回注地层，同时普光11井已稳定运行10年，地下空间结构稳定，运行期间未检测到地下空间发生结构变化，剩余日回注量远大于本项目</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压裂返排液及洗井废水的</w:t>
      </w:r>
      <w:r>
        <w:rPr>
          <w:rFonts w:hint="default" w:ascii="Times New Roman" w:hAnsi="Times New Roman" w:cs="Times New Roman"/>
          <w:bCs/>
          <w:color w:val="000000" w:themeColor="text1"/>
          <w:szCs w:val="24"/>
          <w:highlight w:val="none"/>
          <w14:textFill>
            <w14:solidFill>
              <w14:schemeClr w14:val="tx1"/>
            </w14:solidFill>
          </w14:textFill>
        </w:rPr>
        <w:t>产生量，剩余储集空间较大，满足回注要求。</w:t>
      </w:r>
    </w:p>
    <w:p>
      <w:pPr>
        <w:ind w:firstLine="480"/>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综上所述，本项目施工期各类废水处置措施在川东北地区钻采工程中已实施多年，具有较好的借鉴经验。项目附近的中石化川东北地区钻采工程采用相同污水处理措施，到目前为止，中原油田普光分公司未收到钻井废水、洗井废水、压裂返排液等乱排乱放的环保投诉。因此，本项目施工期废水治理措施从经济和环保角度分析是合理、可行的。</w:t>
      </w:r>
    </w:p>
    <w:p>
      <w:pPr>
        <w:pStyle w:val="50"/>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firstLine="480" w:firstLineChars="200"/>
        <w:textAlignment w:val="auto"/>
        <w:rPr>
          <w:rFonts w:hint="default"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4"/>
          <w:highlight w:val="none"/>
          <w:lang w:val="en-US" w:eastAsia="zh-CN" w:bidi="ar-SA"/>
          <w14:textFill>
            <w14:solidFill>
              <w14:schemeClr w14:val="tx1"/>
            </w14:solidFill>
          </w14:textFill>
        </w:rPr>
        <w:t>4、油气集输工程</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油气集输工程在进行井口流程和集气站复建时产生的</w:t>
      </w:r>
      <w:r>
        <w:rPr>
          <w:rFonts w:hint="default" w:ascii="Times New Roman" w:hAnsi="Times New Roman" w:cs="Times New Roman"/>
          <w:b w:val="0"/>
          <w:bCs w:val="0"/>
          <w:color w:val="000000" w:themeColor="text1"/>
          <w:kern w:val="2"/>
          <w:sz w:val="24"/>
          <w:szCs w:val="24"/>
          <w:highlight w:val="none"/>
          <w:lang w:val="en-US" w:eastAsia="zh-CN" w:bidi="ar-SA"/>
          <w14:textFill>
            <w14:solidFill>
              <w14:schemeClr w14:val="tx1"/>
            </w14:solidFill>
          </w14:textFill>
        </w:rPr>
        <w:t>废水主要为施工人员产生的</w:t>
      </w:r>
      <w:r>
        <w:rPr>
          <w:rFonts w:hint="default" w:ascii="Times New Roman" w:hAnsi="Times New Roman" w:cs="Times New Roman"/>
          <w:color w:val="000000" w:themeColor="text1"/>
          <w:szCs w:val="24"/>
          <w:highlight w:val="none"/>
          <w14:textFill>
            <w14:solidFill>
              <w14:schemeClr w14:val="tx1"/>
            </w14:solidFill>
          </w14:textFill>
        </w:rPr>
        <w:t>生活污水，施工期间生活污水产生量小，</w:t>
      </w:r>
      <w:r>
        <w:rPr>
          <w:rFonts w:hint="default" w:ascii="Times New Roman" w:hAnsi="Times New Roman" w:cs="Times New Roman"/>
          <w:color w:val="000000" w:themeColor="text1"/>
          <w:szCs w:val="24"/>
          <w:highlight w:val="none"/>
          <w:lang w:val="en-US" w:eastAsia="zh-CN"/>
          <w14:textFill>
            <w14:solidFill>
              <w14:schemeClr w14:val="tx1"/>
            </w14:solidFill>
          </w14:textFill>
        </w:rPr>
        <w:t>施工人员</w:t>
      </w:r>
      <w:r>
        <w:rPr>
          <w:rFonts w:hint="default" w:ascii="Times New Roman" w:hAnsi="Times New Roman" w:cs="Times New Roman"/>
          <w:color w:val="000000" w:themeColor="text1"/>
          <w:szCs w:val="24"/>
          <w:highlight w:val="none"/>
          <w14:textFill>
            <w14:solidFill>
              <w14:schemeClr w14:val="tx1"/>
            </w14:solidFill>
          </w14:textFill>
        </w:rPr>
        <w:t>生活污水依托周边农户已建设施处理。</w:t>
      </w:r>
      <w:r>
        <w:rPr>
          <w:rFonts w:hint="default" w:ascii="Times New Roman" w:hAnsi="Times New Roman" w:cs="Times New Roman"/>
          <w:color w:val="000000" w:themeColor="text1"/>
          <w:szCs w:val="24"/>
          <w:highlight w:val="none"/>
          <w:lang w:val="en-US" w:eastAsia="zh-CN"/>
          <w14:textFill>
            <w14:solidFill>
              <w14:schemeClr w14:val="tx1"/>
            </w14:solidFill>
          </w14:textFill>
        </w:rPr>
        <w:t>该措施能够有效处置油气集输工程施工阶段产生的生活污水，做到</w:t>
      </w:r>
      <w:r>
        <w:rPr>
          <w:rFonts w:hint="default" w:ascii="Times New Roman" w:hAnsi="Times New Roman" w:cs="Times New Roman"/>
          <w:color w:val="000000" w:themeColor="text1"/>
          <w:szCs w:val="24"/>
          <w:highlight w:val="none"/>
          <w14:textFill>
            <w14:solidFill>
              <w14:schemeClr w14:val="tx1"/>
            </w14:solidFill>
          </w14:textFill>
        </w:rPr>
        <w:t>现场无生活污水产生和排放，不会对井场周边地表水产生影响</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措施可行</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14" w:name="_Toc120173213"/>
      <w:r>
        <w:rPr>
          <w:rFonts w:hint="default" w:ascii="Times New Roman" w:hAnsi="Times New Roman" w:cs="Times New Roman"/>
          <w:color w:val="000000" w:themeColor="text1"/>
          <w:highlight w:val="none"/>
          <w:lang w:eastAsia="zh-CN"/>
          <w14:textFill>
            <w14:solidFill>
              <w14:schemeClr w14:val="tx1"/>
            </w14:solidFill>
          </w14:textFill>
        </w:rPr>
        <w:t>地下水防治措施及可行性分析</w:t>
      </w:r>
      <w:bookmarkEnd w:id="414"/>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color w:val="000000" w:themeColor="text1"/>
          <w:szCs w:val="24"/>
          <w:highlight w:val="none"/>
          <w14:textFill>
            <w14:solidFill>
              <w14:schemeClr w14:val="tx1"/>
            </w14:solidFill>
          </w14:textFill>
        </w:rPr>
      </w:pPr>
      <w:bookmarkStart w:id="415" w:name="_Toc14702842"/>
      <w:bookmarkStart w:id="416" w:name="_Toc1224"/>
      <w:r>
        <w:rPr>
          <w:rFonts w:hint="default" w:ascii="Times New Roman" w:hAnsi="Times New Roman" w:eastAsia="黑体" w:cs="Times New Roman"/>
          <w:color w:val="000000" w:themeColor="text1"/>
          <w:szCs w:val="24"/>
          <w:highlight w:val="none"/>
          <w14:textFill>
            <w14:solidFill>
              <w14:schemeClr w14:val="tx1"/>
            </w14:solidFill>
          </w14:textFill>
        </w:rPr>
        <w:t>1、钻井工艺选择</w:t>
      </w:r>
      <w:bookmarkEnd w:id="415"/>
      <w:bookmarkEnd w:id="416"/>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本项目为侧钻井，</w:t>
      </w:r>
      <w:r>
        <w:rPr>
          <w:rFonts w:hint="default" w:ascii="Times New Roman" w:hAnsi="Times New Roman" w:cs="Times New Roman"/>
          <w:color w:val="000000" w:themeColor="text1"/>
          <w:highlight w:val="none"/>
          <w14:textFill>
            <w14:solidFill>
              <w14:schemeClr w14:val="tx1"/>
            </w14:solidFill>
          </w14:textFill>
        </w:rPr>
        <w:t>采用常规钻井工艺进行钻井，为保护气层，优先采用含封堵性聚合物的水基钻井液体系（若遇特殊地层情况，可能会转为油基钻井）</w:t>
      </w:r>
      <w:r>
        <w:rPr>
          <w:rFonts w:hint="default" w:ascii="Times New Roman" w:hAnsi="Times New Roman" w:cs="Times New Roman"/>
          <w:color w:val="000000" w:themeColor="text1"/>
          <w:szCs w:val="24"/>
          <w:highlight w:val="none"/>
          <w14:textFill>
            <w14:solidFill>
              <w14:schemeClr w14:val="tx1"/>
            </w14:solidFill>
          </w14:textFill>
        </w:rPr>
        <w:t>，同时采用套管和水泥固井防止地下水污染，并在设计中做好及时堵漏准备，水基钻井液难以返回地面污染浅层含水层，能有效防止泥浆流失进入地下水。上述工艺广泛应用于川渝地区气田开发，能有效保护井下地质环境，能进一步减少对浅层地下水环境的影响。</w:t>
      </w:r>
    </w:p>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bookmarkStart w:id="417" w:name="_Toc3215"/>
      <w:bookmarkStart w:id="418" w:name="_Toc14702843"/>
      <w:r>
        <w:rPr>
          <w:rFonts w:hint="default" w:ascii="Times New Roman" w:hAnsi="Times New Roman" w:eastAsia="黑体" w:cs="Times New Roman"/>
          <w:color w:val="000000" w:themeColor="text1"/>
          <w:szCs w:val="24"/>
          <w:highlight w:val="none"/>
          <w14:textFill>
            <w14:solidFill>
              <w14:schemeClr w14:val="tx1"/>
            </w14:solidFill>
          </w14:textFill>
        </w:rPr>
        <w:t>2、钻井过程其他防护措施</w:t>
      </w:r>
      <w:bookmarkEnd w:id="417"/>
      <w:bookmarkEnd w:id="418"/>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项目在施工建设前，应充分研究地质设计资料和钻井设计资料等，进行充分的地下水水文地质勘察工作，在了解项目所在地地下水分布、埋藏深度及岩溶发育等基本情况并在此基础上优化钻井施工工艺、泥浆体系等。在钻井、压裂过程中应加强监控，防止泥浆、压裂液的扩散污染等。</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每开钻井结束后的固井作业可有效封隔底层和套管之间的环空，防止污染地下水。固井作业应提高固井质量，有效防止因为井漏事故造成的地下水环境污染。每开钻井结束后下套管并在套管及地层间注入水泥浆进行固井，待固井质量达标后，再进行下一开钻井作业。</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3）加强钻井的完整性管理，确保固井质量。本项目完井作业采用酸化压裂作业的方式进行，在压裂作业前对固井质量等进行有效评估，并在压裂过程数值模拟期间要评估压裂液运移到含水层特别是泉点取水口的可能性；</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（4）项目井场建设时设置了雨污分流系统，实现了钻井废水和雨水的有效分流，可有效降低因暴雨等自然灾害而导致废水外溢污染浅层地下水风险。</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（5）项目实施过程中，应定期检查各防渗基础是否出现裂缝、防渗膜是否完好，并及时对出现破损的部位进行修复。</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（6）平衡操作，避免因压力剂动和开泵过猛使泥浆憋入地层。</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7）钻井过程中密切注意钻井液的漏失情况，一旦出现漏失，立即采取堵漏措施，减少漏失量，防止钻井液的漏失污染地下水。堵漏剂的选取应考虑清洁、无毒、对人体无害，环境污染轻的种类，建议采用水泥堵漏。</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（8）采用符合《废矿物油回收利用污染控制技术规范》（HJ607-2011）和《危险废物收集贮存运输技术规范》（HJ2025-2012）的废油桶，并置于泥浆不落地装置区，做好“防风、防雨、防晒、防渗漏”的四防措施。</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（9）钻井过程中及时对钻井废水、压裂返排液、泥浆岩屑等进行及时转运处理，尽量缩短在现场放置时间。建议泥浆循环系统、固控系统、放喷池等均设置临时雨棚，采取各种措施防止废水外溢。</w:t>
      </w:r>
    </w:p>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bookmarkStart w:id="419" w:name="_Toc14702844"/>
      <w:r>
        <w:rPr>
          <w:rFonts w:hint="default" w:ascii="Times New Roman" w:hAnsi="Times New Roman" w:eastAsia="黑体" w:cs="Times New Roman"/>
          <w:color w:val="000000" w:themeColor="text1"/>
          <w:szCs w:val="24"/>
          <w:highlight w:val="none"/>
          <w14:textFill>
            <w14:solidFill>
              <w14:schemeClr w14:val="tx1"/>
            </w14:solidFill>
          </w14:textFill>
        </w:rPr>
        <w:t>3、清污分流</w:t>
      </w:r>
      <w:bookmarkEnd w:id="419"/>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本项目在井场施工中使用清污分流设计，其具体做法是井场设置内外环沟，将其生产装置运行中产生的废水进行集中收集、排放在泥浆不落地装置区和放喷池中，井场内设置内环沟，配建集污坑，</w:t>
      </w:r>
      <w:r>
        <w:rPr>
          <w:rFonts w:hint="default" w:ascii="Times New Roman" w:hAnsi="Times New Roman" w:cs="Times New Roman"/>
          <w:bCs/>
          <w:color w:val="000000" w:themeColor="text1"/>
          <w:szCs w:val="24"/>
          <w:highlight w:val="none"/>
          <w14:textFill>
            <w14:solidFill>
              <w14:schemeClr w14:val="tx1"/>
            </w14:solidFill>
          </w14:textFill>
        </w:rPr>
        <w:t>井场外设置外环沟，并设置集水坑，初期雨水经内环沟收集后与钻井废水合并处理，后期雨水依靠井站设置的地面坡度和内外环沟的阀门控制，就地散排至外环沟，排出场外。若场内雨水被污染流入外环沟，则需封闭外环沟由作业队伍从集水坑抽汲至泥浆不落地装置、放喷池，</w:t>
      </w:r>
      <w:r>
        <w:rPr>
          <w:rFonts w:hint="default" w:ascii="Times New Roman" w:hAnsi="Times New Roman" w:cs="Times New Roman"/>
          <w:color w:val="000000" w:themeColor="text1"/>
          <w:szCs w:val="24"/>
          <w:highlight w:val="none"/>
          <w14:textFill>
            <w14:solidFill>
              <w14:schemeClr w14:val="tx1"/>
            </w14:solidFill>
          </w14:textFill>
        </w:rPr>
        <w:t>可以有效降低因暴雨等自然灾害而导致废水外溢的危险；另一方面，针对高危的柴油储油罐、泥浆循环系统、泥浆不落地装置区等，在罐体下方修建收集区，设置围堰，收集区该做好防渗处理，以防止意外情况下，柴油、泥浆等泄漏造成地下水、土壤污染。</w:t>
      </w:r>
    </w:p>
    <w:p>
      <w:pPr>
        <w:ind w:firstLine="480"/>
        <w:rPr>
          <w:rFonts w:hint="default" w:ascii="Times New Roman" w:hAnsi="Times New Roman" w:eastAsia="黑体" w:cs="Times New Roman"/>
          <w:color w:val="000000" w:themeColor="text1"/>
          <w:szCs w:val="24"/>
          <w:highlight w:val="none"/>
          <w14:textFill>
            <w14:solidFill>
              <w14:schemeClr w14:val="tx1"/>
            </w14:solidFill>
          </w14:textFill>
        </w:rPr>
      </w:pPr>
      <w:bookmarkStart w:id="420" w:name="_Toc24527"/>
      <w:bookmarkStart w:id="421" w:name="_Toc14702845"/>
      <w:r>
        <w:rPr>
          <w:rFonts w:hint="default" w:ascii="Times New Roman" w:hAnsi="Times New Roman" w:eastAsia="黑体" w:cs="Times New Roman"/>
          <w:color w:val="000000" w:themeColor="text1"/>
          <w:szCs w:val="24"/>
          <w:highlight w:val="none"/>
          <w14:textFill>
            <w14:solidFill>
              <w14:schemeClr w14:val="tx1"/>
            </w14:solidFill>
          </w14:textFill>
        </w:rPr>
        <w:t>4、分区防渗措施</w:t>
      </w:r>
      <w:bookmarkEnd w:id="420"/>
      <w:bookmarkEnd w:id="421"/>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根据《环境影响评价技术导则 地下水环境》（HJ610-2016）的建议，本工程充分参考《石油化工工程防渗技术规范》（GB/T50934-2013）中的相关要求，实施地下水污染防渗措施。本项目以水平防渗为主，项目所在地岩（土）层单层厚度Mb大于1.0m，渗透系数1×10</w:t>
      </w:r>
      <w:r>
        <w:rPr>
          <w:rFonts w:hint="default" w:ascii="Times New Roman" w:hAnsi="Times New Roman" w:cs="Times New Roman"/>
          <w:color w:val="000000" w:themeColor="text1"/>
          <w:szCs w:val="24"/>
          <w:highlight w:val="none"/>
          <w:vertAlign w:val="superscript"/>
          <w14:textFill>
            <w14:solidFill>
              <w14:schemeClr w14:val="tx1"/>
            </w14:solidFill>
          </w14:textFill>
        </w:rPr>
        <w:t>-6</w:t>
      </w:r>
      <w:r>
        <w:rPr>
          <w:rFonts w:hint="default" w:ascii="Times New Roman" w:hAnsi="Times New Roman" w:cs="Times New Roman"/>
          <w:color w:val="000000" w:themeColor="text1"/>
          <w:szCs w:val="24"/>
          <w:highlight w:val="none"/>
          <w14:textFill>
            <w14:solidFill>
              <w14:schemeClr w14:val="tx1"/>
            </w14:solidFill>
          </w14:textFill>
        </w:rPr>
        <w:t>cm/s＜K≤1×10</w:t>
      </w:r>
      <w:r>
        <w:rPr>
          <w:rFonts w:hint="default" w:ascii="Times New Roman" w:hAnsi="Times New Roman" w:cs="Times New Roman"/>
          <w:color w:val="000000" w:themeColor="text1"/>
          <w:szCs w:val="24"/>
          <w:highlight w:val="none"/>
          <w:vertAlign w:val="superscript"/>
          <w14:textFill>
            <w14:solidFill>
              <w14:schemeClr w14:val="tx1"/>
            </w14:solidFill>
          </w14:textFill>
        </w:rPr>
        <w:t>-4</w:t>
      </w:r>
      <w:r>
        <w:rPr>
          <w:rFonts w:hint="default" w:ascii="Times New Roman" w:hAnsi="Times New Roman" w:cs="Times New Roman"/>
          <w:color w:val="000000" w:themeColor="text1"/>
          <w:szCs w:val="24"/>
          <w:highlight w:val="none"/>
          <w14:textFill>
            <w14:solidFill>
              <w14:schemeClr w14:val="tx1"/>
            </w14:solidFill>
          </w14:textFill>
        </w:rPr>
        <w:t>cm/s，且分布连续、稳定，故天然包气带防污性能为中，项目可能泄露的废水中含有部分钻井液中使用的增粘剂等持久性有机污染物。场地内方井、泥浆循环系统区域、泥浆不落地系统区域（含油桶堆放区）、泥浆储备罐区、循环罐区、柴油罐区、放喷池、埋地管道等采取重点防渗措施；井架基础、发电机房、钻井固废暂存区、气源房、材料棚、雨、污分流区域以及厕所等区域采取一般防渗措施；其他区域等采取简单防渗措施。</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本项目分区防渗布设情况及防渗系数要求见</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_Ref142859666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表7.1</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所示。</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bookmarkStart w:id="422" w:name="_Ref142859666"/>
      <w:bookmarkStart w:id="423" w:name="_Toc26241"/>
      <w:bookmarkStart w:id="424" w:name="_Toc14702846"/>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422"/>
      <w:r>
        <w:rPr>
          <w:rFonts w:hint="default" w:ascii="Times New Roman" w:hAnsi="Times New Roman" w:cs="Times New Roman"/>
          <w:color w:val="000000" w:themeColor="text1"/>
          <w:highlight w:val="none"/>
          <w14:textFill>
            <w14:solidFill>
              <w14:schemeClr w14:val="tx1"/>
            </w14:solidFill>
          </w14:textFill>
        </w:rPr>
        <w:t xml:space="preserve"> 分区防渗布设情况及防渗技术要求表</w:t>
      </w:r>
    </w:p>
    <w:tbl>
      <w:tblPr>
        <w:tblStyle w:val="52"/>
        <w:tblW w:w="88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7"/>
        <w:gridCol w:w="2223"/>
        <w:gridCol w:w="1165"/>
        <w:gridCol w:w="2002"/>
        <w:gridCol w:w="2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名称</w:t>
            </w:r>
          </w:p>
        </w:tc>
        <w:tc>
          <w:tcPr>
            <w:tcW w:w="2223"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防渗区域及部位</w:t>
            </w:r>
          </w:p>
        </w:tc>
        <w:tc>
          <w:tcPr>
            <w:tcW w:w="1165"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防渗分区</w:t>
            </w:r>
          </w:p>
        </w:tc>
        <w:tc>
          <w:tcPr>
            <w:tcW w:w="200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防渗技术要求</w:t>
            </w:r>
          </w:p>
        </w:tc>
        <w:tc>
          <w:tcPr>
            <w:tcW w:w="216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采取的防渗措施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放喷池</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放喷池的池底及池壁</w:t>
            </w:r>
          </w:p>
        </w:tc>
        <w:tc>
          <w:tcPr>
            <w:tcW w:w="1165"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重点防渗分区/部位</w:t>
            </w:r>
          </w:p>
        </w:tc>
        <w:tc>
          <w:tcPr>
            <w:tcW w:w="2002" w:type="dxa"/>
            <w:vMerge w:val="restar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等效黏土防渗层Mb≥6.0m，防渗系数1.0×10</w:t>
            </w:r>
            <w:r>
              <w:rPr>
                <w:rFonts w:hint="default" w:ascii="Times New Roman" w:hAnsi="Times New Roman" w:cs="Times New Roman"/>
                <w:color w:val="000000" w:themeColor="text1"/>
                <w:highlight w:val="none"/>
                <w:vertAlign w:val="superscript"/>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t>cm/s，或参照GB18598执行</w:t>
            </w:r>
          </w:p>
        </w:tc>
        <w:tc>
          <w:tcPr>
            <w:tcW w:w="2167" w:type="dxa"/>
            <w:vMerge w:val="restar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混凝土+2mm厚高密度聚乙烯膜处理或防渗系数达到1.0×10</w:t>
            </w:r>
            <w:r>
              <w:rPr>
                <w:rFonts w:hint="default" w:ascii="Times New Roman" w:hAnsi="Times New Roman" w:cs="Times New Roman"/>
                <w:color w:val="000000" w:themeColor="text1"/>
                <w:highlight w:val="none"/>
                <w:vertAlign w:val="superscript"/>
                <w14:textFill>
                  <w14:solidFill>
                    <w14:schemeClr w14:val="tx1"/>
                  </w14:solidFill>
                </w14:textFill>
              </w:rPr>
              <w:t>-10</w:t>
            </w:r>
            <w:r>
              <w:rPr>
                <w:rFonts w:hint="default" w:ascii="Times New Roman" w:hAnsi="Times New Roman" w:cs="Times New Roman"/>
                <w:color w:val="000000" w:themeColor="text1"/>
                <w:highlight w:val="none"/>
                <w14:textFill>
                  <w14:solidFill>
                    <w14:schemeClr w14:val="tx1"/>
                  </w14:solidFill>
                </w14:textFill>
              </w:rPr>
              <w:t>cm/s的防渗材料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方井</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方井池壁和池底</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油罐区、油桶堆放区</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油罐区的池底及围堰、油桶区域及围堰</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危险废物暂存场所（若使用油基钻井液时设置）</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底部及四周</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泥浆循环系统</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重浆罐的池底、池壁围堰及泥浆泵基础</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泥浆不落地系统</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整体基础</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循环罐、储备罐</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循环罐、储备罐的池底及围堰</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埋地管道</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管道本身</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p>
        </w:tc>
        <w:tc>
          <w:tcPr>
            <w:tcW w:w="216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选用符合重点防渗要求的管材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发电机房及电传系统</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发电机房基础</w:t>
            </w:r>
          </w:p>
        </w:tc>
        <w:tc>
          <w:tcPr>
            <w:tcW w:w="1165"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一般防渗分区/部位</w:t>
            </w:r>
          </w:p>
        </w:tc>
        <w:tc>
          <w:tcPr>
            <w:tcW w:w="2002" w:type="dxa"/>
            <w:vMerge w:val="restar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等效黏土防渗层Mb≥1m，防渗系数1.0×10</w:t>
            </w:r>
            <w:r>
              <w:rPr>
                <w:rFonts w:hint="default" w:ascii="Times New Roman" w:hAnsi="Times New Roman" w:cs="Times New Roman"/>
                <w:color w:val="000000" w:themeColor="text1"/>
                <w:highlight w:val="none"/>
                <w:vertAlign w:val="superscript"/>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t>cm/s，或参照GB16889执行</w:t>
            </w:r>
          </w:p>
        </w:tc>
        <w:tc>
          <w:tcPr>
            <w:tcW w:w="2167" w:type="dxa"/>
            <w:vMerge w:val="restart"/>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bookmarkStart w:id="425" w:name="OLE_LINK8"/>
            <w:bookmarkStart w:id="426" w:name="OLE_LINK7"/>
            <w:r>
              <w:rPr>
                <w:rFonts w:hint="default" w:ascii="Times New Roman" w:hAnsi="Times New Roman" w:cs="Times New Roman"/>
                <w:color w:val="000000" w:themeColor="text1"/>
                <w:highlight w:val="none"/>
                <w14:textFill>
                  <w14:solidFill>
                    <w14:schemeClr w14:val="tx1"/>
                  </w14:solidFill>
                </w14:textFill>
              </w:rPr>
              <w:t>混凝土+防渗系数</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达到1.0×10</w:t>
            </w:r>
            <w:r>
              <w:rPr>
                <w:rFonts w:hint="default" w:ascii="Times New Roman" w:hAnsi="Times New Roman" w:cs="Times New Roman"/>
                <w:color w:val="000000" w:themeColor="text1"/>
                <w:highlight w:val="none"/>
                <w:vertAlign w:val="superscript"/>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t>cm/s的防渗材料</w:t>
            </w:r>
            <w:bookmarkEnd w:id="425"/>
            <w:bookmarkEnd w:id="42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清水池</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清水池壁和池底</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井架基础</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钻井平台基础</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钻井固废暂存区</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整体基础</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气源房、材料棚、雨、污分流区域</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基础</w:t>
            </w:r>
          </w:p>
        </w:tc>
        <w:tc>
          <w:tcPr>
            <w:tcW w:w="1165"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环保厕所</w:t>
            </w:r>
          </w:p>
        </w:tc>
        <w:tc>
          <w:tcPr>
            <w:tcW w:w="2223"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池底及池壁</w:t>
            </w:r>
          </w:p>
        </w:tc>
        <w:tc>
          <w:tcPr>
            <w:tcW w:w="1165" w:type="dxa"/>
            <w:vMerge w:val="continue"/>
            <w:vAlign w:val="center"/>
          </w:tcPr>
          <w:p>
            <w:pPr>
              <w:pStyle w:val="295"/>
              <w:rPr>
                <w:rFonts w:hint="default" w:ascii="Times New Roman" w:hAnsi="Times New Roman" w:cs="Times New Roman"/>
                <w:color w:val="000000" w:themeColor="text1"/>
                <w:szCs w:val="24"/>
                <w:highlight w:val="none"/>
                <w14:textFill>
                  <w14:solidFill>
                    <w14:schemeClr w14:val="tx1"/>
                  </w14:solidFill>
                </w14:textFill>
              </w:rPr>
            </w:pPr>
          </w:p>
        </w:tc>
        <w:tc>
          <w:tcPr>
            <w:tcW w:w="2002" w:type="dxa"/>
            <w:vMerge w:val="continue"/>
            <w:vAlign w:val="center"/>
          </w:tcPr>
          <w:p>
            <w:pPr>
              <w:pStyle w:val="295"/>
              <w:rPr>
                <w:rFonts w:hint="default" w:ascii="Times New Roman" w:hAnsi="Times New Roman" w:cs="Times New Roman"/>
                <w:color w:val="000000" w:themeColor="text1"/>
                <w:szCs w:val="24"/>
                <w:highlight w:val="none"/>
                <w14:textFill>
                  <w14:solidFill>
                    <w14:schemeClr w14:val="tx1"/>
                  </w14:solidFill>
                </w14:textFill>
              </w:rPr>
            </w:pPr>
          </w:p>
        </w:tc>
        <w:tc>
          <w:tcPr>
            <w:tcW w:w="2167" w:type="dxa"/>
            <w:vMerge w:val="continue"/>
            <w:vAlign w:val="center"/>
          </w:tcPr>
          <w:p>
            <w:pPr>
              <w:pStyle w:val="295"/>
              <w:rPr>
                <w:rFonts w:hint="default" w:ascii="Times New Roman" w:hAnsi="Times New Roman" w:cs="Times New Roman"/>
                <w:color w:val="000000" w:themeColor="text1"/>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水罐</w:t>
            </w:r>
          </w:p>
        </w:tc>
        <w:tc>
          <w:tcPr>
            <w:tcW w:w="2223" w:type="dxa"/>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水罐周围地面</w:t>
            </w:r>
          </w:p>
        </w:tc>
        <w:tc>
          <w:tcPr>
            <w:tcW w:w="1165" w:type="dxa"/>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简单防渗区/部位</w:t>
            </w:r>
          </w:p>
        </w:tc>
        <w:tc>
          <w:tcPr>
            <w:tcW w:w="2002" w:type="dxa"/>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一般地面硬化</w:t>
            </w:r>
          </w:p>
        </w:tc>
        <w:tc>
          <w:tcPr>
            <w:tcW w:w="2167" w:type="dxa"/>
            <w:vMerge w:val="restart"/>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水泥地面硬化或砂石黏土碾压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27" w:type="dxa"/>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其他区域</w:t>
            </w:r>
          </w:p>
        </w:tc>
        <w:tc>
          <w:tcPr>
            <w:tcW w:w="2223" w:type="dxa"/>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165" w:type="dxa"/>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002" w:type="dxa"/>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167" w:type="dxa"/>
            <w:vMerge w:val="continue"/>
            <w:shd w:val="clear" w:color="auto" w:fill="auto"/>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bl>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color w:val="000000" w:themeColor="text1"/>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5、地下水环境监控</w:t>
      </w:r>
      <w:bookmarkEnd w:id="423"/>
      <w:bookmarkEnd w:id="424"/>
    </w:p>
    <w:p>
      <w:pPr>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bookmarkStart w:id="427" w:name="_Toc14702847"/>
      <w:r>
        <w:rPr>
          <w:rFonts w:hint="default" w:ascii="Times New Roman" w:hAnsi="Times New Roman" w:cs="Times New Roman"/>
          <w:b/>
          <w:bCs/>
          <w:color w:val="000000" w:themeColor="text1"/>
          <w:szCs w:val="24"/>
          <w:highlight w:val="none"/>
          <w14:textFill>
            <w14:solidFill>
              <w14:schemeClr w14:val="tx1"/>
            </w14:solidFill>
          </w14:textFill>
        </w:rPr>
        <w:t>（1）地下水监控原则</w:t>
      </w:r>
      <w:bookmarkEnd w:id="427"/>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按照地下水环评导则及地下水监测技术规范等相关要求，地下水监测应按以下要求进行：</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①在地下水水流上游方向应设不少于1眼地下水背景（或对照）监控井；</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②在项目场地外可能受到影响的地下水环境敏感目标的上游应至少布设1眼地下水污染监控井；</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③以取水层为监测目的层，以浅层潜水含水层为主，并应考虑可能受影响的承压含水层；</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④在重点污染防治区加密监测；</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⑤根据各区块地下水环境影响预测与评价结果有针对性地布设监测井。</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⑥充分利用现有民井、监测井，污染事件发生后监测井可以作为地下水污染事故应急处置的抽水井；</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⑦水质监测项目参照《地下水质量标准》（GB/T 14848-2017）相关要求和潜在污染源特征污染因子确定，各监测井可依据监测目的不同适当增加和减少监测项目。建设单位安全环保部门设立地下水动态监测小组，专人负责监测或者委托专业的机构分析</w:t>
      </w:r>
      <w:r>
        <w:rPr>
          <w:rFonts w:hint="default" w:ascii="Times New Roman" w:hAnsi="Times New Roman" w:cs="Times New Roman"/>
          <w:color w:val="000000" w:themeColor="text1"/>
          <w:szCs w:val="24"/>
          <w:highlight w:val="none"/>
          <w14:textFill>
            <w14:solidFill>
              <w14:schemeClr w14:val="tx1"/>
            </w14:solidFill>
          </w14:textFill>
        </w:rPr>
        <w:t>。</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bookmarkStart w:id="428" w:name="_Toc14702848"/>
      <w:r>
        <w:rPr>
          <w:rFonts w:hint="default" w:ascii="Times New Roman" w:hAnsi="Times New Roman" w:cs="Times New Roman"/>
          <w:b/>
          <w:bCs/>
          <w:color w:val="000000" w:themeColor="text1"/>
          <w:szCs w:val="24"/>
          <w:highlight w:val="none"/>
          <w14:textFill>
            <w14:solidFill>
              <w14:schemeClr w14:val="tx1"/>
            </w14:solidFill>
          </w14:textFill>
        </w:rPr>
        <w:t>（2）监控井布置</w:t>
      </w:r>
      <w:bookmarkEnd w:id="428"/>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根据项目所在地区域地下水埋深、地下水走向、补径排关系以及监控井布设的难易程度，结合地形及位置关系，本项目布置2个泉点作为地下水例行监测点，监测方案见</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_Ref142859680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表7.1</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。环评建议施工期间加强对上述监测控制点的监控，若监测结果表明项目实施导致地下水污染，应采取临时供水措施（配送桶装水等）以保障居民的饮用水源安全。</w:t>
      </w:r>
    </w:p>
    <w:p>
      <w:pPr>
        <w:pStyle w:val="201"/>
        <w:keepNext/>
        <w:keepLines w:val="0"/>
        <w:pageBreakBefore w:val="0"/>
        <w:widowControl/>
        <w:kinsoku/>
        <w:wordWrap/>
        <w:overflowPunct/>
        <w:topLinePunct w:val="0"/>
        <w:autoSpaceDE/>
        <w:autoSpaceDN/>
        <w:bidi w:val="0"/>
        <w:adjustRightInd w:val="0"/>
        <w:snapToGrid w:val="0"/>
        <w:spacing w:before="0" w:beforeLines="0"/>
        <w:textAlignment w:val="baseline"/>
        <w:rPr>
          <w:rFonts w:hint="default" w:ascii="Times New Roman" w:hAnsi="Times New Roman" w:cs="Times New Roman"/>
          <w:color w:val="000000" w:themeColor="text1"/>
          <w:highlight w:val="none"/>
          <w14:textFill>
            <w14:solidFill>
              <w14:schemeClr w14:val="tx1"/>
            </w14:solidFill>
          </w14:textFill>
        </w:rPr>
      </w:pPr>
      <w:bookmarkStart w:id="429" w:name="_Ref142859680"/>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bookmarkEnd w:id="429"/>
      <w:r>
        <w:rPr>
          <w:rFonts w:hint="default" w:ascii="Times New Roman" w:hAnsi="Times New Roman" w:cs="Times New Roman"/>
          <w:color w:val="000000" w:themeColor="text1"/>
          <w:highlight w:val="none"/>
          <w14:textFill>
            <w14:solidFill>
              <w14:schemeClr w14:val="tx1"/>
            </w14:solidFill>
          </w14:textFill>
        </w:rPr>
        <w:t xml:space="preserve"> 施工期间地下水水质监测方案</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120"/>
        <w:gridCol w:w="854"/>
        <w:gridCol w:w="995"/>
        <w:gridCol w:w="1138"/>
        <w:gridCol w:w="2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1875" w:type="pct"/>
            <w:vMerge w:val="restart"/>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监测井位与建设项目的位置关系</w:t>
            </w:r>
          </w:p>
        </w:tc>
        <w:tc>
          <w:tcPr>
            <w:tcW w:w="513" w:type="pct"/>
            <w:vMerge w:val="restart"/>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含水层</w:t>
            </w:r>
          </w:p>
        </w:tc>
        <w:tc>
          <w:tcPr>
            <w:tcW w:w="1282" w:type="pct"/>
            <w:gridSpan w:val="2"/>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监测项目</w:t>
            </w:r>
          </w:p>
        </w:tc>
        <w:tc>
          <w:tcPr>
            <w:tcW w:w="1330" w:type="pct"/>
            <w:vMerge w:val="restart"/>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1875" w:type="pct"/>
            <w:vMerge w:val="continue"/>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513" w:type="pct"/>
            <w:vMerge w:val="continue"/>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598" w:type="pct"/>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常规因子</w:t>
            </w:r>
          </w:p>
        </w:tc>
        <w:tc>
          <w:tcPr>
            <w:tcW w:w="684" w:type="pct"/>
            <w:vAlign w:val="center"/>
          </w:tcPr>
          <w:p>
            <w:pPr>
              <w:pStyle w:val="295"/>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特征因子</w:t>
            </w:r>
          </w:p>
        </w:tc>
        <w:tc>
          <w:tcPr>
            <w:tcW w:w="1330" w:type="pct"/>
            <w:vMerge w:val="continue"/>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1" w:hRule="atLeast"/>
          <w:jc w:val="center"/>
        </w:trPr>
        <w:tc>
          <w:tcPr>
            <w:tcW w:w="1875" w:type="pct"/>
            <w:shd w:val="clear" w:color="auto" w:fill="FFFFFF"/>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1#普光P106-2H侧井西南侧303m处泉井</w:t>
            </w:r>
          </w:p>
        </w:tc>
        <w:tc>
          <w:tcPr>
            <w:tcW w:w="513"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潜水层（背景井）</w:t>
            </w:r>
          </w:p>
        </w:tc>
        <w:tc>
          <w:tcPr>
            <w:tcW w:w="598" w:type="pct"/>
            <w:vMerge w:val="restar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pH值、总硬度、六价铬、铁、锰、耗氧量</w:t>
            </w:r>
          </w:p>
        </w:tc>
        <w:tc>
          <w:tcPr>
            <w:tcW w:w="684" w:type="pct"/>
            <w:vMerge w:val="restar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TDS、COD、石油类、氯化物（Cl-）</w:t>
            </w:r>
          </w:p>
        </w:tc>
        <w:tc>
          <w:tcPr>
            <w:tcW w:w="1330" w:type="pct"/>
            <w:vMerge w:val="restar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开工前1次，完钻后1次，发生事故时加密监测；试采期每年对2#、3#点位例行监测一次，事故时加密监测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1" w:hRule="atLeast"/>
          <w:jc w:val="center"/>
        </w:trPr>
        <w:tc>
          <w:tcPr>
            <w:tcW w:w="1875" w:type="pct"/>
            <w:shd w:val="clear" w:color="auto" w:fill="FFFFFF"/>
            <w:vAlign w:val="center"/>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普光P106-2H侧井东南侧420m处泉井</w:t>
            </w:r>
          </w:p>
        </w:tc>
        <w:tc>
          <w:tcPr>
            <w:tcW w:w="513" w:type="pct"/>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潜水层（监控井）</w:t>
            </w:r>
          </w:p>
        </w:tc>
        <w:tc>
          <w:tcPr>
            <w:tcW w:w="598" w:type="pct"/>
            <w:vMerge w:val="continue"/>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684" w:type="pct"/>
            <w:vMerge w:val="continue"/>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c>
          <w:tcPr>
            <w:tcW w:w="1330" w:type="pct"/>
            <w:vMerge w:val="continue"/>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875" w:type="pct"/>
            <w:shd w:val="clear" w:color="auto" w:fill="FFFFFF"/>
            <w:vAlign w:val="center"/>
          </w:tcPr>
          <w:p>
            <w:pPr>
              <w:pStyle w:val="295"/>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3#普光P106-2H侧井东北侧792m处泉井</w:t>
            </w:r>
          </w:p>
        </w:tc>
        <w:tc>
          <w:tcPr>
            <w:tcW w:w="513" w:type="pc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潜水层</w:t>
            </w:r>
            <w:r>
              <w:rPr>
                <w:rFonts w:hint="default" w:ascii="Times New Roman" w:hAnsi="Times New Roman" w:cs="Times New Roman"/>
                <w:color w:val="000000" w:themeColor="text1"/>
                <w:szCs w:val="21"/>
                <w:highlight w:val="none"/>
                <w14:textFill>
                  <w14:solidFill>
                    <w14:schemeClr w14:val="tx1"/>
                  </w14:solidFill>
                </w14:textFill>
              </w:rPr>
              <w:t>（监控井）</w:t>
            </w:r>
          </w:p>
        </w:tc>
        <w:tc>
          <w:tcPr>
            <w:tcW w:w="598"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684"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1330"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r>
    </w:tbl>
    <w:p>
      <w:pPr>
        <w:pStyle w:val="93"/>
        <w:rPr>
          <w:rFonts w:hint="default" w:ascii="Times New Roman" w:hAnsi="Times New Roman" w:cs="Times New Roman"/>
          <w:color w:val="000000" w:themeColor="text1"/>
          <w:sz w:val="10"/>
          <w:szCs w:val="10"/>
          <w:highlight w:val="none"/>
          <w14:textFill>
            <w14:solidFill>
              <w14:schemeClr w14:val="tx1"/>
            </w14:solidFill>
          </w14:textFill>
        </w:rPr>
      </w:pP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3826510</wp:posOffset>
                </wp:positionH>
                <wp:positionV relativeFrom="paragraph">
                  <wp:posOffset>2931795</wp:posOffset>
                </wp:positionV>
                <wp:extent cx="1447165" cy="417830"/>
                <wp:effectExtent l="0" t="0" r="19685" b="20320"/>
                <wp:wrapNone/>
                <wp:docPr id="356027819" name="文本框 4"/>
                <wp:cNvGraphicFramePr/>
                <a:graphic xmlns:a="http://schemas.openxmlformats.org/drawingml/2006/main">
                  <a:graphicData uri="http://schemas.microsoft.com/office/word/2010/wordprocessingShape">
                    <wps:wsp>
                      <wps:cNvSpPr txBox="1"/>
                      <wps:spPr bwMode="auto">
                        <a:xfrm>
                          <a:off x="0" y="0"/>
                          <a:ext cx="1447165" cy="417830"/>
                        </a:xfrm>
                        <a:prstGeom prst="rect">
                          <a:avLst/>
                        </a:prstGeom>
                        <a:solidFill>
                          <a:srgbClr val="FFFFFF"/>
                        </a:solidFill>
                        <a:ln w="9525">
                          <a:solidFill>
                            <a:srgbClr val="000000"/>
                          </a:solidFill>
                          <a:miter lim="800000"/>
                        </a:ln>
                      </wps:spPr>
                      <wps:txbx>
                        <w:txbxContent>
                          <w:p>
                            <w:pPr>
                              <w:ind w:firstLine="480"/>
                            </w:pPr>
                            <w:r>
                              <w:drawing>
                                <wp:inline distT="0" distB="0" distL="0" distR="0">
                                  <wp:extent cx="1219200" cy="280035"/>
                                  <wp:effectExtent l="0" t="0" r="0" b="0"/>
                                  <wp:docPr id="16912515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251573" name="图片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1270938" cy="2925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文本框 4" o:spid="_x0000_s1026" o:spt="202" type="#_x0000_t202" style="position:absolute;left:0pt;margin-left:301.3pt;margin-top:230.85pt;height:32.9pt;width:113.95pt;z-index:251718656;mso-width-relative:page;mso-height-relative:page;" fillcolor="#FFFFFF" filled="t" stroked="t" coordsize="21600,21600" o:gfxdata="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JNaIszbAAAACwEAAA8AAAAAAAAAAQAgAAAA&#10;IgAAAGRycy9kb3ducmV2LnhtbFBLAQIUABQAAAAIAIdO4kAl/gIgegIAAPEEAAAOAAAAAAAAAAEA&#10;IAAAACoBAABkcnMvZTJvRG9jLnhtbFBLBQYAAAAABgAGAFkBAAAWBgAAAAA=&#10;">
                <v:fill on="t" focussize="0,0"/>
                <v:stroke color="#000000" miterlimit="8" joinstyle="miter"/>
                <v:imagedata o:title=""/>
                <o:lock v:ext="edit" aspectratio="f"/>
                <v:textbox>
                  <w:txbxContent>
                    <w:p>
                      <w:pPr>
                        <w:ind w:firstLine="480"/>
                      </w:pPr>
                      <w:r>
                        <w:drawing>
                          <wp:inline distT="0" distB="0" distL="0" distR="0">
                            <wp:extent cx="1219200" cy="280035"/>
                            <wp:effectExtent l="0" t="0" r="0" b="0"/>
                            <wp:docPr id="16912515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251573" name="图片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1270938" cy="292502"/>
                                    </a:xfrm>
                                    <a:prstGeom prst="rect">
                                      <a:avLst/>
                                    </a:prstGeom>
                                    <a:noFill/>
                                    <a:ln>
                                      <a:noFill/>
                                    </a:ln>
                                  </pic:spPr>
                                </pic:pic>
                              </a:graphicData>
                            </a:graphic>
                          </wp:inline>
                        </w:drawing>
                      </w:r>
                    </w:p>
                  </w:txbxContent>
                </v:textbox>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19680" behindDoc="0" locked="0" layoutInCell="1" allowOverlap="1">
                <wp:simplePos x="0" y="0"/>
                <wp:positionH relativeFrom="column">
                  <wp:posOffset>3982085</wp:posOffset>
                </wp:positionH>
                <wp:positionV relativeFrom="paragraph">
                  <wp:posOffset>3089275</wp:posOffset>
                </wp:positionV>
                <wp:extent cx="282575" cy="121285"/>
                <wp:effectExtent l="19050" t="19050" r="60325" b="50165"/>
                <wp:wrapNone/>
                <wp:docPr id="1553195500" name="直接箭头连接符 3"/>
                <wp:cNvGraphicFramePr/>
                <a:graphic xmlns:a="http://schemas.openxmlformats.org/drawingml/2006/main">
                  <a:graphicData uri="http://schemas.microsoft.com/office/word/2010/wordprocessingShape">
                    <wps:wsp>
                      <wps:cNvCnPr/>
                      <wps:spPr>
                        <a:xfrm>
                          <a:off x="0" y="0"/>
                          <a:ext cx="282575" cy="12128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313.55pt;margin-top:243.25pt;height:9.55pt;width:22.25pt;z-index:251719680;mso-width-relative:page;mso-height-relative:page;" filled="f" stroked="t" coordsize="21600,21600" o:gfxdata="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GcGnnZAAAACwEAAA8AAAAAAAAA&#10;AQAgAAAAIgAAAGRycy9kb3ducmV2LnhtbFBLAQIUABQAAAAIAIdO4kC8HevTEAIAAO8DAAAOAAAA&#10;AAAAAAEAIAAAACgBAABkcnMvZTJvRG9jLnhtbFBLBQYAAAAABgAGAFkBAACqBQAAAAA=&#10;">
                <v:fill on="f" focussize="0,0"/>
                <v:stroke weight="3pt" color="#000000 [3213]"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803275</wp:posOffset>
                </wp:positionH>
                <wp:positionV relativeFrom="paragraph">
                  <wp:posOffset>2367915</wp:posOffset>
                </wp:positionV>
                <wp:extent cx="416560" cy="94615"/>
                <wp:effectExtent l="19050" t="76200" r="0" b="39370"/>
                <wp:wrapNone/>
                <wp:docPr id="1101678024" name="直接箭头连接符 3"/>
                <wp:cNvGraphicFramePr/>
                <a:graphic xmlns:a="http://schemas.openxmlformats.org/drawingml/2006/main">
                  <a:graphicData uri="http://schemas.microsoft.com/office/word/2010/wordprocessingShape">
                    <wps:wsp>
                      <wps:cNvCnPr/>
                      <wps:spPr>
                        <a:xfrm flipV="1">
                          <a:off x="0" y="0"/>
                          <a:ext cx="416459" cy="94307"/>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flip:y;margin-left:63.25pt;margin-top:186.45pt;height:7.45pt;width:32.8pt;z-index:251717632;mso-width-relative:page;mso-height-relative:page;" filled="f" stroked="t" coordsize="21600,21600" o:gfxdata="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X9CV59oAAAAL&#10;AQAADwAAAAAAAAABACAAAAAiAAAAZHJzL2Rvd25yZXYueG1sUEsBAhQAFAAAAAgAh07iQKm1npIa&#10;AgAA+AMAAA4AAAAAAAAAAQAgAAAAKQEAAGRycy9lMm9Eb2MueG1sUEsFBgAAAAAGAAYAWQEAALUF&#10;A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3175000</wp:posOffset>
                </wp:positionH>
                <wp:positionV relativeFrom="paragraph">
                  <wp:posOffset>832485</wp:posOffset>
                </wp:positionV>
                <wp:extent cx="362585" cy="95885"/>
                <wp:effectExtent l="19050" t="38100" r="38100" b="76200"/>
                <wp:wrapNone/>
                <wp:docPr id="430057128" name="直接箭头连接符 3"/>
                <wp:cNvGraphicFramePr/>
                <a:graphic xmlns:a="http://schemas.openxmlformats.org/drawingml/2006/main">
                  <a:graphicData uri="http://schemas.microsoft.com/office/word/2010/wordprocessingShape">
                    <wps:wsp>
                      <wps:cNvCnPr/>
                      <wps:spPr>
                        <a:xfrm>
                          <a:off x="0" y="0"/>
                          <a:ext cx="362358" cy="95816"/>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250pt;margin-top:65.55pt;height:7.55pt;width:28.55pt;z-index:251716608;mso-width-relative:page;mso-height-relative:page;" filled="f" stroked="t" coordsize="21600,21600" o:gfxdata="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qxFzA2QAAAAsBAAAPAAAAAAAA&#10;AAEAIAAAACIAAABkcnMvZG93bnJldi54bWxQSwECFAAUAAAACACHTuJAX3ZFQhECAADtAwAADgAA&#10;AAAAAAABACAAAAAoAQAAZHJzL2Uyb0RvYy54bWxQSwUGAAAAAAYABgBZAQAAqwU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730250</wp:posOffset>
                </wp:positionH>
                <wp:positionV relativeFrom="paragraph">
                  <wp:posOffset>1290955</wp:posOffset>
                </wp:positionV>
                <wp:extent cx="362585" cy="45720"/>
                <wp:effectExtent l="0" t="76200" r="19050" b="88265"/>
                <wp:wrapNone/>
                <wp:docPr id="964572291" name="直接箭头连接符 3"/>
                <wp:cNvGraphicFramePr/>
                <a:graphic xmlns:a="http://schemas.openxmlformats.org/drawingml/2006/main">
                  <a:graphicData uri="http://schemas.microsoft.com/office/word/2010/wordprocessingShape">
                    <wps:wsp>
                      <wps:cNvCnPr/>
                      <wps:spPr>
                        <a:xfrm>
                          <a:off x="0" y="0"/>
                          <a:ext cx="362358" cy="45719"/>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57.5pt;margin-top:101.65pt;height:3.6pt;width:28.55pt;z-index:251715584;mso-width-relative:page;mso-height-relative:page;" filled="f" stroked="t" coordsize="21600,21600" o:gfxdata="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olVVTYAAAACwEAAA8AAAAAAAAA&#10;AQAgAAAAIgAAAGRycy9kb3ducmV2LnhtbFBLAQIUABQAAAAIAIdO4kDuC8jyEQIAAO0DAAAOAAAA&#10;AAAAAAEAIAAAACcBAABkcnMvZTJvRG9jLnhtbFBLBQYAAAAABgAGAFkBAACqBQ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szCs w:val="24"/>
          <w:highlight w:val="none"/>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2252345</wp:posOffset>
                </wp:positionH>
                <wp:positionV relativeFrom="paragraph">
                  <wp:posOffset>1816100</wp:posOffset>
                </wp:positionV>
                <wp:extent cx="362585" cy="45720"/>
                <wp:effectExtent l="0" t="76200" r="19050" b="88265"/>
                <wp:wrapNone/>
                <wp:docPr id="547170797" name="直接箭头连接符 3"/>
                <wp:cNvGraphicFramePr/>
                <a:graphic xmlns:a="http://schemas.openxmlformats.org/drawingml/2006/main">
                  <a:graphicData uri="http://schemas.microsoft.com/office/word/2010/wordprocessingShape">
                    <wps:wsp>
                      <wps:cNvCnPr/>
                      <wps:spPr>
                        <a:xfrm>
                          <a:off x="0" y="0"/>
                          <a:ext cx="362358" cy="45719"/>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 o:spid="_x0000_s1026" o:spt="32" type="#_x0000_t32" style="position:absolute;left:0pt;margin-left:177.35pt;margin-top:143pt;height:3.6pt;width:28.55pt;z-index:251714560;mso-width-relative:page;mso-height-relative:page;" filled="f" stroked="t" coordsize="21600,21600" o:gfxdata="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nZ6OrZAAAACwEAAA8AAAAA&#10;AAAAAQAgAAAAIgAAAGRycy9kb3ducmV2LnhtbFBLAQIUABQAAAAIAIdO4kDTzgnSEwIAAO0DAAAO&#10;AAAAAAAAAAEAIAAAACgBAABkcnMvZTJvRG9jLnhtbFBLBQYAAAAABgAGAFkBAACtBQAAAAA=&#10;">
                <v:fill on="f" focussize="0,0"/>
                <v:stroke weight="3pt" color="#FFFFFF [3212]" miterlimit="8" joinstyle="miter" endarrow="block"/>
                <v:imagedata o:title=""/>
                <o:lock v:ext="edit" aspectratio="f"/>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0" distR="0">
            <wp:extent cx="5276850" cy="3378835"/>
            <wp:effectExtent l="0" t="0" r="0" b="0"/>
            <wp:docPr id="346843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4366" name="图片 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5276850" cy="3378835"/>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地下水监控点位置图</w:t>
      </w:r>
    </w:p>
    <w:p>
      <w:pPr>
        <w:spacing w:before="120" w:beforeLines="50"/>
        <w:ind w:firstLine="480"/>
        <w:rPr>
          <w:rFonts w:hint="default" w:ascii="Times New Roman" w:hAnsi="Times New Roman" w:eastAsia="黑体" w:cs="Times New Roman"/>
          <w:color w:val="000000" w:themeColor="text1"/>
          <w:szCs w:val="24"/>
          <w:highlight w:val="none"/>
          <w14:textFill>
            <w14:solidFill>
              <w14:schemeClr w14:val="tx1"/>
            </w14:solidFill>
          </w14:textFill>
        </w:rPr>
      </w:pPr>
      <w:r>
        <w:rPr>
          <w:rFonts w:hint="default" w:ascii="Times New Roman" w:hAnsi="Times New Roman" w:eastAsia="黑体" w:cs="Times New Roman"/>
          <w:color w:val="000000" w:themeColor="text1"/>
          <w:szCs w:val="24"/>
          <w:highlight w:val="none"/>
          <w14:textFill>
            <w14:solidFill>
              <w14:schemeClr w14:val="tx1"/>
            </w14:solidFill>
          </w14:textFill>
        </w:rPr>
        <w:t>6应急响应</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无论预防工作如何周密，地下水污染事故总是难以根本杜绝，制定地下水污染应急响应是要迅速而有效的将事故损失减至最小，应急响应如</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_Ref142925147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图7.1</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w:t>
      </w:r>
    </w:p>
    <w:p>
      <w:pPr>
        <w:pStyle w:val="9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黑体" w:cs="Times New Roman"/>
          <w:color w:val="000000" w:themeColor="text1"/>
          <w:highlight w:val="none"/>
          <w14:textFill>
            <w14:solidFill>
              <w14:schemeClr w14:val="tx1"/>
            </w14:solidFill>
          </w14:textFill>
        </w:rPr>
        <w:drawing>
          <wp:inline distT="0" distB="0" distL="0" distR="0">
            <wp:extent cx="3823970" cy="4311015"/>
            <wp:effectExtent l="0" t="0" r="5080" b="0"/>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图片 158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3823970" cy="4311015"/>
                    </a:xfrm>
                    <a:prstGeom prst="rect">
                      <a:avLst/>
                    </a:prstGeom>
                    <a:noFill/>
                    <a:ln>
                      <a:noFill/>
                    </a:ln>
                  </pic:spPr>
                </pic:pic>
              </a:graphicData>
            </a:graphic>
          </wp:inline>
        </w:drawing>
      </w:r>
    </w:p>
    <w:p>
      <w:pPr>
        <w:pStyle w:val="163"/>
        <w:rPr>
          <w:rFonts w:hint="default" w:ascii="Times New Roman" w:hAnsi="Times New Roman" w:cs="Times New Roman"/>
          <w:color w:val="000000" w:themeColor="text1"/>
          <w:highlight w:val="none"/>
          <w14:textFill>
            <w14:solidFill>
              <w14:schemeClr w14:val="tx1"/>
            </w14:solidFill>
          </w14:textFill>
        </w:rPr>
      </w:pPr>
      <w:bookmarkStart w:id="430" w:name="_Ref142925147"/>
      <w:r>
        <w:rPr>
          <w:rFonts w:hint="default" w:ascii="Times New Roman" w:hAnsi="Times New Roman" w:cs="Times New Roman"/>
          <w:color w:val="000000" w:themeColor="text1"/>
          <w:highlight w:val="none"/>
          <w14:textFill>
            <w14:solidFill>
              <w14:schemeClr w14:val="tx1"/>
            </w14:solidFill>
          </w14:textFill>
        </w:rPr>
        <w:t>图</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7.1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图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fldChar w:fldCharType="end"/>
      </w:r>
      <w:bookmarkEnd w:id="430"/>
      <w:r>
        <w:rPr>
          <w:rFonts w:hint="default" w:ascii="Times New Roman" w:hAnsi="Times New Roman" w:cs="Times New Roman"/>
          <w:color w:val="000000" w:themeColor="text1"/>
          <w:highlight w:val="none"/>
          <w14:textFill>
            <w14:solidFill>
              <w14:schemeClr w14:val="tx1"/>
            </w14:solidFill>
          </w14:textFill>
        </w:rPr>
        <w:t xml:space="preserve"> 地下水污染应急响应程序图</w:t>
      </w:r>
    </w:p>
    <w:p>
      <w:pPr>
        <w:ind w:firstLine="482"/>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（1）风险应急预案</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建设单位应根据《中华人民共和国水污染防治法》编制相应的应急方案，并按照《关于印发</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企业突发环境事件风险评估指南（试行）的通知</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》（环办〔2014〕34号），将地下水风险纳入建设单位环境风险事故评估中，防止对周围地下水环境造成污染。</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（2）成立事故应急对策指挥中心</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成立由多个部门组成的事故应急对策指挥中心，负责发生事故后进行统一指挥、协调处理好抢险工作。</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（3）建立事故应急通报网络</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发生事故后，现场操作人员应立即向负责人报警，第一时间通知相关部门协作，采取应急防护措施。负责人在接报后立即确认事故位置及大小，及时向事故应急对策指挥中心报警，事故应急对策指挥中心在接报后，按照应急指挥程序，立即向环保部门、卫生部门、消防部门等请示，进行抢险工作。应急响应的过程可分为接警、判断响应级别、应急启动、控制及救援行动、扩大应急、应急终止和后期处置等步骤。应针对应急响应分布制定应急程序，并按事先制定程序指导事故应急响应。</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（4）应急措施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一旦发生井漏等地下水污染事故，应立即启动应急预案，迅速控制项目污染现场，切断污染源，划定污染可能波及的范围，在划定圈内的群众在井中取水的，要求立即停止使用，严禁人畜饮用，对水源进行监控，防止水污染中毒，并随时准备启动供水替代方案。同时根据本项目下伏含水层地下水水质进行跟踪监测，一旦发现地下水受到污染，应及时采取必要的水动力阻隔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综上所述，本项目施工期针对地下水环境采取的措施符合《环境影响评价技术导则 地下水环境》（HJ610-2016），在川东北地区钻采工程中已实施多年，具有较好的借鉴经验。根据本井场周边其他中石化川东北地区钻采工程采用相同地下水污染防治措施，到目前为止，</w:t>
      </w:r>
      <w:r>
        <w:rPr>
          <w:rFonts w:hint="default" w:ascii="Times New Roman" w:hAnsi="Times New Roman" w:cs="Times New Roman"/>
          <w:color w:val="000000" w:themeColor="text1"/>
          <w:highlight w:val="none"/>
          <w14:textFill>
            <w14:solidFill>
              <w14:schemeClr w14:val="tx1"/>
            </w14:solidFill>
          </w14:textFill>
        </w:rPr>
        <w:t>中原油田普光分公司</w:t>
      </w:r>
      <w:r>
        <w:rPr>
          <w:rFonts w:hint="default" w:ascii="Times New Roman" w:hAnsi="Times New Roman" w:cs="Times New Roman"/>
          <w:color w:val="000000" w:themeColor="text1"/>
          <w:szCs w:val="24"/>
          <w:highlight w:val="none"/>
          <w14:textFill>
            <w14:solidFill>
              <w14:schemeClr w14:val="tx1"/>
            </w14:solidFill>
          </w14:textFill>
        </w:rPr>
        <w:t>未收到地下水污染方面的环保投诉。因此，本项目施工期地下水防治措施从经济和环保角度分析是合理、可行的。</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31" w:name="6.1.3施工噪声防治措施及可行性分析"/>
      <w:bookmarkEnd w:id="431"/>
      <w:bookmarkStart w:id="432" w:name="_Toc120173214"/>
      <w:r>
        <w:rPr>
          <w:rFonts w:hint="default" w:ascii="Times New Roman" w:hAnsi="Times New Roman" w:cs="Times New Roman"/>
          <w:color w:val="000000" w:themeColor="text1"/>
          <w:highlight w:val="none"/>
          <w:lang w:eastAsia="zh-CN"/>
          <w14:textFill>
            <w14:solidFill>
              <w14:schemeClr w14:val="tx1"/>
            </w14:solidFill>
          </w14:textFill>
        </w:rPr>
        <w:t>施工噪声防治措施及可行性分析</w:t>
      </w:r>
      <w:bookmarkEnd w:id="432"/>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val="en-US" w:eastAsia="zh-CN"/>
          <w14:textFill>
            <w14:solidFill>
              <w14:schemeClr w14:val="tx1"/>
            </w14:solidFill>
          </w14:textFill>
        </w:rPr>
        <w:t>结合项目特点，施工噪声，施工期的噪声影响主要来自钻井噪声、储层改造时的设备噪声及测试放喷噪声等。其中</w:t>
      </w:r>
      <w:r>
        <w:rPr>
          <w:rFonts w:hint="default" w:ascii="Times New Roman" w:hAnsi="Times New Roman" w:cs="Times New Roman"/>
          <w:bCs/>
          <w:color w:val="000000" w:themeColor="text1"/>
          <w:kern w:val="2"/>
          <w:highlight w:val="none"/>
          <w:lang w:eastAsia="zh-CN"/>
          <w14:textFill>
            <w14:solidFill>
              <w14:schemeClr w14:val="tx1"/>
            </w14:solidFill>
          </w14:textFill>
        </w:rPr>
        <w:t>对于钻井噪声，目前还没有针对声源的十分经济有效的防治措施，主要是选用低噪声设备，再通过合理的井场布局来减轻噪声的影响。为进一步降低噪声对周边居民的影响，施工期间建设单位应采取如下措施：</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（1）本项目新钻井设备安装等少量钻前施工前应作好沟通工作，合理安排作业时间，尽量避免午间12：00~14：00和夜间22：00~7：00施工，并尽量缩短施工周期。</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2）合理布置主要噪声源，使其尽量远离农户居住地；为办公及生活提供电力的发电机设置发电机房，采用特殊的减震，并安装吸声材料；为钻机提供动力的柴油机安装消声装置和设置减震基础；钻井设备、泥浆泵基础设置减震垫；空压机和增压机安装在房间内，隔声并安装减震垫层。</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3）建设单位应做好与地方供电部门的沟通工作，确保供电正常，尽量减少备用柴油机的启用。为办公及生活提供电力的备用发电机设置发电机房，采用特殊的减震，并安装吸声材料；泥浆泵设置泵房；为钻机提供动力的柴油机安装消声装置和设置减震基础。</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4）施工方在施工期间应加强施工管理，柴油机、泥浆泵等设备应做好日常维护，同时在操作时做到平稳操作，避免特种作业时产生非正常的噪声；在夜间作业时，应平稳操作，尽量避免敲击噪声；加强施工人员的管理和教育，减少不必要的金属敲击声和人为噪声。</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（5）运输车辆沿规定路线行驶，减少鸣笛，经过村庄等居民区时缓慢平稳行驶。</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val="en-US" w:eastAsia="zh-CN"/>
          <w14:textFill>
            <w14:solidFill>
              <w14:schemeClr w14:val="tx1"/>
            </w14:solidFill>
          </w14:textFill>
        </w:rPr>
      </w:pPr>
      <w:r>
        <w:rPr>
          <w:rFonts w:hint="default" w:ascii="Times New Roman" w:hAnsi="Times New Roman" w:cs="Times New Roman"/>
          <w:bCs/>
          <w:color w:val="000000" w:themeColor="text1"/>
          <w:kern w:val="2"/>
          <w:highlight w:val="none"/>
          <w:lang w:val="en-US" w:eastAsia="zh-CN"/>
          <w14:textFill>
            <w14:solidFill>
              <w14:schemeClr w14:val="tx1"/>
            </w14:solidFill>
          </w14:textFill>
        </w:rPr>
        <w:t>针对于储层改造阶段噪声，主要通过以下措施减小影响：</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val="en-US"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w:t>
      </w:r>
      <w:r>
        <w:rPr>
          <w:rFonts w:hint="default" w:ascii="Times New Roman" w:hAnsi="Times New Roman" w:cs="Times New Roman"/>
          <w:bCs/>
          <w:color w:val="000000" w:themeColor="text1"/>
          <w:kern w:val="2"/>
          <w:highlight w:val="none"/>
          <w:lang w:val="en-US" w:eastAsia="zh-CN"/>
          <w14:textFill>
            <w14:solidFill>
              <w14:schemeClr w14:val="tx1"/>
            </w14:solidFill>
          </w14:textFill>
        </w:rPr>
        <w:t>1）</w:t>
      </w:r>
      <w:r>
        <w:rPr>
          <w:rFonts w:hint="default" w:ascii="Times New Roman" w:hAnsi="Times New Roman" w:cs="Times New Roman"/>
          <w:bCs/>
          <w:color w:val="000000" w:themeColor="text1"/>
          <w:kern w:val="2"/>
          <w:highlight w:val="none"/>
          <w:lang w:eastAsia="zh-CN"/>
          <w14:textFill>
            <w14:solidFill>
              <w14:schemeClr w14:val="tx1"/>
            </w14:solidFill>
          </w14:textFill>
        </w:rPr>
        <w:t>选用低噪声设备</w:t>
      </w:r>
      <w:r>
        <w:rPr>
          <w:rFonts w:hint="default" w:ascii="Times New Roman" w:hAnsi="Times New Roman" w:cs="Times New Roman"/>
          <w:bCs/>
          <w:color w:val="000000" w:themeColor="text1"/>
          <w:kern w:val="2"/>
          <w:highlight w:val="none"/>
          <w:lang w:val="en-US" w:eastAsia="zh-CN"/>
          <w14:textFill>
            <w14:solidFill>
              <w14:schemeClr w14:val="tx1"/>
            </w14:solidFill>
          </w14:textFill>
        </w:rPr>
        <w:t>压裂作业设备，并</w:t>
      </w:r>
      <w:r>
        <w:rPr>
          <w:rFonts w:hint="default" w:ascii="Times New Roman" w:hAnsi="Times New Roman" w:cs="Times New Roman"/>
          <w:bCs/>
          <w:color w:val="000000" w:themeColor="text1"/>
          <w:kern w:val="2"/>
          <w:highlight w:val="none"/>
          <w:lang w:eastAsia="zh-CN"/>
          <w14:textFill>
            <w14:solidFill>
              <w14:schemeClr w14:val="tx1"/>
            </w14:solidFill>
          </w14:textFill>
        </w:rPr>
        <w:t>加强维护保养；</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w:t>
      </w:r>
      <w:r>
        <w:rPr>
          <w:rFonts w:hint="default" w:ascii="Times New Roman" w:hAnsi="Times New Roman" w:cs="Times New Roman"/>
          <w:bCs/>
          <w:color w:val="000000" w:themeColor="text1"/>
          <w:kern w:val="2"/>
          <w:highlight w:val="none"/>
          <w:lang w:val="en-US"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）放喷池设置三面建3m的围墙，可以降低一定的噪声；</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w:t>
      </w:r>
      <w:r>
        <w:rPr>
          <w:rFonts w:hint="default" w:ascii="Times New Roman" w:hAnsi="Times New Roman" w:cs="Times New Roman"/>
          <w:bCs/>
          <w:color w:val="000000" w:themeColor="text1"/>
          <w:kern w:val="2"/>
          <w:highlight w:val="none"/>
          <w:lang w:val="en-US" w:eastAsia="zh-CN"/>
          <w14:textFill>
            <w14:solidFill>
              <w14:schemeClr w14:val="tx1"/>
            </w14:solidFill>
          </w14:textFill>
        </w:rPr>
        <w:t>3</w:t>
      </w:r>
      <w:r>
        <w:rPr>
          <w:rFonts w:hint="default" w:ascii="Times New Roman" w:hAnsi="Times New Roman" w:cs="Times New Roman"/>
          <w:bCs/>
          <w:color w:val="000000" w:themeColor="text1"/>
          <w:kern w:val="2"/>
          <w:highlight w:val="none"/>
          <w:lang w:eastAsia="zh-CN"/>
          <w14:textFill>
            <w14:solidFill>
              <w14:schemeClr w14:val="tx1"/>
            </w14:solidFill>
          </w14:textFill>
        </w:rPr>
        <w:t>）放喷测试前，建设方和当地政府应对距放喷口一定范围内（该距离根据行安全预评价预测结果来确定）的居民进行临时撤离并建立警戒点进行24h警戒，能有效避免测试放喷噪声对周边居民影响。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综上所述，本项目施工期声环境保护措施，在川东北地区钻采工程中已实施多年，具有较好的借鉴经验。根据本井场周边其他中石化川东北地区钻采工程采用相同噪声污染防治措施，且项目井口周边300m范围内无居民分布。因此，本项目施工期噪声污染防治措施从经济和环保角度分析是合理、可行的。</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33" w:name="6.1.4固体废物污染防治措施"/>
      <w:bookmarkEnd w:id="433"/>
      <w:bookmarkStart w:id="434" w:name="_Toc120173215"/>
      <w:r>
        <w:rPr>
          <w:rFonts w:hint="default" w:ascii="Times New Roman" w:hAnsi="Times New Roman" w:cs="Times New Roman"/>
          <w:color w:val="000000" w:themeColor="text1"/>
          <w:highlight w:val="none"/>
          <w:lang w:eastAsia="zh-CN"/>
          <w14:textFill>
            <w14:solidFill>
              <w14:schemeClr w14:val="tx1"/>
            </w14:solidFill>
          </w14:textFill>
        </w:rPr>
        <w:t>施工期土壤环境污染防治措施</w:t>
      </w:r>
      <w:bookmarkEnd w:id="434"/>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1、源头控制措施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从钻井原辅材料和污染物（废水、废油、钻井固废）储存、装卸、运输、钻井过程等全过程控制各种有毒有害原辅材料、中间材料（循环泥浆）、污染物（废水、废油、钻井固废）泄漏（含跑、冒、滴、漏），同时对有害物质可能泄漏到地面的区域采取防渗措施，阻止其进入土壤中，即从源头到末端全方位采取控制措施，防止项目的建设对土壤造成污染。</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从钻井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防渗处理的地面有效阻止污染物的下渗。</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2、过程控制措施</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（1）地面漫流污染途径治理措施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泥浆不落地技术工艺区域及泥浆循环系统、泥浆料台区、油罐区、柴油机组区均设置了防雨棚，危险废物、发电机均设在活动房内，方井周边、放喷池在雨天加盖篷布，避免暴雨引起废水、废油外溢形成地面漫流。并在废水收集罐周围设置0.</w:t>
      </w:r>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m高围堰，防止废水外溢；油罐区周围设置0.</w:t>
      </w:r>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m高围堰及集油池，防止</w:t>
      </w:r>
      <w:r>
        <w:rPr>
          <w:rFonts w:hint="default" w:ascii="Times New Roman" w:hAnsi="Times New Roman" w:cs="Times New Roman"/>
          <w:color w:val="000000" w:themeColor="text1"/>
          <w:highlight w:val="none"/>
          <w:lang w:eastAsia="zh-CN"/>
          <w14:textFill>
            <w14:solidFill>
              <w14:schemeClr w14:val="tx1"/>
            </w14:solidFill>
          </w14:textFill>
        </w:rPr>
        <w:t>泄漏</w:t>
      </w:r>
      <w:r>
        <w:rPr>
          <w:rFonts w:hint="default" w:ascii="Times New Roman" w:hAnsi="Times New Roman" w:cs="Times New Roman"/>
          <w:color w:val="000000" w:themeColor="text1"/>
          <w:highlight w:val="none"/>
          <w14:textFill>
            <w14:solidFill>
              <w14:schemeClr w14:val="tx1"/>
            </w14:solidFill>
          </w14:textFill>
        </w:rPr>
        <w:t>油料外溢；放喷池最低面墙设置不低于0.5m，避免废水进入；井口作业区周边设置导流沟，将可能泄露的废水导流至集污坑；井场四周设置双环沟，外环沟与自然沟渠连接，便于排出场地内雨水等，内环沟用于收集井场内的雨水和可能产生的污水，汇入集污坑。通过以上措施全面防控事故废水和可能受污染的雨水发生地面漫流，进入土壤。</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（2）垂直入渗污染途径治理措施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场进行分区防渗，见地下水污染防治措施章节。对易泄漏的废水收集罐、废渣收集罐、泥浆储罐、泥浆循环罐、柴油罐、污水罐等罐体采用防腐、不易破损的材质，防治罐体腐蚀破裂导致污染物泄露；井场设备、管道阀门宜采用密封性好、不易腐蚀的，防止污染物通过阀门泄漏到地面上。</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总的来说，地下水和土壤污染防治措施应按照“源头控制、分区防控、污染监控、应急响应”相结合的原则，从污染物的产生、入渗、扩散、应急响应进行控制。这些措施</w:t>
      </w:r>
      <w:r>
        <w:rPr>
          <w:rFonts w:hint="default" w:ascii="Times New Roman" w:hAnsi="Times New Roman" w:cs="Times New Roman"/>
          <w:color w:val="000000" w:themeColor="text1"/>
          <w:szCs w:val="24"/>
          <w:highlight w:val="none"/>
          <w14:textFill>
            <w14:solidFill>
              <w14:schemeClr w14:val="tx1"/>
            </w14:solidFill>
          </w14:textFill>
        </w:rPr>
        <w:t>在川东北地区钻采工程中已实施多年，具有较好的借鉴经验。根据本井场周边其他中石化川东北地区钻采工程采用相同土壤污染防治措施，在加强管理和监控后，无土壤污染现象和投诉发生。因此，本项目施工期土壤污染防治措施从经济和环保角度分析是合理、可行的。</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35" w:name="_Toc120173216"/>
      <w:r>
        <w:rPr>
          <w:rFonts w:hint="default" w:ascii="Times New Roman" w:hAnsi="Times New Roman" w:cs="Times New Roman"/>
          <w:color w:val="000000" w:themeColor="text1"/>
          <w:highlight w:val="none"/>
          <w:lang w:eastAsia="zh-CN"/>
          <w14:textFill>
            <w14:solidFill>
              <w14:schemeClr w14:val="tx1"/>
            </w14:solidFill>
          </w14:textFill>
        </w:rPr>
        <w:t>施工期固体废物污染防治措施</w:t>
      </w:r>
      <w:bookmarkEnd w:id="435"/>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eastAsia="黑体" w:cs="Times New Roman"/>
          <w:color w:val="000000" w:themeColor="text1"/>
          <w:highlight w:val="none"/>
          <w:lang w:val="en-US" w:eastAsia="zh-CN"/>
          <w14:textFill>
            <w14:solidFill>
              <w14:schemeClr w14:val="tx1"/>
            </w14:solidFill>
          </w14:textFill>
        </w:rPr>
        <w:t>1、钻前工程</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Cs w:val="24"/>
          <w:highlight w:val="none"/>
          <w:lang w:val="en-US" w:eastAsia="zh-CN"/>
          <w14:textFill>
            <w14:solidFill>
              <w14:schemeClr w14:val="tx1"/>
            </w14:solidFill>
          </w14:textFill>
        </w:rPr>
        <w:t>（1）基础开挖土石方</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项目钻前工程在设备基础过程中将产生土石方，集中堆放至井场东侧的表土堆场，表土用于后期生态恢复，综合利用。由于土石方产生量较少，前期老井场已建有表土堆放区，能够满足本项目少量的土石方堆放需求。因此，该措施可行。</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）建筑垃圾</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施工现场设置临时建筑垃圾堆放场，覆盖塑料布并做好地面防渗漏处理。建筑垃圾除部分回收利用以外，剩余部分堆放达一定量时应及时清运到当地政府指定的建筑垃圾场处理。运输应尽量避开交通高峰期，并选择对周围环境影响较小的运输路线，运输车辆出场时必须封闭，避免在运输过程中的抛洒现象。</w:t>
      </w:r>
      <w:r>
        <w:rPr>
          <w:rFonts w:hint="default" w:ascii="Times New Roman" w:hAnsi="Times New Roman" w:cs="Times New Roman"/>
          <w:color w:val="000000" w:themeColor="text1"/>
          <w:highlight w:val="none"/>
          <w:lang w:val="en-US" w:eastAsia="zh-CN"/>
          <w14:textFill>
            <w14:solidFill>
              <w14:schemeClr w14:val="tx1"/>
            </w14:solidFill>
          </w14:textFill>
        </w:rPr>
        <w:t>该措施可行。</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eastAsia="黑体" w:cs="Times New Roman"/>
          <w:color w:val="000000" w:themeColor="text1"/>
          <w:highlight w:val="none"/>
          <w:lang w:val="en-US" w:eastAsia="zh-CN"/>
          <w14:textFill>
            <w14:solidFill>
              <w14:schemeClr w14:val="tx1"/>
            </w14:solidFill>
          </w14:textFill>
        </w:rPr>
        <w:t>2、钻井工程</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highlight w:val="none"/>
          <w:lang w:val="en-US" w:eastAsia="zh-CN"/>
          <w14:textFill>
            <w14:solidFill>
              <w14:schemeClr w14:val="tx1"/>
            </w14:solidFill>
          </w14:textFill>
        </w:rPr>
        <w:t>1）</w:t>
      </w:r>
      <w:r>
        <w:rPr>
          <w:rFonts w:hint="default" w:ascii="Times New Roman" w:hAnsi="Times New Roman" w:cs="Times New Roman"/>
          <w:b/>
          <w:bCs/>
          <w:color w:val="000000" w:themeColor="text1"/>
          <w:highlight w:val="none"/>
          <w14:textFill>
            <w14:solidFill>
              <w14:schemeClr w14:val="tx1"/>
            </w14:solidFill>
          </w14:textFill>
        </w:rPr>
        <w:t>水基钻井固废</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水基废弃泥浆和岩屑在钻井现场经泥浆不落地工艺经脱稳-板框压滤进行固液分离后产生的固态</w:t>
      </w:r>
      <w:r>
        <w:rPr>
          <w:rFonts w:hint="default" w:ascii="Times New Roman" w:hAnsi="Times New Roman" w:cs="Times New Roman"/>
          <w:bCs/>
          <w:color w:val="000000" w:themeColor="text1"/>
          <w:highlight w:val="none"/>
          <w14:textFill>
            <w14:solidFill>
              <w14:schemeClr w14:val="tx1"/>
            </w14:solidFill>
          </w14:textFill>
        </w:rPr>
        <w:t>钻井固废</w:t>
      </w:r>
      <w:r>
        <w:rPr>
          <w:rFonts w:hint="default" w:ascii="Times New Roman" w:hAnsi="Times New Roman" w:cs="Times New Roman"/>
          <w:color w:val="000000" w:themeColor="text1"/>
          <w:highlight w:val="none"/>
          <w14:textFill>
            <w14:solidFill>
              <w14:schemeClr w14:val="tx1"/>
            </w14:solidFill>
          </w14:textFill>
        </w:rPr>
        <w:t>，在</w:t>
      </w:r>
      <w:r>
        <w:rPr>
          <w:rFonts w:hint="default" w:ascii="Times New Roman" w:hAnsi="Times New Roman" w:cs="Times New Roman"/>
          <w:color w:val="000000" w:themeColor="text1"/>
          <w:szCs w:val="24"/>
          <w:highlight w:val="none"/>
          <w14:textFill>
            <w14:solidFill>
              <w14:schemeClr w14:val="tx1"/>
            </w14:solidFill>
          </w14:textFill>
        </w:rPr>
        <w:t>泥浆不落地装置附近设置钻井固废暂存区</w:t>
      </w:r>
      <w:r>
        <w:rPr>
          <w:rFonts w:hint="default" w:ascii="Times New Roman" w:hAnsi="Times New Roman" w:cs="Times New Roman"/>
          <w:color w:val="000000" w:themeColor="text1"/>
          <w:highlight w:val="none"/>
          <w14:textFill>
            <w14:solidFill>
              <w14:schemeClr w14:val="tx1"/>
            </w14:solidFill>
          </w14:textFill>
        </w:rPr>
        <w:t>由废渣收集罐收集后临时暂存，定期用密闭罐车就近交给依法取得生态环境部门关于利用和处置相关工业固体废物项目环评批复、具有处理处置相应固体废物能力并配套建设有废气、废水、固废等污染物治理设施的单位进行资源化利用。本项目水基钻井固废产生量约609.62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，项目设置在</w:t>
      </w:r>
      <w:r>
        <w:rPr>
          <w:rFonts w:hint="default" w:ascii="Times New Roman" w:hAnsi="Times New Roman" w:cs="Times New Roman"/>
          <w:color w:val="000000" w:themeColor="text1"/>
          <w:szCs w:val="24"/>
          <w:highlight w:val="none"/>
          <w14:textFill>
            <w14:solidFill>
              <w14:schemeClr w14:val="tx1"/>
            </w14:solidFill>
          </w14:textFill>
        </w:rPr>
        <w:t>钻井固废暂存区</w:t>
      </w:r>
      <w:r>
        <w:rPr>
          <w:rFonts w:hint="default" w:ascii="Times New Roman" w:hAnsi="Times New Roman" w:cs="Times New Roman"/>
          <w:color w:val="000000" w:themeColor="text1"/>
          <w:highlight w:val="none"/>
          <w14:textFill>
            <w14:solidFill>
              <w14:schemeClr w14:val="tx1"/>
            </w14:solidFill>
          </w14:textFill>
        </w:rPr>
        <w:t>的废渣收集罐容积约100m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在暂存容积剩余约20％前及时进行转运，能够确保满足水基钻井固废的暂存，不会出现外溢的现象。整个过程废泥浆和岩屑能实现“不落地”，收集和储存主要在罐中实现，最终需拉运资源化利用的为固相。由于其为第Ⅱ类一般工业固体废物，建设单位参照</w:t>
      </w:r>
      <w:r>
        <w:rPr>
          <w:rFonts w:hint="default" w:ascii="Times New Roman" w:hAnsi="Times New Roman" w:cs="Times New Roman"/>
          <w:snapToGrid w:val="0"/>
          <w:color w:val="000000" w:themeColor="text1"/>
          <w:highlight w:val="none"/>
          <w14:textFill>
            <w14:solidFill>
              <w14:schemeClr w14:val="tx1"/>
            </w14:solidFill>
          </w14:textFill>
        </w:rPr>
        <w:t>《一般工业固体废物贮存和填埋污染控制标准》GB18599-2020中对第Ⅱ类一般工业固体废物的处置要求</w:t>
      </w:r>
      <w:r>
        <w:rPr>
          <w:rFonts w:hint="default" w:ascii="Times New Roman" w:hAnsi="Times New Roman" w:cs="Times New Roman"/>
          <w:color w:val="000000" w:themeColor="text1"/>
          <w:highlight w:val="none"/>
          <w14:textFill>
            <w14:solidFill>
              <w14:schemeClr w14:val="tx1"/>
            </w14:solidFill>
          </w14:textFill>
        </w:rPr>
        <w:t>。本项目水基钻井固废钻井过程中经泥浆不落地工艺进行固液分离后定期用密闭罐车就近交给依法取得生态环境部门关于利用和处置相关工业固体废物项目环评批复、具有处理处置相应固体废物能力并配套建设有废气、废水、固废等污染物治理设施的单位进行资源化利用</w:t>
      </w:r>
      <w:r>
        <w:rPr>
          <w:rFonts w:hint="default" w:ascii="Times New Roman" w:hAnsi="Times New Roman" w:cs="Times New Roman"/>
          <w:color w:val="000000" w:themeColor="text1"/>
          <w:highlight w:val="none"/>
          <w:shd w:val="clear" w:color="auto" w:fill="FFFFFF"/>
          <w14:textFill>
            <w14:solidFill>
              <w14:schemeClr w14:val="tx1"/>
            </w14:solidFill>
          </w14:textFill>
        </w:rPr>
        <w:t>，基本不在井场暂存</w:t>
      </w:r>
      <w:r>
        <w:rPr>
          <w:rFonts w:hint="default" w:ascii="Times New Roman" w:hAnsi="Times New Roman" w:cs="Times New Roman"/>
          <w:color w:val="000000" w:themeColor="text1"/>
          <w:highlight w:val="none"/>
          <w14:textFill>
            <w14:solidFill>
              <w14:schemeClr w14:val="tx1"/>
            </w14:solidFill>
          </w14:textFill>
        </w:rPr>
        <w:t>。同时此举符合《水泥窑协同处置固体废物污染防治技术政策》（环保部公告2016年第72号），属国家鼓励的污染物治理方式。</w:t>
      </w:r>
      <w:r>
        <w:rPr>
          <w:rFonts w:hint="default" w:ascii="Times New Roman" w:hAnsi="Times New Roman" w:cs="Times New Roman"/>
          <w:bCs/>
          <w:color w:val="000000" w:themeColor="text1"/>
          <w:highlight w:val="none"/>
          <w14:textFill>
            <w14:solidFill>
              <w14:schemeClr w14:val="tx1"/>
            </w14:solidFill>
          </w14:textFill>
        </w:rPr>
        <w:t>完钻后井筒内替换出来的泥浆经循环系统处理后与泥浆循环系统内剩余的合格钻井泥浆用于区块其他项目钻井回用</w:t>
      </w:r>
      <w:r>
        <w:rPr>
          <w:rFonts w:hint="default" w:ascii="Times New Roman" w:hAnsi="Times New Roman" w:cs="Times New Roman"/>
          <w:color w:val="000000" w:themeColor="text1"/>
          <w:highlight w:val="none"/>
          <w14:textFill>
            <w14:solidFill>
              <w14:schemeClr w14:val="tx1"/>
            </w14:solidFill>
          </w14:textFill>
        </w:rPr>
        <w:t>。</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水基钻井固废属于第Ⅱ类一般固体废物，收集后定期用密闭罐车就近交给依法取得生态环境部门关于利用和处置相关工业固体废物项目环评批复、具有处理处置相应固体废物能力并配套建设有废气、废水、固废等污染物治理设施的单位进行资源化利用。满足《达州市生态环境局办公室关于加强固体废物污染防治工作的通知》（达市环办发〔2019〕49号文件要求。</w:t>
      </w:r>
      <w:r>
        <w:rPr>
          <w:rFonts w:hint="default" w:ascii="Times New Roman" w:hAnsi="Times New Roman" w:cs="Times New Roman"/>
          <w:bCs/>
          <w:color w:val="000000" w:themeColor="text1"/>
          <w:highlight w:val="none"/>
          <w14:textFill>
            <w14:solidFill>
              <w14:schemeClr w14:val="tx1"/>
            </w14:solidFill>
          </w14:textFill>
        </w:rPr>
        <w:t>钻井废弃物中SiO</w:t>
      </w:r>
      <w:r>
        <w:rPr>
          <w:rFonts w:hint="default" w:ascii="Times New Roman" w:hAnsi="Times New Roman" w:cs="Times New Roman"/>
          <w:bCs/>
          <w:color w:val="000000" w:themeColor="text1"/>
          <w:highlight w:val="none"/>
          <w:vertAlign w:val="subscript"/>
          <w14:textFill>
            <w14:solidFill>
              <w14:schemeClr w14:val="tx1"/>
            </w14:solidFill>
          </w14:textFill>
        </w:rPr>
        <w:t>2</w:t>
      </w:r>
      <w:r>
        <w:rPr>
          <w:rFonts w:hint="default" w:ascii="Times New Roman" w:hAnsi="Times New Roman" w:cs="Times New Roman"/>
          <w:bCs/>
          <w:color w:val="000000" w:themeColor="text1"/>
          <w:highlight w:val="none"/>
          <w14:textFill>
            <w14:solidFill>
              <w14:schemeClr w14:val="tx1"/>
            </w14:solidFill>
          </w14:textFill>
        </w:rPr>
        <w:t>、Al</w:t>
      </w:r>
      <w:r>
        <w:rPr>
          <w:rFonts w:hint="default" w:ascii="Times New Roman" w:hAnsi="Times New Roman" w:cs="Times New Roman"/>
          <w:bCs/>
          <w:color w:val="000000" w:themeColor="text1"/>
          <w:highlight w:val="none"/>
          <w:vertAlign w:val="subscript"/>
          <w14:textFill>
            <w14:solidFill>
              <w14:schemeClr w14:val="tx1"/>
            </w14:solidFill>
          </w14:textFill>
        </w:rPr>
        <w:t>2</w:t>
      </w:r>
      <w:r>
        <w:rPr>
          <w:rFonts w:hint="default" w:ascii="Times New Roman" w:hAnsi="Times New Roman" w:cs="Times New Roman"/>
          <w:bCs/>
          <w:color w:val="000000" w:themeColor="text1"/>
          <w:highlight w:val="none"/>
          <w14:textFill>
            <w14:solidFill>
              <w14:schemeClr w14:val="tx1"/>
            </w14:solidFill>
          </w14:textFill>
        </w:rPr>
        <w:t>O</w:t>
      </w:r>
      <w:r>
        <w:rPr>
          <w:rFonts w:hint="default" w:ascii="Times New Roman" w:hAnsi="Times New Roman" w:cs="Times New Roman"/>
          <w:bCs/>
          <w:color w:val="000000" w:themeColor="text1"/>
          <w:highlight w:val="none"/>
          <w:vertAlign w:val="sub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及CaO为其</w:t>
      </w:r>
      <w:r>
        <w:rPr>
          <w:rFonts w:hint="eastAsia" w:cs="Times New Roman"/>
          <w:bCs/>
          <w:color w:val="000000" w:themeColor="text1"/>
          <w:highlight w:val="none"/>
          <w:lang w:eastAsia="zh-CN"/>
          <w14:textFill>
            <w14:solidFill>
              <w14:schemeClr w14:val="tx1"/>
            </w14:solidFill>
          </w14:textFill>
        </w:rPr>
        <w:t>主要成分</w:t>
      </w:r>
      <w:r>
        <w:rPr>
          <w:rFonts w:hint="default" w:ascii="Times New Roman" w:hAnsi="Times New Roman" w:cs="Times New Roman"/>
          <w:bCs/>
          <w:color w:val="000000" w:themeColor="text1"/>
          <w:highlight w:val="none"/>
          <w14:textFill>
            <w14:solidFill>
              <w14:schemeClr w14:val="tx1"/>
            </w14:solidFill>
          </w14:textFill>
        </w:rPr>
        <w:t>，其与砖、水泥生料成份有相似之处，类比同类钻井废弃物处置项目，钻井废弃物</w:t>
      </w:r>
      <w:r>
        <w:rPr>
          <w:rFonts w:hint="default" w:ascii="Times New Roman" w:hAnsi="Times New Roman" w:cs="Times New Roman"/>
          <w:color w:val="000000" w:themeColor="text1"/>
          <w:highlight w:val="none"/>
          <w14:textFill>
            <w14:solidFill>
              <w14:schemeClr w14:val="tx1"/>
            </w14:solidFill>
          </w14:textFill>
        </w:rPr>
        <w:t>资源化利用从技术上是可行的。与中石化合作的有资质单位均有接收本项目钻井固废的能力且接收能力很大，因此建设单位在钻井期应根据中石化中原油田普光分公司统筹安排，尽量就近选择有处理能力的资质单位处置本项目的钻井固废，在开钻与拉运前做好协调沟通工作，确保项目钻井固废能够得到妥善有效处置，在采取上述措施后本项目钻井固废资源化综合利用从环保角度分析是可行的。</w:t>
      </w:r>
    </w:p>
    <w:p>
      <w:pPr>
        <w:ind w:firstLine="482"/>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highlight w:val="none"/>
          <w:lang w:val="en-US" w:eastAsia="zh-CN"/>
          <w14:textFill>
            <w14:solidFill>
              <w14:schemeClr w14:val="tx1"/>
            </w14:solidFill>
          </w14:textFill>
        </w:rPr>
        <w:t>2）油基钻井固废</w:t>
      </w:r>
    </w:p>
    <w:p>
      <w:pPr>
        <w:widowControl/>
        <w:ind w:firstLine="480"/>
        <w:rPr>
          <w:rFonts w:hint="default" w:ascii="Times New Roman" w:hAnsi="Times New Roman" w:cs="Times New Roman"/>
          <w:bCs/>
          <w:color w:val="000000" w:themeColor="text1"/>
          <w:kern w:val="0"/>
          <w:highlight w:val="none"/>
          <w14:textFill>
            <w14:solidFill>
              <w14:schemeClr w14:val="tx1"/>
            </w14:solidFill>
          </w14:textFill>
        </w:rPr>
      </w:pPr>
      <w:r>
        <w:rPr>
          <w:rFonts w:hint="default" w:ascii="Times New Roman" w:hAnsi="Times New Roman" w:cs="Times New Roman"/>
          <w:color w:val="000000" w:themeColor="text1"/>
          <w:kern w:val="0"/>
          <w:highlight w:val="none"/>
          <w14:textFill>
            <w14:solidFill>
              <w14:schemeClr w14:val="tx1"/>
            </w14:solidFill>
          </w14:textFill>
        </w:rPr>
        <w:t>如遇特殊地层，可能使用油基钻井液，根据前文计算公式可知，</w:t>
      </w:r>
      <w:r>
        <w:rPr>
          <w:rFonts w:hint="default" w:ascii="Times New Roman" w:hAnsi="Times New Roman" w:cs="Times New Roman"/>
          <w:color w:val="000000" w:themeColor="text1"/>
          <w:highlight w:val="none"/>
          <w14:textFill>
            <w14:solidFill>
              <w14:schemeClr w14:val="tx1"/>
            </w14:solidFill>
          </w14:textFill>
        </w:rPr>
        <w:t>废油基泥浆与油基岩屑产生量约为320.17m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kern w:val="0"/>
          <w:highlight w:val="none"/>
          <w14:textFill>
            <w14:solidFill>
              <w14:schemeClr w14:val="tx1"/>
            </w14:solidFill>
          </w14:textFill>
        </w:rPr>
        <w:t>。油基钻井废泥浆、岩屑暂存于新建的60m</w:t>
      </w:r>
      <w:r>
        <w:rPr>
          <w:rFonts w:hint="default" w:ascii="Times New Roman" w:hAnsi="Times New Roman" w:cs="Times New Roman"/>
          <w:color w:val="000000" w:themeColor="text1"/>
          <w:kern w:val="0"/>
          <w:highlight w:val="none"/>
          <w:vertAlign w:val="superscript"/>
          <w14:textFill>
            <w14:solidFill>
              <w14:schemeClr w14:val="tx1"/>
            </w14:solidFill>
          </w14:textFill>
        </w:rPr>
        <w:t>2</w:t>
      </w:r>
      <w:r>
        <w:rPr>
          <w:rFonts w:hint="default" w:ascii="Times New Roman" w:hAnsi="Times New Roman" w:cs="Times New Roman"/>
          <w:color w:val="000000" w:themeColor="text1"/>
          <w:kern w:val="0"/>
          <w:highlight w:val="none"/>
          <w14:textFill>
            <w14:solidFill>
              <w14:schemeClr w14:val="tx1"/>
            </w14:solidFill>
          </w14:textFill>
        </w:rPr>
        <w:t>危险废物暂存场所（采取必要的防风、防晒、防雨、防漏、防渗、防腐以及其他环境污染防治措施，不得露天堆放危险废物），泥浆和油基钻井岩屑</w:t>
      </w:r>
      <w:r>
        <w:rPr>
          <w:rFonts w:hint="default" w:ascii="Times New Roman" w:hAnsi="Times New Roman" w:cs="Times New Roman"/>
          <w:color w:val="000000" w:themeColor="text1"/>
          <w:kern w:val="0"/>
          <w:highlight w:val="none"/>
          <w:lang w:eastAsia="zh-CN"/>
          <w14:textFill>
            <w14:solidFill>
              <w14:schemeClr w14:val="tx1"/>
            </w14:solidFill>
          </w14:textFill>
        </w:rPr>
        <w:t>及时</w:t>
      </w:r>
      <w:r>
        <w:rPr>
          <w:rFonts w:hint="default" w:ascii="Times New Roman" w:hAnsi="Times New Roman" w:cs="Times New Roman"/>
          <w:color w:val="000000" w:themeColor="text1"/>
          <w:kern w:val="0"/>
          <w:highlight w:val="none"/>
          <w14:textFill>
            <w14:solidFill>
              <w14:schemeClr w14:val="tx1"/>
            </w14:solidFill>
          </w14:textFill>
        </w:rPr>
        <w:t>交由有资质的单位处置。</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建设单位承诺对于本项目产生的危险废物，将严格按照《危险废物贮存污染控制标准》（GB18597-2023）、《危险废物产生单位管理计划制定指南</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危险废物转移管理办法</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危险废物收集 贮存 运输技术规范》（HJ2025）和《危险废物环境管理指南 陆上石油天然气开采》等要求采取管理，建立健全危险废物产生、收集、贮存、运输、利用、处置全过程的污染环境防治责任制度，确保各危险废物得到有效收集、贮存和处置，具体如下：</w:t>
      </w:r>
    </w:p>
    <w:p>
      <w:pPr>
        <w:ind w:firstLine="482"/>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1）井场暂存的可行性分析</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油及其他含油固废：井场内设置废油桶集中收集废油，废油桶置于泥浆不落地装置区，并做“防风、防雨、防晒、防渗漏”等措施。暂存区严格按照《危险废物贮存污染控制标准》（GB18597-2023）设置安全照明设施和观察窗口，钢结构房间地面无裂缝，废油用废油桶收集后放置于暂存区内，按照《危险废物识别标志设置技术规范》（HJ 1276-2022）设置危险废物识别标志，满足《危险废物贮存污染控制标准》（GB18597-2023）设计要求。暂存期间做好废油管理记录，通过擦拭站场设备等方式回收综合利用，不能综合利用的废油、不能继续使用的废油桶以及擦拭站场设备产生的其他含油固废交由有资质的单位处理，因此废油及其他含油井固废在井场内暂存可行。</w:t>
      </w:r>
    </w:p>
    <w:p>
      <w:pPr>
        <w:ind w:firstLine="482"/>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
          <w:color w:val="000000" w:themeColor="text1"/>
          <w:szCs w:val="24"/>
          <w:highlight w:val="none"/>
          <w14:textFill>
            <w14:solidFill>
              <w14:schemeClr w14:val="tx1"/>
            </w14:solidFill>
          </w14:textFill>
        </w:rPr>
        <w:t>2）危险废物贮存、处置环境管理</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项目废油等其他含油固废采用油桶收集，整体转运方式转运，避免转运过程中的跑冒滴漏，严格按照《危险废物收集、贮存、运输集输规范》（HJ2025-2012）等危废运输管理各项规定予以落实，场内转运车辆按照预定线路转运，加强转运人员的环境风险防范意识教育，编制转运环境风险应急预案，场外转运委托危废资质单位专业转运，转运车辆环境管理措施可行。</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为加强四川省危险废物监督管理工作，四川省固体废物管理中心每年都会组织行政区域内危险废物产生单位对当年危险废物的产生、贮存、转移、利用、处置等情况进行申报，本项目须严格按照当地危险废物登记申报环境管理相关要求，以企业为单位，本项目产生危险固废阶段为子项汇总后主动向当地环境行政主管部门申报，接受监督检查。</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为加强危废的环境管理，本项目应严格按照《危险废物收集贮存运输技术规范》（HJ2025-2012）、《危险废物转移联单管理办法》（原国家环境保护总局令第5号）和《危险废物环境管理指南 陆上石油天然气开采》等相关环境管理要求，做到如下环境管理。</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1 \* GB3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①</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落实污染环境防治责任制度，建立健全工业危险废物产生、收集、贮存、运输、利用、处置全过程的污染环境防治责任制度。</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2 \* GB3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②</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落实危险废物识别标志制度，按照《危险废物识别标志设置技术规范》（HJ 1276-2022）等有关规定，对危险废物的容器和包装物以及收集、贮存、运输、利用、处置危险废物的设施、场所设置危险废物识别标志。</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3 \* GB3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③</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落实危险废物管理计划制度，按照《危险废物产生单位管理计划制定指南》等有关要求制定危险废物管理计划，并报所在地生态环境主管部门备案。</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4 \* GB3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④</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落实危险废物管理台账及申报制度，建立危险废物管理台账，如实记录有关信息，并通过国家危险废物信息管理系统向所在地生态环境主管部门申报危险废物的种类、产生量、流向、贮存、处置等有关资料。</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5 \* GB3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⑤</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落实危险废物经营许可证制度，禁止将危险废物提供或委托给无危险废物经营许可证的单位或者其他生产经营者从事收集、贮存、利用、处置活动。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6 \* GB3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⑥</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落实危险废物转移联单制度，转移危险废物的，应当按照《危险废物转移管理办法》的有关规定填写、运行危险废物转移联单。运输危险废物，应当采取防止污染环境的措施，并遵守国家有关危险货物运输管理的规定。废油转运实施五联单转运制度，联单第一联由产生单位自留存档，联单第二联副联由产生单位在二日内报送移出地环境保护行政主管部门；接受单位将联单第三联交付运输单位存档；将联单第四联自留存档；将联单第五联自接受危险废物之日起二日内报送接受地环境保护行政主管部门，联单保存期限为五年。</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7 \* GB3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⑦</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落实排污许可制度。</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8 \* GB3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⑧</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落实环境保护标准制度，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危险废物收集、贮存和运输过程的污染控制执行《危险废物贮存污染控制标准》（GB18597-2023）《危险废物收集贮存 运输技术规范》（HJ2025）等有关规定。</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9 \* GB3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⑨</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落实环境影响评价制度及环境保护三同时制度，需要配套建设的危险废物贮存、利用和处置设施应当与主体工程同时设计、同时施工、同时投入使用。</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 10 \* GB3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⑩</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落实环境应急预案制度，参考《危险废物经营单位编制应急预案指南》有关规定制定意外事故的防范措施和环境应急预案，并向所在地生态环境主管部门和其他负有固体废物污染环境防治监督管理职责的部门备案。井场设专门的储存区贮存废润滑油、废含油抹布和劳保用品、含有或沾染矿物油的废弃包装物和容器等。</w:t>
      </w:r>
    </w:p>
    <w:p>
      <w:pPr>
        <w:ind w:firstLine="480"/>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综上所述，</w:t>
      </w:r>
      <w:r>
        <w:rPr>
          <w:rFonts w:hint="default" w:ascii="Times New Roman" w:hAnsi="Times New Roman" w:cs="Times New Roman"/>
          <w:b/>
          <w:bCs/>
          <w:color w:val="000000" w:themeColor="text1"/>
          <w:highlight w:val="none"/>
          <w14:textFill>
            <w14:solidFill>
              <w14:schemeClr w14:val="tx1"/>
            </w14:solidFill>
          </w14:textFill>
        </w:rPr>
        <w:t>本项目钻井施工期危废主要为HW08 900-214-08废油危废，由于HW08 900-214-08废油危废产生量少，施工现场通过加强施工现场环境管理措施减少和控制废油产生，产生量进一步减小，一般不会超过周边危废处置单位处置能力，交由危废资质单位处置的措施可行。</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（2）生活垃圾</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钻井期</w:t>
      </w:r>
      <w:r>
        <w:rPr>
          <w:rFonts w:hint="default" w:ascii="Times New Roman" w:hAnsi="Times New Roman" w:cs="Times New Roman"/>
          <w:bCs/>
          <w:color w:val="000000" w:themeColor="text1"/>
          <w:highlight w:val="none"/>
          <w14:textFill>
            <w14:solidFill>
              <w14:schemeClr w14:val="tx1"/>
            </w14:solidFill>
          </w14:textFill>
        </w:rPr>
        <w:t>井场设置垃圾桶进行收集，垃圾桶进行防雨防风处理，定期清运交由当地环卫部门统一处理。</w:t>
      </w:r>
    </w:p>
    <w:p>
      <w:pPr>
        <w:ind w:firstLine="482"/>
        <w:rPr>
          <w:rFonts w:hint="default" w:ascii="Times New Roman" w:hAnsi="Times New Roman" w:cs="Times New Roman"/>
          <w:b/>
          <w:bCs/>
          <w:color w:val="000000" w:themeColor="text1"/>
          <w:highlight w:val="none"/>
          <w:lang w:eastAsia="zh-CN"/>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highlight w:val="none"/>
          <w:lang w:val="en-US" w:eastAsia="zh-CN"/>
          <w14:textFill>
            <w14:solidFill>
              <w14:schemeClr w14:val="tx1"/>
            </w14:solidFill>
          </w14:textFill>
        </w:rPr>
        <w:t>3</w:t>
      </w:r>
      <w:r>
        <w:rPr>
          <w:rFonts w:hint="default" w:ascii="Times New Roman" w:hAnsi="Times New Roman" w:cs="Times New Roman"/>
          <w:b/>
          <w:bCs/>
          <w:color w:val="000000" w:themeColor="text1"/>
          <w:highlight w:val="none"/>
          <w:lang w:eastAsia="zh-CN"/>
          <w14:textFill>
            <w14:solidFill>
              <w14:schemeClr w14:val="tx1"/>
            </w14:solidFill>
          </w14:textFill>
        </w:rPr>
        <w:t>）废油及其他不能使用含油废物</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生的废油由施工单位统一收集并综合利用，若不能全部回用，不能综合利用的废油、不能继续使用的废油桶以及擦拭站场设备产生的其他含油固废交由有资质的单位处理。废油的收集、贮存和运输应满足《危险废物收集、贮存、运输技术规范》（HJ2025-2012）及《废矿物油回收利用污染控制技术规范》（HJ607-2011）相关规定。</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w:t>
      </w:r>
      <w:r>
        <w:rPr>
          <w:rFonts w:hint="default" w:ascii="Times New Roman" w:hAnsi="Times New Roman" w:cs="Times New Roman"/>
          <w:b/>
          <w:bCs/>
          <w:color w:val="000000" w:themeColor="text1"/>
          <w:highlight w:val="none"/>
          <w:lang w:val="en-US" w:eastAsia="zh-CN"/>
          <w14:textFill>
            <w14:solidFill>
              <w14:schemeClr w14:val="tx1"/>
            </w14:solidFill>
          </w14:textFill>
        </w:rPr>
        <w:t>4</w:t>
      </w:r>
      <w:r>
        <w:rPr>
          <w:rFonts w:hint="default" w:ascii="Times New Roman" w:hAnsi="Times New Roman" w:cs="Times New Roman"/>
          <w:b/>
          <w:bCs/>
          <w:color w:val="000000" w:themeColor="text1"/>
          <w:highlight w:val="none"/>
          <w14:textFill>
            <w14:solidFill>
              <w14:schemeClr w14:val="tx1"/>
            </w14:solidFill>
          </w14:textFill>
        </w:rPr>
        <w:t>）废包装材料等其他一般固废</w:t>
      </w:r>
    </w:p>
    <w:p>
      <w:pPr>
        <w:ind w:firstLine="48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部分回收重复利用，不可回用部分经收集后暂处于井场内，定期送当地废品回收站处理。</w:t>
      </w:r>
      <w:r>
        <w:rPr>
          <w:rFonts w:hint="default" w:ascii="Times New Roman" w:hAnsi="Times New Roman" w:cs="Times New Roman"/>
          <w:color w:val="000000" w:themeColor="text1"/>
          <w:highlight w:val="none"/>
          <w:lang w:val="en-US" w:eastAsia="zh-CN"/>
          <w14:textFill>
            <w14:solidFill>
              <w14:schemeClr w14:val="tx1"/>
            </w14:solidFill>
          </w14:textFill>
        </w:rPr>
        <w:t>废包装材料能够得到妥善处置，该处置措施可行。</w:t>
      </w:r>
    </w:p>
    <w:p>
      <w:pPr>
        <w:ind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lang w:eastAsia="zh-CN"/>
          <w14:textFill>
            <w14:solidFill>
              <w14:schemeClr w14:val="tx1"/>
            </w14:solidFill>
          </w14:textFill>
        </w:rPr>
        <w:t>（</w:t>
      </w:r>
      <w:r>
        <w:rPr>
          <w:rFonts w:hint="default" w:ascii="Times New Roman" w:hAnsi="Times New Roman" w:cs="Times New Roman"/>
          <w:b/>
          <w:bCs/>
          <w:color w:val="000000" w:themeColor="text1"/>
          <w:highlight w:val="none"/>
          <w:lang w:val="en-US" w:eastAsia="zh-CN"/>
          <w14:textFill>
            <w14:solidFill>
              <w14:schemeClr w14:val="tx1"/>
            </w14:solidFill>
          </w14:textFill>
        </w:rPr>
        <w:t>5）</w:t>
      </w:r>
      <w:r>
        <w:rPr>
          <w:rFonts w:hint="default" w:ascii="Times New Roman" w:hAnsi="Times New Roman" w:cs="Times New Roman"/>
          <w:b/>
          <w:bCs/>
          <w:color w:val="000000" w:themeColor="text1"/>
          <w:highlight w:val="none"/>
          <w14:textFill>
            <w14:solidFill>
              <w14:schemeClr w14:val="tx1"/>
            </w14:solidFill>
          </w14:textFill>
        </w:rPr>
        <w:t>生活垃圾处置措施</w:t>
      </w:r>
    </w:p>
    <w:p>
      <w:pPr>
        <w:ind w:firstLine="48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钻井队作业人员的生活垃圾储存于生活垃圾桶，交由当地环卫部门处理，措施可行。</w:t>
      </w:r>
      <w:r>
        <w:rPr>
          <w:rFonts w:hint="default" w:ascii="Times New Roman" w:hAnsi="Times New Roman" w:cs="Times New Roman"/>
          <w:color w:val="000000" w:themeColor="text1"/>
          <w:highlight w:val="none"/>
          <w:lang w:val="en-US" w:eastAsia="zh-CN"/>
          <w14:textFill>
            <w14:solidFill>
              <w14:schemeClr w14:val="tx1"/>
            </w14:solidFill>
          </w14:textFill>
        </w:rPr>
        <w:t>生活垃圾能够得到妥善处置，该处置措施可行。</w:t>
      </w:r>
    </w:p>
    <w:p>
      <w:pPr>
        <w:ind w:firstLine="480"/>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eastAsia="黑体" w:cs="Times New Roman"/>
          <w:color w:val="000000" w:themeColor="text1"/>
          <w:highlight w:val="none"/>
          <w:lang w:val="en-US" w:eastAsia="zh-CN"/>
          <w14:textFill>
            <w14:solidFill>
              <w14:schemeClr w14:val="tx1"/>
            </w14:solidFill>
          </w14:textFill>
        </w:rPr>
        <w:t>3、储层改造工程</w:t>
      </w:r>
    </w:p>
    <w:p>
      <w:pPr>
        <w:ind w:firstLine="480"/>
        <w:rPr>
          <w:rFonts w:hint="default" w:ascii="Times New Roman" w:hAnsi="Times New Roman" w:cs="Times New Roman"/>
          <w:b/>
          <w:bCs w:val="0"/>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val="0"/>
          <w:color w:val="000000" w:themeColor="text1"/>
          <w:szCs w:val="24"/>
          <w:highlight w:val="none"/>
          <w:lang w:eastAsia="zh-CN"/>
          <w14:textFill>
            <w14:solidFill>
              <w14:schemeClr w14:val="tx1"/>
            </w14:solidFill>
          </w14:textFill>
        </w:rPr>
        <w:t>（</w:t>
      </w:r>
      <w:r>
        <w:rPr>
          <w:rFonts w:hint="default" w:ascii="Times New Roman" w:hAnsi="Times New Roman" w:cs="Times New Roman"/>
          <w:b/>
          <w:bCs w:val="0"/>
          <w:color w:val="000000" w:themeColor="text1"/>
          <w:szCs w:val="24"/>
          <w:highlight w:val="none"/>
          <w:lang w:val="en-US" w:eastAsia="zh-CN"/>
          <w14:textFill>
            <w14:solidFill>
              <w14:schemeClr w14:val="tx1"/>
            </w14:solidFill>
          </w14:textFill>
        </w:rPr>
        <w:t>1）生活垃圾</w:t>
      </w:r>
    </w:p>
    <w:p>
      <w:pPr>
        <w:ind w:firstLine="480"/>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储层改造施工</w:t>
      </w:r>
      <w:r>
        <w:rPr>
          <w:rFonts w:hint="default" w:ascii="Times New Roman" w:hAnsi="Times New Roman" w:cs="Times New Roman"/>
          <w:bCs/>
          <w:color w:val="000000" w:themeColor="text1"/>
          <w:szCs w:val="24"/>
          <w:highlight w:val="none"/>
          <w14:textFill>
            <w14:solidFill>
              <w14:schemeClr w14:val="tx1"/>
            </w14:solidFill>
          </w14:textFill>
        </w:rPr>
        <w:t>作业人员的生活垃圾储存于生活垃圾桶，交由当地环卫部门处理，措施可行。</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生活垃圾能够得到妥善处置，该处置措施可行。</w:t>
      </w:r>
    </w:p>
    <w:p>
      <w:pPr>
        <w:ind w:firstLine="480"/>
        <w:rPr>
          <w:rFonts w:hint="default" w:ascii="Times New Roman" w:hAnsi="Times New Roman" w:cs="Times New Roman"/>
          <w:b/>
          <w:bCs w:val="0"/>
          <w:color w:val="000000" w:themeColor="text1"/>
          <w:szCs w:val="24"/>
          <w:highlight w:val="none"/>
          <w14:textFill>
            <w14:solidFill>
              <w14:schemeClr w14:val="tx1"/>
            </w14:solidFill>
          </w14:textFill>
        </w:rPr>
      </w:pPr>
      <w:r>
        <w:rPr>
          <w:rFonts w:hint="default" w:ascii="Times New Roman" w:hAnsi="Times New Roman" w:cs="Times New Roman"/>
          <w:b/>
          <w:bCs w:val="0"/>
          <w:color w:val="000000" w:themeColor="text1"/>
          <w:szCs w:val="24"/>
          <w:highlight w:val="none"/>
          <w:lang w:eastAsia="zh-CN"/>
          <w14:textFill>
            <w14:solidFill>
              <w14:schemeClr w14:val="tx1"/>
            </w14:solidFill>
          </w14:textFill>
        </w:rPr>
        <w:t>（</w:t>
      </w:r>
      <w:r>
        <w:rPr>
          <w:rFonts w:hint="default" w:ascii="Times New Roman" w:hAnsi="Times New Roman" w:cs="Times New Roman"/>
          <w:b/>
          <w:bCs w:val="0"/>
          <w:color w:val="000000" w:themeColor="text1"/>
          <w:szCs w:val="24"/>
          <w:highlight w:val="none"/>
          <w:lang w:val="en-US" w:eastAsia="zh-CN"/>
          <w14:textFill>
            <w14:solidFill>
              <w14:schemeClr w14:val="tx1"/>
            </w14:solidFill>
          </w14:textFill>
        </w:rPr>
        <w:t>2）</w:t>
      </w:r>
      <w:r>
        <w:rPr>
          <w:rFonts w:hint="default" w:ascii="Times New Roman" w:hAnsi="Times New Roman" w:cs="Times New Roman"/>
          <w:b/>
          <w:bCs w:val="0"/>
          <w:color w:val="000000" w:themeColor="text1"/>
          <w:szCs w:val="24"/>
          <w:highlight w:val="none"/>
          <w14:textFill>
            <w14:solidFill>
              <w14:schemeClr w14:val="tx1"/>
            </w14:solidFill>
          </w14:textFill>
        </w:rPr>
        <w:t>完井搬迁建筑垃圾</w:t>
      </w:r>
    </w:p>
    <w:p>
      <w:pPr>
        <w:ind w:firstLine="480"/>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完井搬迁时的建筑垃圾主要为</w:t>
      </w:r>
      <w:r>
        <w:rPr>
          <w:rFonts w:hint="default" w:ascii="Times New Roman" w:hAnsi="Times New Roman" w:cs="Times New Roman"/>
          <w:bCs/>
          <w:color w:val="000000" w:themeColor="text1"/>
          <w:szCs w:val="24"/>
          <w:highlight w:val="none"/>
          <w14:textFill>
            <w14:solidFill>
              <w14:schemeClr w14:val="tx1"/>
            </w14:solidFill>
          </w14:textFill>
        </w:rPr>
        <w:t>包装袋，废弃建筑施工材料</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施工队伍统一收集清运至政府指定地方</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该措施能够确保搬迁建筑垃圾得到妥善处置，该处置措施可行。</w:t>
      </w:r>
    </w:p>
    <w:p>
      <w:pPr>
        <w:ind w:firstLine="480"/>
        <w:rPr>
          <w:rFonts w:hint="default" w:ascii="Times New Roman" w:hAnsi="Times New Roman" w:eastAsia="黑体" w:cs="Times New Roman"/>
          <w:color w:val="000000" w:themeColor="text1"/>
          <w:highlight w:val="none"/>
          <w:lang w:val="en-US" w:eastAsia="zh-CN"/>
          <w14:textFill>
            <w14:solidFill>
              <w14:schemeClr w14:val="tx1"/>
            </w14:solidFill>
          </w14:textFill>
        </w:rPr>
      </w:pPr>
      <w:r>
        <w:rPr>
          <w:rFonts w:hint="default" w:ascii="Times New Roman" w:hAnsi="Times New Roman" w:eastAsia="黑体" w:cs="Times New Roman"/>
          <w:color w:val="000000" w:themeColor="text1"/>
          <w:highlight w:val="none"/>
          <w:lang w:val="en-US" w:eastAsia="zh-CN"/>
          <w14:textFill>
            <w14:solidFill>
              <w14:schemeClr w14:val="tx1"/>
            </w14:solidFill>
          </w14:textFill>
        </w:rPr>
        <w:t>3、油气集输工程</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油气集输工程在井口流程和集气站复建时产生的固体废弃物主要为建筑垃圾，主要为包装袋，废弃建筑施工材料，由施工队伍统一收集清运至政府指定地方，该措施能够确保搬迁建筑垃圾得到妥善处置，该处置措施可行。</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综上所述，</w:t>
      </w:r>
      <w:r>
        <w:rPr>
          <w:rFonts w:hint="default" w:ascii="Times New Roman" w:hAnsi="Times New Roman" w:cs="Times New Roman"/>
          <w:b/>
          <w:bCs/>
          <w:color w:val="000000" w:themeColor="text1"/>
          <w:highlight w:val="none"/>
          <w14:textFill>
            <w14:solidFill>
              <w14:schemeClr w14:val="tx1"/>
            </w14:solidFill>
          </w14:textFill>
        </w:rPr>
        <w:t>这些措施在川东北地区钻采工程中已实施多年，具有较好的借鉴经验。根据本井场周边其他中石化川东北地区钻采工程采用相同固废污染防治措施，在加强管理和及时转运后，无固废产生二次污染和投诉发生。因此，本项目施工期固废污染防治措施从经济和环保角度分析是合理、可行的。</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36" w:name="_Toc120173217"/>
      <w:r>
        <w:rPr>
          <w:rFonts w:hint="default" w:ascii="Times New Roman" w:hAnsi="Times New Roman" w:cs="Times New Roman"/>
          <w:color w:val="000000" w:themeColor="text1"/>
          <w:highlight w:val="none"/>
          <w:lang w:eastAsia="zh-CN"/>
          <w14:textFill>
            <w14:solidFill>
              <w14:schemeClr w14:val="tx1"/>
            </w14:solidFill>
          </w14:textFill>
        </w:rPr>
        <w:t>陆生生物及其生态系统保护措施</w:t>
      </w:r>
      <w:bookmarkEnd w:id="436"/>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lang w:bidi="ar"/>
          <w14:textFill>
            <w14:solidFill>
              <w14:schemeClr w14:val="tx1"/>
            </w14:solidFill>
          </w14:textFill>
        </w:rPr>
        <w:t>坚持尊重自然、顺应自然、保护自然的理念，采取自然的恢复措施或绿色修复工艺，避免生态保护措施自身的不利影响。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lang w:bidi="ar"/>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本工程建设过程中，将不可避免地对施工区的植被、动植物、景观和周围环境产生一定影响。有些影响是永久性的和不可逆的，如井场的占地；有些影响是暂时性的，如</w:t>
      </w:r>
      <w:r>
        <w:rPr>
          <w:rFonts w:hint="default" w:ascii="Times New Roman" w:hAnsi="Times New Roman" w:cs="Times New Roman"/>
          <w:color w:val="000000" w:themeColor="text1"/>
          <w:highlight w:val="none"/>
          <w14:textFill>
            <w14:solidFill>
              <w14:schemeClr w14:val="tx1"/>
            </w14:solidFill>
          </w14:textFill>
        </w:rPr>
        <w:t>弃土、表土堆放区、清障区</w:t>
      </w:r>
      <w:r>
        <w:rPr>
          <w:rFonts w:hint="default" w:ascii="Times New Roman" w:hAnsi="Times New Roman" w:cs="Times New Roman"/>
          <w:color w:val="000000" w:themeColor="text1"/>
          <w:szCs w:val="24"/>
          <w:highlight w:val="none"/>
          <w14:textFill>
            <w14:solidFill>
              <w14:schemeClr w14:val="tx1"/>
            </w14:solidFill>
          </w14:textFill>
        </w:rPr>
        <w:t>。后者可通过采取自然或人工辅助措施的方法加以恢复，前者可通过采取人工措施的方法提高占</w:t>
      </w:r>
      <w:r>
        <w:rPr>
          <w:rFonts w:hint="default" w:ascii="Times New Roman" w:hAnsi="Times New Roman" w:cs="Times New Roman"/>
          <w:color w:val="000000" w:themeColor="text1"/>
          <w:szCs w:val="24"/>
          <w:highlight w:val="none"/>
          <w:lang w:val="en-US" w:eastAsia="zh-CN"/>
          <w14:textFill>
            <w14:solidFill>
              <w14:schemeClr w14:val="tx1"/>
            </w14:solidFill>
          </w14:textFill>
        </w:rPr>
        <w:t>用</w:t>
      </w:r>
      <w:r>
        <w:rPr>
          <w:rFonts w:hint="default" w:ascii="Times New Roman" w:hAnsi="Times New Roman" w:cs="Times New Roman"/>
          <w:color w:val="000000" w:themeColor="text1"/>
          <w:szCs w:val="24"/>
          <w:highlight w:val="none"/>
          <w14:textFill>
            <w14:solidFill>
              <w14:schemeClr w14:val="tx1"/>
            </w14:solidFill>
          </w14:textFill>
        </w:rPr>
        <w:t>地区植被覆盖率，使区域生态系统的结构和功能整体得到逐步改善，完全恢复，乃至更</w:t>
      </w:r>
      <w:r>
        <w:rPr>
          <w:rFonts w:hint="default" w:ascii="Times New Roman" w:hAnsi="Times New Roman" w:cs="Times New Roman"/>
          <w:color w:val="000000" w:themeColor="text1"/>
          <w:szCs w:val="24"/>
          <w:highlight w:val="none"/>
          <w:lang w:bidi="ar"/>
          <w14:textFill>
            <w14:solidFill>
              <w14:schemeClr w14:val="tx1"/>
            </w14:solidFill>
          </w14:textFill>
        </w:rPr>
        <w:t>为高效。</w:t>
      </w:r>
    </w:p>
    <w:p>
      <w:pPr>
        <w:pageBreakBefore w:val="0"/>
        <w:widowControl/>
        <w:kinsoku/>
        <w:wordWrap/>
        <w:overflowPunct/>
        <w:topLinePunct w:val="0"/>
        <w:autoSpaceDE/>
        <w:autoSpaceDN/>
        <w:bidi w:val="0"/>
        <w:adjustRightInd w:val="0"/>
        <w:snapToGrid w:val="0"/>
        <w:ind w:firstLine="482"/>
        <w:jc w:val="left"/>
        <w:textAlignment w:val="auto"/>
        <w:rPr>
          <w:rFonts w:hint="default" w:ascii="Times New Roman" w:hAnsi="Times New Roman" w:cs="Times New Roman"/>
          <w:b/>
          <w:bCs/>
          <w:color w:val="000000" w:themeColor="text1"/>
          <w:szCs w:val="24"/>
          <w:highlight w:val="none"/>
          <w:lang w:bidi="ar"/>
          <w14:textFill>
            <w14:solidFill>
              <w14:schemeClr w14:val="tx1"/>
            </w14:solidFill>
          </w14:textFill>
        </w:rPr>
      </w:pPr>
      <w:r>
        <w:rPr>
          <w:rFonts w:hint="default" w:ascii="Times New Roman" w:hAnsi="Times New Roman" w:cs="Times New Roman"/>
          <w:b/>
          <w:bCs/>
          <w:color w:val="000000" w:themeColor="text1"/>
          <w:szCs w:val="24"/>
          <w:highlight w:val="none"/>
          <w:lang w:bidi="ar"/>
          <w14:textFill>
            <w14:solidFill>
              <w14:schemeClr w14:val="tx1"/>
            </w14:solidFill>
          </w14:textFill>
        </w:rPr>
        <w:t>1、生态保护的宣传</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建设单位在施工期需认真做好生态保护的宣传和监督工作，如印发宣传册、制作宣传栏、定期开展宣传活动等。绝不能超计划占用耕地、林地、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pPr>
        <w:pageBreakBefore w:val="0"/>
        <w:widowControl/>
        <w:kinsoku/>
        <w:wordWrap/>
        <w:overflowPunct/>
        <w:topLinePunct w:val="0"/>
        <w:autoSpaceDE/>
        <w:autoSpaceDN/>
        <w:bidi w:val="0"/>
        <w:adjustRightInd w:val="0"/>
        <w:snapToGrid w:val="0"/>
        <w:ind w:firstLine="482"/>
        <w:jc w:val="left"/>
        <w:textAlignment w:val="auto"/>
        <w:rPr>
          <w:rFonts w:hint="default" w:ascii="Times New Roman" w:hAnsi="Times New Roman" w:cs="Times New Roman"/>
          <w:b/>
          <w:bCs/>
          <w:color w:val="000000" w:themeColor="text1"/>
          <w:szCs w:val="24"/>
          <w:highlight w:val="none"/>
          <w:lang w:bidi="ar"/>
          <w14:textFill>
            <w14:solidFill>
              <w14:schemeClr w14:val="tx1"/>
            </w14:solidFill>
          </w14:textFill>
        </w:rPr>
      </w:pPr>
      <w:bookmarkStart w:id="437" w:name="_Toc8545"/>
      <w:bookmarkStart w:id="438" w:name="_Toc27635"/>
      <w:bookmarkStart w:id="439" w:name="_Toc4301"/>
      <w:bookmarkStart w:id="440" w:name="_Toc30854"/>
      <w:bookmarkStart w:id="441" w:name="_Toc5702"/>
      <w:bookmarkStart w:id="442" w:name="_Toc1108"/>
      <w:bookmarkStart w:id="443" w:name="_Toc28205"/>
      <w:bookmarkStart w:id="444" w:name="_Toc32366"/>
      <w:r>
        <w:rPr>
          <w:rFonts w:hint="default" w:ascii="Times New Roman" w:hAnsi="Times New Roman" w:cs="Times New Roman"/>
          <w:b/>
          <w:bCs/>
          <w:color w:val="000000" w:themeColor="text1"/>
          <w:szCs w:val="24"/>
          <w:highlight w:val="none"/>
          <w:lang w:bidi="ar"/>
          <w14:textFill>
            <w14:solidFill>
              <w14:schemeClr w14:val="tx1"/>
            </w14:solidFill>
          </w14:textFill>
        </w:rPr>
        <w:t>2、避让、减缓措施</w:t>
      </w:r>
      <w:bookmarkEnd w:id="437"/>
      <w:bookmarkEnd w:id="438"/>
      <w:bookmarkEnd w:id="439"/>
      <w:bookmarkEnd w:id="440"/>
      <w:bookmarkEnd w:id="441"/>
      <w:bookmarkEnd w:id="442"/>
      <w:bookmarkEnd w:id="443"/>
      <w:bookmarkEnd w:id="444"/>
    </w:p>
    <w:p>
      <w:pPr>
        <w:pageBreakBefore w:val="0"/>
        <w:widowControl/>
        <w:kinsoku/>
        <w:wordWrap/>
        <w:overflowPunct/>
        <w:topLinePunct w:val="0"/>
        <w:autoSpaceDE/>
        <w:autoSpaceDN/>
        <w:bidi w:val="0"/>
        <w:adjustRightInd w:val="0"/>
        <w:snapToGrid w:val="0"/>
        <w:ind w:firstLine="482"/>
        <w:jc w:val="left"/>
        <w:textAlignment w:val="auto"/>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（1）土地与植被保护措施</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施工期间为充分的保护评价范围现有土地和植被，可采取如下保护措施：</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①优先采用生态友好的工程建设技术、工艺及材料。</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②根据施工总体平面布置，严格规范施工范围，确定施工用地范围，进行标桩划界，禁止施工人员进入非施工占地区，严禁任意越界破坏周围植被。</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 xml:space="preserve">③做好环卫工作，废弃物应合理堆放，及时处置，禁止乱丢垃圾和废弃物，严禁场内污水进入外环沟，确保周边环境不被污染。 </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④在项目建设过程中，强化临时占地的及时复耕复垦，对可以恢复的临时占地及时进行植被恢复。</w:t>
      </w:r>
    </w:p>
    <w:p>
      <w:pPr>
        <w:pageBreakBefore w:val="0"/>
        <w:widowControl/>
        <w:kinsoku/>
        <w:wordWrap/>
        <w:overflowPunct/>
        <w:topLinePunct w:val="0"/>
        <w:autoSpaceDE/>
        <w:autoSpaceDN/>
        <w:bidi w:val="0"/>
        <w:adjustRightInd w:val="0"/>
        <w:snapToGrid w:val="0"/>
        <w:ind w:firstLine="482"/>
        <w:jc w:val="left"/>
        <w:textAlignment w:val="auto"/>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（2）土壤侵蚀的防治对策措施</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①在施工过程中合理安排施工进度，施工尽量避开雨天和大风天；分段施工，减少风蚀导致的水土流失。</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②划定施工作业范围和路线，不得扩大施工作业范围，尽可能减少对土壤和植被的破坏以及由此引发的水土流失。</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③在井场站场施工，设置一定围挡，减少施工过程中水土流失量。</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④在地面施工过程中，对于施工破坏区，施工完毕要及时平整土地及植被恢复，以防止发生新的土壤侵蚀。</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⑤对于施工过程中产生的不能利用的废弃土石不得将任意裸露弃置，做到随挖随填，以免遇强降雨引起严重的水土流失。</w:t>
      </w:r>
    </w:p>
    <w:p>
      <w:pPr>
        <w:pageBreakBefore w:val="0"/>
        <w:widowControl/>
        <w:kinsoku/>
        <w:wordWrap/>
        <w:overflowPunct/>
        <w:topLinePunct w:val="0"/>
        <w:autoSpaceDE/>
        <w:autoSpaceDN/>
        <w:bidi w:val="0"/>
        <w:adjustRightInd w:val="0"/>
        <w:snapToGrid w:val="0"/>
        <w:ind w:firstLine="482"/>
        <w:jc w:val="left"/>
        <w:textAlignment w:val="auto"/>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（3）对陆生野生动物保护措施</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①加强宣传野生动物保护法规，打击捕杀野生动物的行为</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提高施工人员的保护意识，施工人员必须遵守《中华人民共和国野生动物保护法》，严禁捕猎保护动物，特别是重点保护野生动物。</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②防止动物生境污染</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③杜绝夜间施工，以保证自然生态系统和野生动物栖息地的稳定。</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④对野生动物具体保护方案</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鸟类：①尽量减少施工对植被的破坏，保证施工后植被的恢复。②增强人们的环境保护意识，加强对重点保护野生动物的保护，严禁非法猎捕保护鸟类及对人类有益的鸟类。</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pPr>
        <w:pageBreakBefore w:val="0"/>
        <w:widowControl/>
        <w:kinsoku/>
        <w:wordWrap/>
        <w:overflowPunct/>
        <w:topLinePunct w:val="0"/>
        <w:autoSpaceDE/>
        <w:autoSpaceDN/>
        <w:bidi w:val="0"/>
        <w:adjustRightInd w:val="0"/>
        <w:snapToGrid w:val="0"/>
        <w:ind w:firstLine="482"/>
        <w:jc w:val="left"/>
        <w:textAlignment w:val="auto"/>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（4）对重点保护野生动物保护措施</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评价区人类活动较为频繁，未分布适宜的重点保护野生动物雀鹰、画眉栖息地及生境，其主要为过境取食及活动。同时，雀鹰、画眉飞翔能力和自主迁徙能力较强，捕食范围很广，施工活动对其影响很小，在施工期，要加强在施工人员中的宣传教育，如发现上述保护动物过境，要加强保护，严禁捕捉，同时，要文明施工，将人为影响降至最低。</w:t>
      </w:r>
    </w:p>
    <w:p>
      <w:pPr>
        <w:pageBreakBefore w:val="0"/>
        <w:widowControl/>
        <w:kinsoku/>
        <w:wordWrap/>
        <w:overflowPunct/>
        <w:topLinePunct w:val="0"/>
        <w:autoSpaceDE/>
        <w:autoSpaceDN/>
        <w:bidi w:val="0"/>
        <w:adjustRightInd w:val="0"/>
        <w:snapToGrid w:val="0"/>
        <w:ind w:firstLine="482"/>
        <w:jc w:val="left"/>
        <w:textAlignment w:val="auto"/>
        <w:rPr>
          <w:rFonts w:hint="default" w:ascii="Times New Roman" w:hAnsi="Times New Roman" w:cs="Times New Roman"/>
          <w:b/>
          <w:bCs/>
          <w:color w:val="000000" w:themeColor="text1"/>
          <w:kern w:val="0"/>
          <w:szCs w:val="24"/>
          <w:highlight w:val="none"/>
          <w14:textFill>
            <w14:solidFill>
              <w14:schemeClr w14:val="tx1"/>
            </w14:solidFill>
          </w14:textFill>
        </w:rPr>
      </w:pPr>
      <w:r>
        <w:rPr>
          <w:rFonts w:hint="default" w:ascii="Times New Roman" w:hAnsi="Times New Roman" w:cs="Times New Roman"/>
          <w:b/>
          <w:bCs/>
          <w:color w:val="000000" w:themeColor="text1"/>
          <w:kern w:val="0"/>
          <w:szCs w:val="24"/>
          <w:highlight w:val="none"/>
          <w14:textFill>
            <w14:solidFill>
              <w14:schemeClr w14:val="tx1"/>
            </w14:solidFill>
          </w14:textFill>
        </w:rPr>
        <w:t>（5）对生态公益林的避让和优化占用</w:t>
      </w:r>
    </w:p>
    <w:p>
      <w:pPr>
        <w:pageBreakBefore w:val="0"/>
        <w:widowControl/>
        <w:kinsoku/>
        <w:wordWrap/>
        <w:overflowPunct/>
        <w:topLinePunct w:val="0"/>
        <w:autoSpaceDE/>
        <w:autoSpaceDN/>
        <w:bidi w:val="0"/>
        <w:adjustRightInd w:val="0"/>
        <w:snapToGrid w:val="0"/>
        <w:ind w:firstLine="480"/>
        <w:jc w:val="left"/>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项目施工占地不涉及宣汉县公益林，其中施工占地距离最近的公益林约1</w:t>
      </w:r>
      <w:r>
        <w:rPr>
          <w:rFonts w:hint="default" w:ascii="Times New Roman" w:hAnsi="Times New Roman" w:cs="Times New Roman"/>
          <w:color w:val="000000" w:themeColor="text1"/>
          <w:kern w:val="0"/>
          <w:szCs w:val="24"/>
          <w:highlight w:val="none"/>
          <w:lang w:val="en-US" w:eastAsia="zh-CN"/>
          <w14:textFill>
            <w14:solidFill>
              <w14:schemeClr w14:val="tx1"/>
            </w14:solidFill>
          </w14:textFill>
        </w:rPr>
        <w:t>02</w:t>
      </w:r>
      <w:r>
        <w:rPr>
          <w:rFonts w:hint="default" w:ascii="Times New Roman" w:hAnsi="Times New Roman" w:cs="Times New Roman"/>
          <w:color w:val="000000" w:themeColor="text1"/>
          <w:kern w:val="0"/>
          <w:szCs w:val="24"/>
          <w:highlight w:val="none"/>
          <w14:textFill>
            <w14:solidFill>
              <w14:schemeClr w14:val="tx1"/>
            </w14:solidFill>
          </w14:textFill>
        </w:rPr>
        <w:t>米（位于项目西侧）。项目施工期间，需要严格按照施工占地范围界限施工，严</w:t>
      </w:r>
      <w:r>
        <w:rPr>
          <w:rFonts w:hint="default" w:ascii="Times New Roman" w:hAnsi="Times New Roman" w:cs="Times New Roman"/>
          <w:color w:val="000000" w:themeColor="text1"/>
          <w:kern w:val="0"/>
          <w:szCs w:val="24"/>
          <w:highlight w:val="none"/>
          <w:lang w:eastAsia="zh-CN"/>
          <w14:textFill>
            <w14:solidFill>
              <w14:schemeClr w14:val="tx1"/>
            </w14:solidFill>
          </w14:textFill>
        </w:rPr>
        <w:t>禁</w:t>
      </w:r>
      <w:r>
        <w:rPr>
          <w:rFonts w:hint="default" w:ascii="Times New Roman" w:hAnsi="Times New Roman" w:cs="Times New Roman"/>
          <w:color w:val="000000" w:themeColor="text1"/>
          <w:kern w:val="0"/>
          <w:szCs w:val="24"/>
          <w:highlight w:val="none"/>
          <w14:textFill>
            <w14:solidFill>
              <w14:schemeClr w14:val="tx1"/>
            </w14:solidFill>
          </w14:textFill>
        </w:rPr>
        <w:t>越界破坏公益林情况发生。</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（6）外来入侵植物防范措施</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目前防止外来物种入侵的方法主要有植物检疫、人工方法防治、化学方法防治、生物防治等。结合工程特点，要求加大宣传力度，对外来物种的危害以及传播途径向施工人员进行宣传；对现有的外来种，利用工程施工的机会，对有种子的植物要现场烧毁，以防种子扩散，在临时占地的地方要及时绿化等。</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在施工占地区或裸地绿化应采取相应的防范措施，在选择绿化树种和水土保持植物中不使用外来入侵植物，尽可能使用乡土树种。</w:t>
      </w:r>
    </w:p>
    <w:p>
      <w:pPr>
        <w:pageBreakBefore w:val="0"/>
        <w:widowControl/>
        <w:kinsoku/>
        <w:wordWrap/>
        <w:overflowPunct/>
        <w:topLinePunct w:val="0"/>
        <w:autoSpaceDE/>
        <w:autoSpaceDN/>
        <w:bidi w:val="0"/>
        <w:adjustRightInd w:val="0"/>
        <w:snapToGrid w:val="0"/>
        <w:spacing w:line="360" w:lineRule="auto"/>
        <w:ind w:firstLine="482"/>
        <w:jc w:val="left"/>
        <w:textAlignment w:val="auto"/>
        <w:rPr>
          <w:rFonts w:hint="default" w:ascii="Times New Roman" w:hAnsi="Times New Roman" w:cs="Times New Roman"/>
          <w:b/>
          <w:color w:val="000000" w:themeColor="text1"/>
          <w:kern w:val="0"/>
          <w:szCs w:val="20"/>
          <w:highlight w:val="none"/>
          <w14:textFill>
            <w14:solidFill>
              <w14:schemeClr w14:val="tx1"/>
            </w14:solidFill>
          </w14:textFill>
        </w:rPr>
      </w:pPr>
      <w:r>
        <w:rPr>
          <w:rFonts w:hint="default" w:ascii="Times New Roman" w:hAnsi="Times New Roman" w:cs="Times New Roman"/>
          <w:b/>
          <w:color w:val="000000" w:themeColor="text1"/>
          <w:kern w:val="0"/>
          <w:szCs w:val="20"/>
          <w:highlight w:val="none"/>
          <w14:textFill>
            <w14:solidFill>
              <w14:schemeClr w14:val="tx1"/>
            </w14:solidFill>
          </w14:textFill>
        </w:rPr>
        <w:t>3、恢复和补偿措施</w:t>
      </w:r>
    </w:p>
    <w:p>
      <w:pPr>
        <w:pageBreakBefore w:val="0"/>
        <w:widowControl/>
        <w:kinsoku/>
        <w:wordWrap/>
        <w:overflowPunct/>
        <w:topLinePunct w:val="0"/>
        <w:autoSpaceDE/>
        <w:autoSpaceDN/>
        <w:bidi w:val="0"/>
        <w:adjustRightInd w:val="0"/>
        <w:snapToGrid w:val="0"/>
        <w:spacing w:line="360" w:lineRule="auto"/>
        <w:ind w:firstLine="480"/>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陆生植物</w:t>
      </w:r>
      <w:r>
        <w:rPr>
          <w:rFonts w:hint="default" w:ascii="Times New Roman" w:hAnsi="Times New Roman" w:cs="Times New Roman"/>
          <w:color w:val="000000" w:themeColor="text1"/>
          <w:szCs w:val="24"/>
          <w:highlight w:val="none"/>
          <w:lang w:bidi="ar"/>
          <w14:textFill>
            <w14:solidFill>
              <w14:schemeClr w14:val="tx1"/>
            </w14:solidFill>
          </w14:textFill>
        </w:rPr>
        <w:t>恢复原则是优先使用原生表土和选用乡土物种，防止外来生物入侵，构建与周边生态环境相协调的植物群落，最终形成可自我维持的生态系统。生态修复的目标主要包括：恢复植被和土壤，保证一定的植被覆盖度和土壤肥力；维持物种种类和组成，保护生物多样性；实现生物群落的恢复，提高生态系统的生产力和自我维持力；维持生境的连通性等。</w:t>
      </w:r>
    </w:p>
    <w:p>
      <w:pPr>
        <w:pStyle w:val="3"/>
        <w:keepNext/>
        <w:keepLines/>
        <w:pageBreakBefore w:val="0"/>
        <w:widowControl w:val="0"/>
        <w:kinsoku/>
        <w:wordWrap/>
        <w:overflowPunct/>
        <w:topLinePunct w:val="0"/>
        <w:autoSpaceDE/>
        <w:autoSpaceDN/>
        <w:bidi w:val="0"/>
        <w:adjustRightInd w:val="0"/>
        <w:snapToGrid w:val="0"/>
        <w:spacing w:line="360" w:lineRule="auto"/>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45" w:name="6.2运营期环境保护措施及可行性分析"/>
      <w:bookmarkEnd w:id="445"/>
      <w:bookmarkStart w:id="446" w:name="6.1.5生态环境保护措施"/>
      <w:bookmarkEnd w:id="446"/>
      <w:bookmarkStart w:id="447" w:name="_bookmark33"/>
      <w:bookmarkEnd w:id="447"/>
      <w:bookmarkStart w:id="448" w:name="_Toc15747"/>
      <w:r>
        <w:rPr>
          <w:rFonts w:hint="default" w:ascii="Times New Roman" w:hAnsi="Times New Roman" w:cs="Times New Roman"/>
          <w:color w:val="000000" w:themeColor="text1"/>
          <w:highlight w:val="none"/>
          <w:lang w:eastAsia="zh-CN"/>
          <w14:textFill>
            <w14:solidFill>
              <w14:schemeClr w14:val="tx1"/>
            </w14:solidFill>
          </w14:textFill>
        </w:rPr>
        <w:t>试采期环境保护措施及可行性分析</w:t>
      </w:r>
      <w:bookmarkEnd w:id="448"/>
      <w:bookmarkStart w:id="449" w:name="6.2.1废水污染物防治措施"/>
      <w:bookmarkEnd w:id="449"/>
    </w:p>
    <w:p>
      <w:pPr>
        <w:pStyle w:val="4"/>
        <w:pageBreakBefore w:val="0"/>
        <w:kinsoku/>
        <w:wordWrap/>
        <w:overflowPunct/>
        <w:topLinePunct w:val="0"/>
        <w:autoSpaceDE/>
        <w:autoSpaceDN/>
        <w:bidi w:val="0"/>
        <w:adjustRightInd w:val="0"/>
        <w:snapToGrid w:val="0"/>
        <w:spacing w:before="0" w:beforeLines="0" w:line="360" w:lineRule="auto"/>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50" w:name="_Toc120173219"/>
      <w:r>
        <w:rPr>
          <w:rFonts w:hint="default" w:ascii="Times New Roman" w:hAnsi="Times New Roman" w:cs="Times New Roman"/>
          <w:color w:val="000000" w:themeColor="text1"/>
          <w:highlight w:val="none"/>
          <w:lang w:eastAsia="zh-CN"/>
          <w14:textFill>
            <w14:solidFill>
              <w14:schemeClr w14:val="tx1"/>
            </w14:solidFill>
          </w14:textFill>
        </w:rPr>
        <w:t>试采期大气环境污染防治措施可行性分析</w:t>
      </w:r>
      <w:bookmarkEnd w:id="450"/>
    </w:p>
    <w:p>
      <w:pPr>
        <w:pStyle w:val="25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黑体" w:cs="Times New Roman"/>
          <w:color w:val="000000" w:themeColor="text1"/>
          <w:kern w:val="2"/>
          <w:szCs w:val="22"/>
          <w:highlight w:val="none"/>
          <w14:textFill>
            <w14:solidFill>
              <w14:schemeClr w14:val="tx1"/>
            </w14:solidFill>
          </w14:textFill>
        </w:rPr>
      </w:pPr>
      <w:bookmarkStart w:id="451" w:name="_Hlk88248100"/>
      <w:r>
        <w:rPr>
          <w:rFonts w:hint="default" w:ascii="Times New Roman" w:hAnsi="Times New Roman" w:eastAsia="黑体" w:cs="Times New Roman"/>
          <w:color w:val="000000" w:themeColor="text1"/>
          <w:kern w:val="2"/>
          <w:szCs w:val="22"/>
          <w:highlight w:val="none"/>
          <w14:textFill>
            <w14:solidFill>
              <w14:schemeClr w14:val="tx1"/>
            </w14:solidFill>
          </w14:textFill>
        </w:rPr>
        <w:t>1、正常工况</w:t>
      </w:r>
    </w:p>
    <w:p>
      <w:pPr>
        <w:pStyle w:val="25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普光106-2H侧钻井建成后采气经采气树一级节流后，通过新建镍基合金采气管道接入P106集气站已建工艺流程，依托P106集气站的加热炉加热、节流计量后，将处理的天然气接入已建外输流程。根据拟建项目试采期工程分析，拟建工程新增水套炉，气体加热依托P106集气站已建水套炉，试采期本项目正常工况无废气排放。</w:t>
      </w:r>
    </w:p>
    <w:p>
      <w:pPr>
        <w:pageBreakBefore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水套炉依托可行性分析：</w:t>
      </w:r>
      <w:r>
        <w:rPr>
          <w:rFonts w:hint="default" w:ascii="Times New Roman" w:hAnsi="Times New Roman" w:cs="Times New Roman"/>
          <w:color w:val="000000" w:themeColor="text1"/>
          <w:highlight w:val="none"/>
          <w14:textFill>
            <w14:solidFill>
              <w14:schemeClr w14:val="tx1"/>
            </w14:solidFill>
          </w14:textFill>
        </w:rPr>
        <w:t>普光106-2H侧井水套炉所需负荷151.7kW，加热炉热负荷按照86%计 算，合计所需水套加热炉负荷176.4kW，站内已建800kW水套加热炉（目前停用状态），满足新井接入 的使用要求。本项目依托可行。</w:t>
      </w:r>
    </w:p>
    <w:p>
      <w:pPr>
        <w:pStyle w:val="25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黑体" w:cs="Times New Roman"/>
          <w:color w:val="000000" w:themeColor="text1"/>
          <w:kern w:val="2"/>
          <w:szCs w:val="22"/>
          <w:highlight w:val="none"/>
          <w14:textFill>
            <w14:solidFill>
              <w14:schemeClr w14:val="tx1"/>
            </w14:solidFill>
          </w14:textFill>
        </w:rPr>
      </w:pPr>
      <w:r>
        <w:rPr>
          <w:rFonts w:hint="default" w:ascii="Times New Roman" w:hAnsi="Times New Roman" w:eastAsia="黑体" w:cs="Times New Roman"/>
          <w:color w:val="000000" w:themeColor="text1"/>
          <w:kern w:val="2"/>
          <w:szCs w:val="22"/>
          <w:highlight w:val="none"/>
          <w14:textFill>
            <w14:solidFill>
              <w14:schemeClr w14:val="tx1"/>
            </w14:solidFill>
          </w14:textFill>
        </w:rPr>
        <w:t>2、非正常工况</w:t>
      </w:r>
    </w:p>
    <w:p>
      <w:pPr>
        <w:pStyle w:val="25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kern w:val="2"/>
          <w:highlight w:val="none"/>
          <w14:textFill>
            <w14:solidFill>
              <w14:schemeClr w14:val="tx1"/>
            </w14:solidFill>
          </w14:textFill>
        </w:rPr>
      </w:pPr>
      <w:bookmarkStart w:id="452" w:name="OLE_LINK321"/>
      <w:bookmarkStart w:id="453" w:name="OLE_LINK322"/>
      <w:bookmarkStart w:id="454" w:name="OLE_LINK323"/>
      <w:bookmarkStart w:id="455" w:name="OLE_LINK324"/>
      <w:r>
        <w:rPr>
          <w:rFonts w:hint="default" w:ascii="Times New Roman" w:hAnsi="Times New Roman" w:cs="Times New Roman"/>
          <w:color w:val="000000" w:themeColor="text1"/>
          <w:highlight w:val="none"/>
          <w14:textFill>
            <w14:solidFill>
              <w14:schemeClr w14:val="tx1"/>
            </w14:solidFill>
          </w14:textFill>
        </w:rPr>
        <w:t>非正常工况主要废气为站场检修/事故放空废气，</w:t>
      </w:r>
      <w:bookmarkEnd w:id="452"/>
      <w:bookmarkEnd w:id="453"/>
      <w:r>
        <w:rPr>
          <w:rFonts w:hint="default" w:ascii="Times New Roman" w:hAnsi="Times New Roman" w:cs="Times New Roman"/>
          <w:color w:val="000000" w:themeColor="text1"/>
          <w:highlight w:val="none"/>
          <w14:textFill>
            <w14:solidFill>
              <w14:schemeClr w14:val="tx1"/>
            </w14:solidFill>
          </w14:textFill>
        </w:rPr>
        <w:t>项目装置检修时为保证检修过程的安全，需排空装置及管道内的残留天然气，残留天然气通过P106集气站已建放空系统点火放空</w:t>
      </w:r>
      <w:bookmarkEnd w:id="454"/>
      <w:bookmarkEnd w:id="455"/>
      <w:r>
        <w:rPr>
          <w:rFonts w:hint="default" w:ascii="Times New Roman" w:hAnsi="Times New Roman" w:cs="Times New Roman"/>
          <w:bCs/>
          <w:color w:val="000000" w:themeColor="text1"/>
          <w:kern w:val="2"/>
          <w:highlight w:val="none"/>
          <w14:textFill>
            <w14:solidFill>
              <w14:schemeClr w14:val="tx1"/>
            </w14:solidFill>
          </w14:textFill>
        </w:rPr>
        <w:t>。</w:t>
      </w:r>
      <w:bookmarkEnd w:id="451"/>
    </w:p>
    <w:p>
      <w:pPr>
        <w:pageBreakBefore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cs="Times New Roman"/>
          <w:color w:val="000000" w:themeColor="text1"/>
          <w:szCs w:val="24"/>
          <w:highlight w:val="none"/>
          <w14:textFill>
            <w14:solidFill>
              <w14:schemeClr w14:val="tx1"/>
            </w14:solidFill>
          </w14:textFill>
        </w:rPr>
      </w:pPr>
      <w:bookmarkStart w:id="456" w:name="_Toc120173220"/>
      <w:r>
        <w:rPr>
          <w:rFonts w:hint="default" w:ascii="Times New Roman" w:hAnsi="Times New Roman" w:cs="Times New Roman"/>
          <w:b/>
          <w:bCs/>
          <w:color w:val="000000" w:themeColor="text1"/>
          <w:highlight w:val="none"/>
          <w14:textFill>
            <w14:solidFill>
              <w14:schemeClr w14:val="tx1"/>
            </w14:solidFill>
          </w14:textFill>
        </w:rPr>
        <w:t>放空系统依托可行性分析：</w:t>
      </w:r>
      <w:r>
        <w:rPr>
          <w:rFonts w:hint="default" w:ascii="Times New Roman" w:hAnsi="Times New Roman" w:cs="Times New Roman"/>
          <w:color w:val="000000" w:themeColor="text1"/>
          <w:highlight w:val="none"/>
          <w14:textFill>
            <w14:solidFill>
              <w14:schemeClr w14:val="tx1"/>
            </w14:solidFill>
          </w14:textFill>
        </w:rPr>
        <w:t>新建普光106-2H侧钻井经新建采气管道输至下游P106集气站内加热炉入口设计压力均为20MPa，流程上在临时分酸分离器设备和加热炉入口管道均设置了安全阀，安全阀规格为DN50×80，整定压力为20MPa，已建DN50×80安全阀满足超压泄放要求。本项目依托可行。</w:t>
      </w:r>
    </w:p>
    <w:p>
      <w:pPr>
        <w:pStyle w:val="4"/>
        <w:pageBreakBefore w:val="0"/>
        <w:kinsoku/>
        <w:wordWrap/>
        <w:overflowPunct/>
        <w:topLinePunct w:val="0"/>
        <w:autoSpaceDE/>
        <w:autoSpaceDN/>
        <w:bidi w:val="0"/>
        <w:adjustRightInd w:val="0"/>
        <w:snapToGrid w:val="0"/>
        <w:spacing w:before="0" w:beforeLines="0" w:line="360" w:lineRule="auto"/>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废水污染物防治措施</w:t>
      </w:r>
      <w:bookmarkEnd w:id="456"/>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黑体" w:cs="Times New Roman"/>
          <w:color w:val="000000" w:themeColor="text1"/>
          <w:highlight w:val="none"/>
          <w14:textFill>
            <w14:solidFill>
              <w14:schemeClr w14:val="tx1"/>
            </w14:solidFill>
          </w14:textFill>
        </w:rPr>
      </w:pPr>
      <w:r>
        <w:rPr>
          <w:rFonts w:hint="default" w:ascii="Times New Roman" w:hAnsi="Times New Roman" w:eastAsia="黑体" w:cs="Times New Roman"/>
          <w:color w:val="000000" w:themeColor="text1"/>
          <w:highlight w:val="none"/>
          <w14:textFill>
            <w14:solidFill>
              <w14:schemeClr w14:val="tx1"/>
            </w14:solidFill>
          </w14:textFill>
        </w:rPr>
        <w:t>1、治理措施</w:t>
      </w:r>
    </w:p>
    <w:p>
      <w:pPr>
        <w:pageBreakBefore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（1）生活污水</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本项目不新增工作人员，无新增生活污水产生，原P106集气站旁工作人员生活污水经站场化粪池处理后定期由密闭罐车拉运至周边生活污水处理厂处理</w:t>
      </w:r>
      <w:r>
        <w:rPr>
          <w:rFonts w:hint="default" w:ascii="Times New Roman" w:hAnsi="Times New Roman" w:cs="Times New Roman"/>
          <w:bCs/>
          <w:color w:val="000000" w:themeColor="text1"/>
          <w:highlight w:val="none"/>
          <w14:textFill>
            <w14:solidFill>
              <w14:schemeClr w14:val="tx1"/>
            </w14:solidFill>
          </w14:textFill>
        </w:rPr>
        <w:t>，不外排。</w:t>
      </w:r>
    </w:p>
    <w:p>
      <w:pPr>
        <w:pageBreakBefore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eastAsia="宋体" w:cs="Times New Roman"/>
          <w:b/>
          <w:color w:val="000000" w:themeColor="text1"/>
          <w:highlight w:val="none"/>
          <w:lang w:eastAsia="zh-CN"/>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（2）</w:t>
      </w:r>
      <w:r>
        <w:rPr>
          <w:rFonts w:hint="default" w:ascii="Times New Roman" w:hAnsi="Times New Roman" w:cs="Times New Roman"/>
          <w:b/>
          <w:color w:val="000000" w:themeColor="text1"/>
          <w:highlight w:val="none"/>
          <w:lang w:eastAsia="zh-CN"/>
          <w14:textFill>
            <w14:solidFill>
              <w14:schemeClr w14:val="tx1"/>
            </w14:solidFill>
          </w14:textFill>
        </w:rPr>
        <w:t>气田水（含初期压裂返排液）</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本项目试采期地层水产生量预计最大为10m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/d</w:t>
      </w:r>
      <w:bookmarkStart w:id="457" w:name="_Hlk156572579"/>
      <w:r>
        <w:rPr>
          <w:rFonts w:hint="default" w:ascii="Times New Roman" w:hAnsi="Times New Roman" w:cs="Times New Roman"/>
          <w:bCs/>
          <w:color w:val="000000" w:themeColor="text1"/>
          <w:highlight w:val="none"/>
          <w14:textFill>
            <w14:solidFill>
              <w14:schemeClr w14:val="tx1"/>
            </w14:solidFill>
          </w14:textFill>
        </w:rPr>
        <w:t>（此外，试采初期压裂返排液未完全返排，含压裂返排液的气田水可能达200m</w:t>
      </w:r>
      <w:r>
        <w:rPr>
          <w:rFonts w:hint="default" w:ascii="Times New Roman" w:hAnsi="Times New Roman" w:cs="Times New Roman"/>
          <w:bCs/>
          <w:color w:val="000000" w:themeColor="text1"/>
          <w:highlight w:val="none"/>
          <w:vertAlign w:val="superscript"/>
          <w14:textFill>
            <w14:solidFill>
              <w14:schemeClr w14:val="tx1"/>
            </w14:solidFill>
          </w14:textFill>
        </w:rPr>
        <w:t>3</w:t>
      </w:r>
      <w:r>
        <w:rPr>
          <w:rFonts w:hint="default" w:ascii="Times New Roman" w:hAnsi="Times New Roman" w:cs="Times New Roman"/>
          <w:bCs/>
          <w:color w:val="000000" w:themeColor="text1"/>
          <w:highlight w:val="none"/>
          <w14:textFill>
            <w14:solidFill>
              <w14:schemeClr w14:val="tx1"/>
            </w14:solidFill>
          </w14:textFill>
        </w:rPr>
        <w:t>/d以上，此阶段不超过半年），均</w:t>
      </w:r>
      <w:bookmarkEnd w:id="457"/>
      <w:r>
        <w:rPr>
          <w:rFonts w:hint="default" w:ascii="Times New Roman" w:hAnsi="Times New Roman" w:cs="Times New Roman"/>
          <w:color w:val="000000" w:themeColor="text1"/>
          <w:highlight w:val="none"/>
          <w14:textFill>
            <w14:solidFill>
              <w14:schemeClr w14:val="tx1"/>
            </w14:solidFill>
          </w14:textFill>
        </w:rPr>
        <w:t>依托P106集气站已建酸液缓冲罐收集暂存，然后通过密闭罐车拉运至赵家坝污水处理站达到《气田水回注方法》（SY/T 6596-2016）中注入水基本要求后管输至普光11井回注站回注处理，不外排</w:t>
      </w:r>
      <w:r>
        <w:rPr>
          <w:rFonts w:hint="default" w:ascii="Times New Roman" w:hAnsi="Times New Roman" w:cs="Times New Roman"/>
          <w:bCs/>
          <w:color w:val="000000" w:themeColor="text1"/>
          <w:highlight w:val="none"/>
          <w14:textFill>
            <w14:solidFill>
              <w14:schemeClr w14:val="tx1"/>
            </w14:solidFill>
          </w14:textFill>
        </w:rPr>
        <w:t>，应做好</w:t>
      </w:r>
      <w:r>
        <w:rPr>
          <w:rFonts w:hint="default" w:ascii="Times New Roman" w:hAnsi="Times New Roman" w:cs="Times New Roman"/>
          <w:bCs/>
          <w:color w:val="000000" w:themeColor="text1"/>
          <w:highlight w:val="none"/>
          <w:lang w:eastAsia="zh-CN"/>
          <w14:textFill>
            <w14:solidFill>
              <w14:schemeClr w14:val="tx1"/>
            </w14:solidFill>
          </w14:textFill>
        </w:rPr>
        <w:t>气田水（含初期压裂返排液）</w:t>
      </w:r>
      <w:r>
        <w:rPr>
          <w:rFonts w:hint="default" w:ascii="Times New Roman" w:hAnsi="Times New Roman" w:cs="Times New Roman"/>
          <w:bCs/>
          <w:color w:val="000000" w:themeColor="text1"/>
          <w:highlight w:val="none"/>
          <w14:textFill>
            <w14:solidFill>
              <w14:schemeClr w14:val="tx1"/>
            </w14:solidFill>
          </w14:textFill>
        </w:rPr>
        <w:t>转运计划，及时转运</w:t>
      </w:r>
      <w:r>
        <w:rPr>
          <w:rFonts w:hint="default" w:ascii="Times New Roman" w:hAnsi="Times New Roman" w:cs="Times New Roman"/>
          <w:bCs/>
          <w:color w:val="000000" w:themeColor="text1"/>
          <w:highlight w:val="none"/>
          <w:lang w:eastAsia="zh-CN"/>
          <w14:textFill>
            <w14:solidFill>
              <w14:schemeClr w14:val="tx1"/>
            </w14:solidFill>
          </w14:textFill>
        </w:rPr>
        <w:t>气田水（含初期压裂返排液）</w:t>
      </w:r>
      <w:r>
        <w:rPr>
          <w:rFonts w:hint="default" w:ascii="Times New Roman" w:hAnsi="Times New Roman" w:cs="Times New Roman"/>
          <w:bCs/>
          <w:color w:val="000000" w:themeColor="text1"/>
          <w:highlight w:val="none"/>
          <w14:textFill>
            <w14:solidFill>
              <w14:schemeClr w14:val="tx1"/>
            </w14:solidFill>
          </w14:textFill>
        </w:rPr>
        <w:t>，确保废水得到有效处置。</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黑体" w:cs="Times New Roman"/>
          <w:color w:val="000000" w:themeColor="text1"/>
          <w:highlight w:val="none"/>
          <w14:textFill>
            <w14:solidFill>
              <w14:schemeClr w14:val="tx1"/>
            </w14:solidFill>
          </w14:textFill>
        </w:rPr>
      </w:pPr>
      <w:r>
        <w:rPr>
          <w:rFonts w:hint="default" w:ascii="Times New Roman" w:hAnsi="Times New Roman" w:eastAsia="黑体" w:cs="Times New Roman"/>
          <w:color w:val="000000" w:themeColor="text1"/>
          <w:highlight w:val="none"/>
          <w14:textFill>
            <w14:solidFill>
              <w14:schemeClr w14:val="tx1"/>
            </w14:solidFill>
          </w14:textFill>
        </w:rPr>
        <w:t>2、</w:t>
      </w:r>
      <w:r>
        <w:rPr>
          <w:rFonts w:hint="default" w:ascii="Times New Roman" w:hAnsi="Times New Roman" w:eastAsia="黑体" w:cs="Times New Roman"/>
          <w:color w:val="000000" w:themeColor="text1"/>
          <w:highlight w:val="none"/>
          <w:lang w:eastAsia="zh-CN"/>
          <w14:textFill>
            <w14:solidFill>
              <w14:schemeClr w14:val="tx1"/>
            </w14:solidFill>
          </w14:textFill>
        </w:rPr>
        <w:t>气田水（含初期压裂返排液）</w:t>
      </w:r>
      <w:r>
        <w:rPr>
          <w:rFonts w:hint="default" w:ascii="Times New Roman" w:hAnsi="Times New Roman" w:eastAsia="黑体" w:cs="Times New Roman"/>
          <w:color w:val="000000" w:themeColor="text1"/>
          <w:highlight w:val="none"/>
          <w14:textFill>
            <w14:solidFill>
              <w14:schemeClr w14:val="tx1"/>
            </w14:solidFill>
          </w14:textFill>
        </w:rPr>
        <w:t>依托措施的可行性分析</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w:t>
      </w:r>
      <w:r>
        <w:rPr>
          <w:rFonts w:hint="default" w:ascii="Times New Roman" w:hAnsi="Times New Roman" w:cs="Times New Roman"/>
          <w:color w:val="000000" w:themeColor="text1"/>
          <w:highlight w:val="none"/>
          <w:lang w:eastAsia="zh-CN"/>
          <w14:textFill>
            <w14:solidFill>
              <w14:schemeClr w14:val="tx1"/>
            </w14:solidFill>
          </w14:textFill>
        </w:rPr>
        <w:t>气田水（含初期压裂返排液）</w:t>
      </w:r>
      <w:r>
        <w:rPr>
          <w:rFonts w:hint="default" w:ascii="Times New Roman" w:hAnsi="Times New Roman" w:cs="Times New Roman"/>
          <w:color w:val="000000" w:themeColor="text1"/>
          <w:highlight w:val="none"/>
          <w14:textFill>
            <w14:solidFill>
              <w14:schemeClr w14:val="tx1"/>
            </w14:solidFill>
          </w14:textFill>
        </w:rPr>
        <w:t>经</w:t>
      </w:r>
      <w:r>
        <w:rPr>
          <w:rFonts w:hint="default" w:ascii="Times New Roman" w:hAnsi="Times New Roman" w:cs="Times New Roman"/>
          <w:color w:val="000000" w:themeColor="text1"/>
          <w:szCs w:val="24"/>
          <w:highlight w:val="none"/>
          <w14:textFill>
            <w14:solidFill>
              <w14:schemeClr w14:val="tx1"/>
            </w14:solidFill>
          </w14:textFill>
        </w:rPr>
        <w:t>密闭罐车拉运至赵家坝污水处理站达标后管输至普光11井回注站回注，</w:t>
      </w:r>
      <w:r>
        <w:rPr>
          <w:rFonts w:hint="default" w:ascii="Times New Roman" w:hAnsi="Times New Roman" w:cs="Times New Roman"/>
          <w:color w:val="000000" w:themeColor="text1"/>
          <w:highlight w:val="none"/>
          <w14:textFill>
            <w14:solidFill>
              <w14:schemeClr w14:val="tx1"/>
            </w14:solidFill>
          </w14:textFill>
        </w:rPr>
        <w:t>回注量小，根据前文分析，赵家坝污水处理</w:t>
      </w:r>
      <w:r>
        <w:rPr>
          <w:rFonts w:hint="default" w:ascii="Times New Roman" w:hAnsi="Times New Roman" w:cs="Times New Roman"/>
          <w:color w:val="000000" w:themeColor="text1"/>
          <w:highlight w:val="none"/>
          <w:lang w:eastAsia="zh-CN"/>
          <w14:textFill>
            <w14:solidFill>
              <w14:schemeClr w14:val="tx1"/>
            </w14:solidFill>
          </w14:textFill>
        </w:rPr>
        <w:t>站</w:t>
      </w:r>
      <w:r>
        <w:rPr>
          <w:rFonts w:hint="default" w:ascii="Times New Roman" w:hAnsi="Times New Roman" w:cs="Times New Roman"/>
          <w:color w:val="000000" w:themeColor="text1"/>
          <w:highlight w:val="none"/>
          <w14:textFill>
            <w14:solidFill>
              <w14:schemeClr w14:val="tx1"/>
            </w14:solidFill>
          </w14:textFill>
        </w:rPr>
        <w:t>和回注站接收处理能力满足试采期</w:t>
      </w:r>
      <w:r>
        <w:rPr>
          <w:rFonts w:hint="default" w:ascii="Times New Roman" w:hAnsi="Times New Roman" w:cs="Times New Roman"/>
          <w:color w:val="000000" w:themeColor="text1"/>
          <w:highlight w:val="none"/>
          <w:lang w:eastAsia="zh-CN"/>
          <w14:textFill>
            <w14:solidFill>
              <w14:schemeClr w14:val="tx1"/>
            </w14:solidFill>
          </w14:textFill>
        </w:rPr>
        <w:t>气田水（含初期压裂返排液）</w:t>
      </w:r>
      <w:r>
        <w:rPr>
          <w:rFonts w:hint="default" w:ascii="Times New Roman" w:hAnsi="Times New Roman" w:cs="Times New Roman"/>
          <w:color w:val="000000" w:themeColor="text1"/>
          <w:highlight w:val="none"/>
          <w14:textFill>
            <w14:solidFill>
              <w14:schemeClr w14:val="tx1"/>
            </w14:solidFill>
          </w14:textFill>
        </w:rPr>
        <w:t>处理要求。</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试采井站废水采用的处理措施为中石化在川东北地区常用的处置措施，已在建设单位同类型天然气试采井站工程项目中广泛应用，依托污水处理站专门为中石化钻采项目服务，运行稳定可靠，废水均能做到达标排放或有效回注，因此，废水处理措施合理、可行。</w:t>
      </w:r>
    </w:p>
    <w:p>
      <w:pPr>
        <w:pStyle w:val="4"/>
        <w:pageBreakBefore w:val="0"/>
        <w:kinsoku/>
        <w:wordWrap/>
        <w:overflowPunct/>
        <w:topLinePunct w:val="0"/>
        <w:autoSpaceDE/>
        <w:autoSpaceDN/>
        <w:bidi w:val="0"/>
        <w:adjustRightInd w:val="0"/>
        <w:snapToGrid w:val="0"/>
        <w:spacing w:before="0" w:beforeLines="0" w:line="360" w:lineRule="auto"/>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58" w:name="6.2.2地下水防治措施可行性分析"/>
      <w:bookmarkEnd w:id="458"/>
      <w:bookmarkStart w:id="459" w:name="_Toc120173221"/>
      <w:r>
        <w:rPr>
          <w:rFonts w:hint="default" w:ascii="Times New Roman" w:hAnsi="Times New Roman" w:cs="Times New Roman"/>
          <w:color w:val="000000" w:themeColor="text1"/>
          <w:highlight w:val="none"/>
          <w:lang w:eastAsia="zh-CN"/>
          <w14:textFill>
            <w14:solidFill>
              <w14:schemeClr w14:val="tx1"/>
            </w14:solidFill>
          </w14:textFill>
        </w:rPr>
        <w:t>地下水和土壤环境防治措施可行性分析</w:t>
      </w:r>
      <w:bookmarkEnd w:id="459"/>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项目实施对地下水及土壤可能造成的影响主要发生在施工期间。试采期井站暂存废水等污染物较少，</w:t>
      </w:r>
      <w:r>
        <w:rPr>
          <w:rFonts w:hint="default" w:ascii="Times New Roman" w:hAnsi="Times New Roman" w:cs="Times New Roman"/>
          <w:bCs/>
          <w:color w:val="000000" w:themeColor="text1"/>
          <w:highlight w:val="none"/>
          <w14:textFill>
            <w14:solidFill>
              <w14:schemeClr w14:val="tx1"/>
            </w14:solidFill>
          </w14:textFill>
        </w:rPr>
        <w:t>火炬分液罐</w:t>
      </w:r>
      <w:r>
        <w:rPr>
          <w:rFonts w:hint="default" w:ascii="Times New Roman" w:hAnsi="Times New Roman" w:cs="Times New Roman"/>
          <w:bCs/>
          <w:color w:val="000000" w:themeColor="text1"/>
          <w:szCs w:val="24"/>
          <w:highlight w:val="none"/>
          <w14:textFill>
            <w14:solidFill>
              <w14:schemeClr w14:val="tx1"/>
            </w14:solidFill>
          </w14:textFill>
        </w:rPr>
        <w:t>区进行了防渗和设置围堰，废水难以泄露，有完善的防漏洒措施，难以对地下水和土壤环境造成影响。</w:t>
      </w:r>
    </w:p>
    <w:p>
      <w:pPr>
        <w:pStyle w:val="21"/>
        <w:pageBreakBefore w:val="0"/>
        <w:kinsoku/>
        <w:wordWrap/>
        <w:overflowPunct/>
        <w:topLinePunct w:val="0"/>
        <w:autoSpaceDE/>
        <w:autoSpaceDN/>
        <w:bidi w:val="0"/>
        <w:adjustRightInd w:val="0"/>
        <w:snapToGrid w:val="0"/>
        <w:spacing w:before="0" w:line="360" w:lineRule="auto"/>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地下水和土壤污染防治措施坚持“源头控制、末端防治、污染监控、应急响应相结合”的原则，即采取主动控制和被动控制相结合的措施。本项目试采期方井、</w:t>
      </w:r>
      <w:r>
        <w:rPr>
          <w:rFonts w:hint="default" w:ascii="Times New Roman" w:hAnsi="Times New Roman" w:cs="Times New Roman"/>
          <w:bCs/>
          <w:color w:val="000000" w:themeColor="text1"/>
          <w:highlight w:val="none"/>
          <w:lang w:eastAsia="zh-CN"/>
          <w14:textFill>
            <w14:solidFill>
              <w14:schemeClr w14:val="tx1"/>
            </w14:solidFill>
          </w14:textFill>
        </w:rPr>
        <w:t>火炬分液罐</w:t>
      </w:r>
      <w:r>
        <w:rPr>
          <w:rFonts w:hint="default" w:ascii="Times New Roman" w:hAnsi="Times New Roman" w:cs="Times New Roman"/>
          <w:bCs/>
          <w:color w:val="000000" w:themeColor="text1"/>
          <w:kern w:val="2"/>
          <w:highlight w:val="none"/>
          <w:lang w:eastAsia="zh-CN"/>
          <w14:textFill>
            <w14:solidFill>
              <w14:schemeClr w14:val="tx1"/>
            </w14:solidFill>
          </w14:textFill>
        </w:rPr>
        <w:t>区和流程区进行了分区分级防渗清污分流等措施，同时对井站外临时占地进行了生态恢复，进行监测合格后复耕复植，井站内空地采取硬化，井站内清污分流，能有效避免项目对地下水和土壤环境造成影响。在方井或</w:t>
      </w:r>
      <w:r>
        <w:rPr>
          <w:rFonts w:hint="default" w:ascii="Times New Roman" w:hAnsi="Times New Roman" w:cs="Times New Roman"/>
          <w:bCs/>
          <w:color w:val="000000" w:themeColor="text1"/>
          <w:highlight w:val="none"/>
          <w:lang w:eastAsia="zh-CN"/>
          <w14:textFill>
            <w14:solidFill>
              <w14:schemeClr w14:val="tx1"/>
            </w14:solidFill>
          </w14:textFill>
        </w:rPr>
        <w:t>火炬分液罐</w:t>
      </w:r>
      <w:r>
        <w:rPr>
          <w:rFonts w:hint="default" w:ascii="Times New Roman" w:hAnsi="Times New Roman" w:cs="Times New Roman"/>
          <w:bCs/>
          <w:color w:val="000000" w:themeColor="text1"/>
          <w:kern w:val="2"/>
          <w:highlight w:val="none"/>
          <w:lang w:eastAsia="zh-CN"/>
          <w14:textFill>
            <w14:solidFill>
              <w14:schemeClr w14:val="tx1"/>
            </w14:solidFill>
          </w14:textFill>
        </w:rPr>
        <w:t>垮塌或外溢、泄漏，防渗失效等极端情况下，本项目一般应设置备用污水罐，封闭外环沟，及时将泄漏的污水转移至备用污水罐或罐车转运处理，同时对事故进行处理恢复，降低污染范围和影响。</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根据《环境影响评价技术导则 地下水环境》（HJ610-2016）中分区防控措施和《石油化工工程防渗技术规范》（GB/T 50934）中的有关要求，本项目火炬分液罐和</w:t>
      </w:r>
      <w:r>
        <w:rPr>
          <w:rFonts w:hint="default" w:ascii="Times New Roman" w:hAnsi="Times New Roman" w:cs="Times New Roman"/>
          <w:color w:val="000000" w:themeColor="text1"/>
          <w:highlight w:val="none"/>
          <w14:textFill>
            <w14:solidFill>
              <w14:schemeClr w14:val="tx1"/>
            </w14:solidFill>
          </w14:textFill>
        </w:rPr>
        <w:t>生产流程区</w:t>
      </w:r>
      <w:r>
        <w:rPr>
          <w:rFonts w:hint="default" w:ascii="Times New Roman" w:hAnsi="Times New Roman" w:cs="Times New Roman"/>
          <w:bCs/>
          <w:color w:val="000000" w:themeColor="text1"/>
          <w:highlight w:val="none"/>
          <w14:textFill>
            <w14:solidFill>
              <w14:schemeClr w14:val="tx1"/>
            </w14:solidFill>
          </w14:textFill>
        </w:rPr>
        <w:t>置于地面上，</w:t>
      </w:r>
      <w:r>
        <w:rPr>
          <w:rFonts w:hint="default" w:ascii="Times New Roman" w:hAnsi="Times New Roman" w:cs="Times New Roman"/>
          <w:bCs/>
          <w:color w:val="000000" w:themeColor="text1"/>
          <w:highlight w:val="none"/>
          <w:lang w:eastAsia="zh-CN"/>
          <w14:textFill>
            <w14:solidFill>
              <w14:schemeClr w14:val="tx1"/>
            </w14:solidFill>
          </w14:textFill>
        </w:rPr>
        <w:t>污水泄漏</w:t>
      </w:r>
      <w:r>
        <w:rPr>
          <w:rFonts w:hint="default" w:ascii="Times New Roman" w:hAnsi="Times New Roman" w:cs="Times New Roman"/>
          <w:bCs/>
          <w:color w:val="000000" w:themeColor="text1"/>
          <w:highlight w:val="none"/>
          <w14:textFill>
            <w14:solidFill>
              <w14:schemeClr w14:val="tx1"/>
            </w14:solidFill>
          </w14:textFill>
        </w:rPr>
        <w:t>后可以及时发现处理，因此火炬分液罐区、生产流程区属于一般防渗区，火炬分液罐和生产流程区建设选在钻井井场进行了重点防渗或一般防渗的区域进行建设，若上</w:t>
      </w:r>
      <w:r>
        <w:rPr>
          <w:rFonts w:hint="default" w:ascii="Times New Roman" w:hAnsi="Times New Roman" w:cs="Times New Roman"/>
          <w:bCs/>
          <w:color w:val="000000" w:themeColor="text1"/>
          <w:highlight w:val="none"/>
          <w:lang w:eastAsia="zh-CN"/>
          <w14:textFill>
            <w14:solidFill>
              <w14:schemeClr w14:val="tx1"/>
            </w14:solidFill>
          </w14:textFill>
        </w:rPr>
        <w:t>述</w:t>
      </w:r>
      <w:r>
        <w:rPr>
          <w:rFonts w:hint="default" w:ascii="Times New Roman" w:hAnsi="Times New Roman" w:cs="Times New Roman"/>
          <w:bCs/>
          <w:color w:val="000000" w:themeColor="text1"/>
          <w:highlight w:val="none"/>
          <w14:textFill>
            <w14:solidFill>
              <w14:schemeClr w14:val="tx1"/>
            </w14:solidFill>
          </w14:textFill>
        </w:rPr>
        <w:t>防渗区无法满足建设时，应至少做一般防渗，并在火炬分液罐罐区修建围堰，围堰内容积要足够储存火炬分液罐泄露的污水。因此火炬分液罐的建设</w:t>
      </w:r>
      <w:r>
        <w:rPr>
          <w:rFonts w:hint="default" w:ascii="Times New Roman" w:hAnsi="Times New Roman" w:cs="Times New Roman"/>
          <w:bCs/>
          <w:color w:val="000000" w:themeColor="text1"/>
          <w:highlight w:val="none"/>
          <w:lang w:eastAsia="zh-CN"/>
          <w14:textFill>
            <w14:solidFill>
              <w14:schemeClr w14:val="tx1"/>
            </w14:solidFill>
          </w14:textFill>
        </w:rPr>
        <w:t>是</w:t>
      </w:r>
      <w:r>
        <w:rPr>
          <w:rFonts w:hint="default" w:ascii="Times New Roman" w:hAnsi="Times New Roman" w:cs="Times New Roman"/>
          <w:bCs/>
          <w:color w:val="000000" w:themeColor="text1"/>
          <w:highlight w:val="none"/>
          <w14:textFill>
            <w14:solidFill>
              <w14:schemeClr w14:val="tx1"/>
            </w14:solidFill>
          </w14:textFill>
        </w:rPr>
        <w:t>可行有效的。</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试采井站地下水土壤污染防治措施为中石化在川东北地区常用的处置措施，已在建设单位同类型天然气试采井站工程项目中广泛应用，采气试采未发生过地下水和土壤污染事故，因此，地下水和土壤防治处理措施合理、可行。</w:t>
      </w:r>
    </w:p>
    <w:p>
      <w:pPr>
        <w:pStyle w:val="4"/>
        <w:pageBreakBefore w:val="0"/>
        <w:kinsoku/>
        <w:wordWrap/>
        <w:overflowPunct/>
        <w:topLinePunct w:val="0"/>
        <w:autoSpaceDE/>
        <w:autoSpaceDN/>
        <w:bidi w:val="0"/>
        <w:adjustRightInd w:val="0"/>
        <w:snapToGrid w:val="0"/>
        <w:spacing w:before="0" w:beforeLines="0" w:line="360" w:lineRule="auto"/>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60" w:name="6.2.3噪声防治措施"/>
      <w:bookmarkEnd w:id="460"/>
      <w:bookmarkStart w:id="461" w:name="_Toc120173222"/>
      <w:r>
        <w:rPr>
          <w:rFonts w:hint="default" w:ascii="Times New Roman" w:hAnsi="Times New Roman" w:cs="Times New Roman"/>
          <w:color w:val="000000" w:themeColor="text1"/>
          <w:highlight w:val="none"/>
          <w:lang w:eastAsia="zh-CN"/>
          <w14:textFill>
            <w14:solidFill>
              <w14:schemeClr w14:val="tx1"/>
            </w14:solidFill>
          </w14:textFill>
        </w:rPr>
        <w:t>噪声防治措施</w:t>
      </w:r>
      <w:bookmarkEnd w:id="461"/>
    </w:p>
    <w:p>
      <w:pPr>
        <w:pageBreakBefore w:val="0"/>
        <w:tabs>
          <w:tab w:val="left" w:pos="0"/>
        </w:tabs>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根据泵的噪声频谱特性，采取的噪声控制措施为隔声、减震等，具体措施为：</w:t>
      </w:r>
    </w:p>
    <w:p>
      <w:pPr>
        <w:pageBreakBefore w:val="0"/>
        <w:tabs>
          <w:tab w:val="left" w:pos="0"/>
        </w:tabs>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（1）平面布置时进行合理布局，控制气流速度，减少站场工艺管线的弯头、三通等管件，降低试采站内噪声。</w:t>
      </w:r>
    </w:p>
    <w:p>
      <w:pPr>
        <w:pageBreakBefore w:val="0"/>
        <w:tabs>
          <w:tab w:val="left" w:pos="0"/>
        </w:tabs>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（2）选用高效低噪声的水套加热炉、分离器和调压设备。</w:t>
      </w:r>
    </w:p>
    <w:p>
      <w:pPr>
        <w:pageBreakBefore w:val="0"/>
        <w:tabs>
          <w:tab w:val="left" w:pos="0"/>
        </w:tabs>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（3）种植绿化隔声。</w:t>
      </w:r>
    </w:p>
    <w:p>
      <w:pPr>
        <w:pageBreakBefore w:val="0"/>
        <w:tabs>
          <w:tab w:val="left" w:pos="0"/>
        </w:tabs>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试采期采取以上措施为中石化在川东北地区常用的处置措施，类比已在建设单位同类型天然气试采井站工程，项目试采期不会对声环境和敏感点（农户）造成噪声污染影响，因此，试采期噪声污染防治措施合理、可行。</w:t>
      </w:r>
    </w:p>
    <w:p>
      <w:pPr>
        <w:pStyle w:val="4"/>
        <w:pageBreakBefore w:val="0"/>
        <w:kinsoku/>
        <w:wordWrap/>
        <w:overflowPunct/>
        <w:topLinePunct w:val="0"/>
        <w:autoSpaceDE/>
        <w:autoSpaceDN/>
        <w:bidi w:val="0"/>
        <w:adjustRightInd w:val="0"/>
        <w:snapToGrid w:val="0"/>
        <w:spacing w:before="0" w:beforeLines="0" w:line="360" w:lineRule="auto"/>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62" w:name="6.2.4固体废弃物处置措施"/>
      <w:bookmarkEnd w:id="462"/>
      <w:bookmarkStart w:id="463" w:name="_Toc120173223"/>
      <w:r>
        <w:rPr>
          <w:rFonts w:hint="default" w:ascii="Times New Roman" w:hAnsi="Times New Roman" w:cs="Times New Roman"/>
          <w:color w:val="000000" w:themeColor="text1"/>
          <w:highlight w:val="none"/>
          <w:lang w:eastAsia="zh-CN"/>
          <w14:textFill>
            <w14:solidFill>
              <w14:schemeClr w14:val="tx1"/>
            </w14:solidFill>
          </w14:textFill>
        </w:rPr>
        <w:t>固体废弃物处置措施</w:t>
      </w:r>
      <w:bookmarkEnd w:id="463"/>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本项目拟建工程内容</w:t>
      </w:r>
      <w:r>
        <w:rPr>
          <w:rFonts w:hint="default" w:ascii="Times New Roman" w:hAnsi="Times New Roman" w:cs="Times New Roman"/>
          <w:color w:val="000000" w:themeColor="text1"/>
          <w:highlight w:val="none"/>
          <w14:textFill>
            <w14:solidFill>
              <w14:schemeClr w14:val="tx1"/>
            </w14:solidFill>
          </w14:textFill>
        </w:rPr>
        <w:t>只新增井口采气装置及站内连接管线，在正常运行过程中不会产生固体废物。本项目拟建工程内容不新增清管收发球装置，试采期无清管废渣产生。日常管理依托P106集气站进行，无新增定员，无生活垃圾产生</w:t>
      </w:r>
      <w:r>
        <w:rPr>
          <w:rFonts w:hint="default" w:ascii="Times New Roman" w:hAnsi="Times New Roman" w:cs="Times New Roman"/>
          <w:bCs/>
          <w:color w:val="000000" w:themeColor="text1"/>
          <w:highlight w:val="none"/>
          <w14:textFill>
            <w14:solidFill>
              <w14:schemeClr w14:val="tx1"/>
            </w14:solidFill>
          </w14:textFill>
        </w:rPr>
        <w:t>。</w:t>
      </w:r>
    </w:p>
    <w:p>
      <w:pPr>
        <w:pStyle w:val="4"/>
        <w:pageBreakBefore w:val="0"/>
        <w:kinsoku/>
        <w:wordWrap/>
        <w:overflowPunct/>
        <w:topLinePunct w:val="0"/>
        <w:autoSpaceDE/>
        <w:autoSpaceDN/>
        <w:bidi w:val="0"/>
        <w:adjustRightInd w:val="0"/>
        <w:snapToGrid w:val="0"/>
        <w:spacing w:before="0" w:beforeLines="0" w:line="360" w:lineRule="auto"/>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64" w:name="_Toc120173224"/>
      <w:r>
        <w:rPr>
          <w:rFonts w:hint="default" w:ascii="Times New Roman" w:hAnsi="Times New Roman" w:cs="Times New Roman"/>
          <w:color w:val="000000" w:themeColor="text1"/>
          <w:highlight w:val="none"/>
          <w:lang w:eastAsia="zh-CN"/>
          <w14:textFill>
            <w14:solidFill>
              <w14:schemeClr w14:val="tx1"/>
            </w14:solidFill>
          </w14:textFill>
        </w:rPr>
        <w:t>陆生生物及其生态系统保护措施</w:t>
      </w:r>
      <w:bookmarkEnd w:id="464"/>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试采期不涉及新增占地，无新增固废和新增生活污水产生，因此试采期需管护好项目区植被恢复成效，防止新的水土流失情况发生。</w:t>
      </w:r>
    </w:p>
    <w:p>
      <w:pPr>
        <w:pStyle w:val="3"/>
        <w:keepNext/>
        <w:keepLines/>
        <w:pageBreakBefore w:val="0"/>
        <w:widowControl w:val="0"/>
        <w:kinsoku/>
        <w:wordWrap/>
        <w:overflowPunct/>
        <w:topLinePunct w:val="0"/>
        <w:autoSpaceDE/>
        <w:autoSpaceDN/>
        <w:bidi w:val="0"/>
        <w:adjustRightInd w:val="0"/>
        <w:snapToGrid w:val="0"/>
        <w:spacing w:line="360" w:lineRule="auto"/>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65" w:name="_Toc29088"/>
      <w:r>
        <w:rPr>
          <w:rFonts w:hint="default" w:ascii="Times New Roman" w:hAnsi="Times New Roman" w:cs="Times New Roman"/>
          <w:color w:val="000000" w:themeColor="text1"/>
          <w:highlight w:val="none"/>
          <w:lang w:eastAsia="zh-CN"/>
          <w14:textFill>
            <w14:solidFill>
              <w14:schemeClr w14:val="tx1"/>
            </w14:solidFill>
          </w14:textFill>
        </w:rPr>
        <w:t>项目完工及试采结束后环境保护措施及可行性分析</w:t>
      </w:r>
      <w:bookmarkEnd w:id="465"/>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（1）对拆除地面设施过程中产生的垃圾及时外运，送至指定的垃圾填埋场处理。</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（2）保留各类绿化、生态保护设施，以保持评价区生态环境功能不变。</w:t>
      </w:r>
    </w:p>
    <w:p>
      <w:pPr>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评价认为，在采取了上述污染防治措施后，可减缓</w:t>
      </w:r>
      <w:r>
        <w:rPr>
          <w:rFonts w:hint="default" w:ascii="Times New Roman" w:hAnsi="Times New Roman" w:cs="Times New Roman"/>
          <w:color w:val="000000" w:themeColor="text1"/>
          <w:highlight w:val="none"/>
          <w14:textFill>
            <w14:solidFill>
              <w14:schemeClr w14:val="tx1"/>
            </w14:solidFill>
          </w14:textFill>
        </w:rPr>
        <w:t>项目完工及试采结束后</w:t>
      </w:r>
      <w:r>
        <w:rPr>
          <w:rFonts w:hint="default" w:ascii="Times New Roman" w:hAnsi="Times New Roman" w:cs="Times New Roman"/>
          <w:bCs/>
          <w:color w:val="000000" w:themeColor="text1"/>
          <w:highlight w:val="none"/>
          <w14:textFill>
            <w14:solidFill>
              <w14:schemeClr w14:val="tx1"/>
            </w14:solidFill>
          </w14:textFill>
        </w:rPr>
        <w:t>对环境的影响，措施可行。</w:t>
      </w:r>
    </w:p>
    <w:p>
      <w:pPr>
        <w:pStyle w:val="2"/>
        <w:pageBreakBefore w:val="0"/>
        <w:kinsoku/>
        <w:wordWrap/>
        <w:overflowPunct/>
        <w:topLinePunct w:val="0"/>
        <w:autoSpaceDE/>
        <w:autoSpaceDN/>
        <w:bidi w:val="0"/>
        <w:adjustRightInd w:val="0"/>
        <w:snapToGrid w:val="0"/>
        <w:spacing w:before="0" w:after="0" w:line="360" w:lineRule="auto"/>
        <w:ind w:firstLine="560"/>
        <w:textAlignment w:val="auto"/>
        <w:rPr>
          <w:rFonts w:hint="default" w:ascii="Times New Roman" w:hAnsi="Times New Roman" w:cs="Times New Roman"/>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bookmarkStart w:id="466" w:name="第七章_环境影响经济损益分析"/>
      <w:bookmarkEnd w:id="466"/>
      <w:bookmarkStart w:id="467" w:name="_bookmark34"/>
      <w:bookmarkEnd w:id="467"/>
    </w:p>
    <w:p>
      <w:pPr>
        <w:pStyle w:val="2"/>
        <w:rPr>
          <w:rFonts w:hint="default" w:ascii="Times New Roman" w:hAnsi="Times New Roman" w:cs="Times New Roman"/>
          <w:b/>
          <w:color w:val="000000" w:themeColor="text1"/>
          <w:highlight w:val="none"/>
          <w:lang w:eastAsia="zh-CN"/>
          <w14:textFill>
            <w14:solidFill>
              <w14:schemeClr w14:val="tx1"/>
            </w14:solidFill>
          </w14:textFill>
        </w:rPr>
      </w:pPr>
      <w:bookmarkStart w:id="468" w:name="_Toc29702"/>
      <w:r>
        <w:rPr>
          <w:rFonts w:hint="default" w:ascii="Times New Roman" w:hAnsi="Times New Roman" w:cs="Times New Roman"/>
          <w:color w:val="000000" w:themeColor="text1"/>
          <w:highlight w:val="none"/>
          <w:lang w:eastAsia="zh-CN"/>
          <w14:textFill>
            <w14:solidFill>
              <w14:schemeClr w14:val="tx1"/>
            </w14:solidFill>
          </w14:textFill>
        </w:rPr>
        <w:t>环境影响经济损益分析</w:t>
      </w:r>
      <w:bookmarkEnd w:id="468"/>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环境经济损益分析主要任务是衡量建设项目要投入的环保投资所能收到的环境保护效果，本评价环境经济损益分析主要研究工程环境经济损益情况，除需计算用于控制污染所需投资和费用外，还同时核算可能收到的环境与经济效益。</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69" w:name="_bookmark35"/>
      <w:bookmarkEnd w:id="469"/>
      <w:bookmarkStart w:id="470" w:name="7.1环保投资估算"/>
      <w:bookmarkEnd w:id="470"/>
      <w:bookmarkStart w:id="471" w:name="_Toc10627"/>
      <w:r>
        <w:rPr>
          <w:rFonts w:hint="default" w:ascii="Times New Roman" w:hAnsi="Times New Roman" w:cs="Times New Roman"/>
          <w:color w:val="000000" w:themeColor="text1"/>
          <w:highlight w:val="none"/>
          <w:lang w:eastAsia="zh-CN"/>
          <w14:textFill>
            <w14:solidFill>
              <w14:schemeClr w14:val="tx1"/>
            </w14:solidFill>
          </w14:textFill>
        </w:rPr>
        <w:t>环保投资估算</w:t>
      </w:r>
      <w:bookmarkEnd w:id="471"/>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本项目总投资</w:t>
      </w:r>
      <w:r>
        <w:rPr>
          <w:rFonts w:hint="eastAsia"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，环保投资</w:t>
      </w:r>
      <w:r>
        <w:rPr>
          <w:rFonts w:hint="eastAsia"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，占总投资的7.48%。环保投资主要用于废水治理、固体废物处理、噪声污染防治，以及施工迹地生态恢复等，符合该项目的实际特点。具体情况见</w:t>
      </w:r>
      <w:r>
        <w:rPr>
          <w:rFonts w:hint="default" w:ascii="Times New Roman" w:hAnsi="Times New Roman" w:cs="Times New Roman"/>
          <w:bCs/>
          <w:color w:val="000000" w:themeColor="text1"/>
          <w:szCs w:val="24"/>
          <w:highlight w:val="none"/>
          <w14:textFill>
            <w14:solidFill>
              <w14:schemeClr w14:val="tx1"/>
            </w14:solidFill>
          </w14:textFill>
        </w:rPr>
        <w:fldChar w:fldCharType="begin"/>
      </w:r>
      <w:r>
        <w:rPr>
          <w:rFonts w:hint="default" w:ascii="Times New Roman" w:hAnsi="Times New Roman" w:cs="Times New Roman"/>
          <w:bCs/>
          <w:color w:val="000000" w:themeColor="text1"/>
          <w:szCs w:val="24"/>
          <w:highlight w:val="none"/>
          <w14:textFill>
            <w14:solidFill>
              <w14:schemeClr w14:val="tx1"/>
            </w14:solidFill>
          </w14:textFill>
        </w:rPr>
        <w:instrText xml:space="preserve"> REF _Ref142859751 \h  \* MERGEFORMAT </w:instrText>
      </w:r>
      <w:r>
        <w:rPr>
          <w:rFonts w:hint="default" w:ascii="Times New Roman" w:hAnsi="Times New Roman" w:cs="Times New Roman"/>
          <w:bCs/>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表8.1</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bCs/>
          <w:color w:val="000000" w:themeColor="text1"/>
          <w:szCs w:val="24"/>
          <w:highlight w:val="none"/>
          <w14:textFill>
            <w14:solidFill>
              <w14:schemeClr w14:val="tx1"/>
            </w14:solidFill>
          </w14:textFill>
        </w:rPr>
        <w:fldChar w:fldCharType="end"/>
      </w:r>
      <w:r>
        <w:rPr>
          <w:rFonts w:hint="default" w:ascii="Times New Roman" w:hAnsi="Times New Roman" w:cs="Times New Roman"/>
          <w:bCs/>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472" w:name="_Ref142859751"/>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8.1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472"/>
      <w:r>
        <w:rPr>
          <w:rFonts w:hint="default" w:ascii="Times New Roman" w:hAnsi="Times New Roman" w:cs="Times New Roman"/>
          <w:color w:val="000000" w:themeColor="text1"/>
          <w:highlight w:val="none"/>
          <w14:textFill>
            <w14:solidFill>
              <w14:schemeClr w14:val="tx1"/>
            </w14:solidFill>
          </w14:textFill>
        </w:rPr>
        <w:t xml:space="preserve"> 本项目环保措施及投资估算一览表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80"/>
        <w:gridCol w:w="5569"/>
        <w:gridCol w:w="987"/>
        <w:gridCol w:w="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项目</w:t>
            </w:r>
          </w:p>
        </w:tc>
        <w:tc>
          <w:tcPr>
            <w:tcW w:w="556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内容</w:t>
            </w:r>
          </w:p>
        </w:tc>
        <w:tc>
          <w:tcPr>
            <w:tcW w:w="98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投资（万元）</w:t>
            </w:r>
          </w:p>
        </w:tc>
        <w:tc>
          <w:tcPr>
            <w:tcW w:w="686" w:type="dxa"/>
            <w:vAlign w:val="center"/>
          </w:tcPr>
          <w:p>
            <w:pPr>
              <w:pStyle w:val="295"/>
              <w:rPr>
                <w:rFonts w:hint="eastAsia"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cs="Times New Roman"/>
                <w:b/>
                <w:bCs/>
                <w:color w:val="000000" w:themeColor="text1"/>
                <w:highlight w:val="none"/>
                <w:lang w:val="en-US" w:eastAsia="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废气治理</w:t>
            </w: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施工期：土石方覆盖材料，洒水降尘；新建放喷设施（套）、修复放喷池等</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试采期：加强依托的放空火炬保养维护</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废水治理</w:t>
            </w: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施工期：新建钻前施工废水</w:t>
            </w:r>
            <w:r>
              <w:rPr>
                <w:rFonts w:hint="eastAsia" w:cs="Times New Roman"/>
                <w:color w:val="000000" w:themeColor="text1"/>
                <w:highlight w:val="none"/>
                <w:lang w:val="en-US" w:eastAsia="zh-CN"/>
                <w14:textFill>
                  <w14:solidFill>
                    <w14:schemeClr w14:val="tx1"/>
                  </w14:solidFill>
                </w14:textFill>
              </w:rPr>
              <w:t>隔油</w:t>
            </w:r>
            <w:r>
              <w:rPr>
                <w:rFonts w:hint="default" w:ascii="Times New Roman" w:hAnsi="Times New Roman" w:cs="Times New Roman"/>
                <w:color w:val="000000" w:themeColor="text1"/>
                <w:highlight w:val="none"/>
                <w14:textFill>
                  <w14:solidFill>
                    <w14:schemeClr w14:val="tx1"/>
                  </w14:solidFill>
                </w14:textFill>
              </w:rPr>
              <w:t xml:space="preserve">沉淀池，泥浆不落地系统，废水转运及处理等 </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w:t>
            </w:r>
            <w:r>
              <w:rPr>
                <w:rFonts w:hint="default" w:ascii="Times New Roman" w:hAnsi="Times New Roman" w:cs="Times New Roman"/>
                <w:color w:val="000000" w:themeColor="text1"/>
                <w:szCs w:val="21"/>
                <w:highlight w:val="none"/>
                <w14:textFill>
                  <w14:solidFill>
                    <w14:schemeClr w14:val="tx1"/>
                  </w14:solidFill>
                </w14:textFill>
              </w:rPr>
              <w:t>气田水（含开采初期压裂返排液）均</w:t>
            </w:r>
            <w:r>
              <w:rPr>
                <w:rFonts w:hint="default" w:ascii="Times New Roman" w:hAnsi="Times New Roman" w:cs="Times New Roman"/>
                <w:color w:val="000000" w:themeColor="text1"/>
                <w:highlight w:val="none"/>
                <w14:textFill>
                  <w14:solidFill>
                    <w14:schemeClr w14:val="tx1"/>
                  </w14:solidFill>
                </w14:textFill>
              </w:rPr>
              <w:t>依托P106集气站内30m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火炬分液罐，火炬分液罐区防渗，废水定期转运</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噪声治理</w:t>
            </w: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施工期：合理安排施工作业时间；选用低噪声设备；发电机、泥浆泵等设置隔声、吸声棚；为柴油机安装消声器和减震基础等</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试采期：合理布局，基础减振等</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固废治理</w:t>
            </w: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土石方集中堆放至井场东侧的表土堆场，表土用于后期生态恢复，综合利用；生活垃圾交市政环卫部门统一处理；施工废料由施工方回收利用或统一清运；泥浆不落地系统；钻井泥浆及钻井固废转运处置，废油桶收集及暂存</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569" w:type="dxa"/>
            <w:vAlign w:val="center"/>
          </w:tcPr>
          <w:p>
            <w:pPr>
              <w:pStyle w:val="295"/>
              <w:jc w:val="left"/>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 xml:space="preserve"> </w:t>
            </w:r>
            <w:r>
              <w:rPr>
                <w:rFonts w:hint="eastAsia" w:cs="Times New Roman"/>
                <w:color w:val="000000" w:themeColor="text1"/>
                <w:highlight w:val="none"/>
                <w:lang w:val="en-US" w:eastAsia="zh-CN"/>
                <w14:textFill>
                  <w14:solidFill>
                    <w14:schemeClr w14:val="tx1"/>
                  </w14:solidFill>
                </w14:textFill>
              </w:rPr>
              <w:t>/</w:t>
            </w:r>
          </w:p>
        </w:tc>
        <w:tc>
          <w:tcPr>
            <w:tcW w:w="987" w:type="dxa"/>
            <w:vAlign w:val="center"/>
          </w:tcPr>
          <w:p>
            <w:pPr>
              <w:pStyle w:val="123"/>
              <w:ind w:firstLine="199" w:firstLineChars="83"/>
              <w:jc w:val="center"/>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562" w:hRule="atLeast"/>
          <w:jc w:val="center"/>
        </w:trPr>
        <w:tc>
          <w:tcPr>
            <w:tcW w:w="980"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地下水及土壤防治措施</w:t>
            </w: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施工期：清污分流，排水沟，弃土场覆盖围挡，分区分级防渗，污染监测等</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65" w:hRule="atLeast"/>
          <w:jc w:val="center"/>
        </w:trPr>
        <w:tc>
          <w:tcPr>
            <w:tcW w:w="980"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试采期：清污分流，分区分级防渗，污染监测</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生态恢复</w:t>
            </w: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青苗（林木）赔偿，临时占地施工迹地地表恢复等</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污染监控</w:t>
            </w: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施工期环境监测，正常时例行监测，污染发生时加密监测</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试采期环境监测，正常时例行监测，污染发生时加密监测</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风险防控措施</w:t>
            </w: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施工期：井喷事故风险的应急处置措施、</w:t>
            </w:r>
            <w:r>
              <w:rPr>
                <w:rFonts w:hint="default" w:ascii="Times New Roman" w:hAnsi="Times New Roman" w:cs="Times New Roman"/>
                <w:color w:val="000000" w:themeColor="text1"/>
                <w:highlight w:val="none"/>
                <w:lang w:eastAsia="zh-CN"/>
                <w14:textFill>
                  <w14:solidFill>
                    <w14:schemeClr w14:val="tx1"/>
                  </w14:solidFill>
                </w14:textFill>
              </w:rPr>
              <w:t>制定</w:t>
            </w:r>
            <w:r>
              <w:rPr>
                <w:rFonts w:hint="default" w:ascii="Times New Roman" w:hAnsi="Times New Roman" w:cs="Times New Roman"/>
                <w:color w:val="000000" w:themeColor="text1"/>
                <w:highlight w:val="none"/>
                <w14:textFill>
                  <w14:solidFill>
                    <w14:schemeClr w14:val="tx1"/>
                  </w14:solidFill>
                </w14:textFill>
              </w:rPr>
              <w:t>应急处置预案、环境风险应急预案等：地表水三级防控，分区防渗，测试放喷应急措施等</w:t>
            </w:r>
          </w:p>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试采期：开展试采期污染监测及应急监测</w:t>
            </w:r>
          </w:p>
        </w:tc>
        <w:tc>
          <w:tcPr>
            <w:tcW w:w="987" w:type="dxa"/>
            <w:vAlign w:val="center"/>
          </w:tcPr>
          <w:p>
            <w:pPr>
              <w:pStyle w:val="123"/>
              <w:ind w:firstLine="199" w:firstLineChars="83"/>
              <w:jc w:val="center"/>
              <w:rPr>
                <w:rFonts w:hint="default" w:ascii="Times New Roman" w:hAnsi="Times New Roman" w:cs="Times New Roman"/>
                <w:color w:val="000000" w:themeColor="text1"/>
                <w:highlight w:val="none"/>
                <w14:textFill>
                  <w14:solidFill>
                    <w14:schemeClr w14:val="tx1"/>
                  </w14:solidFill>
                </w14:textFill>
              </w:rPr>
            </w:pPr>
            <w:r>
              <w:rPr>
                <w:rFonts w:hint="eastAsia" w:cs="Times New Roman"/>
                <w:bCs/>
                <w:color w:val="000000" w:themeColor="text1"/>
                <w:highlight w:val="none"/>
                <w:lang w:val="en-US" w:eastAsia="zh-CN"/>
                <w14:textFill>
                  <w14:solidFill>
                    <w14:schemeClr w14:val="tx1"/>
                  </w14:solidFill>
                </w14:textFill>
              </w:rPr>
              <w:t>**</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加强项目环境风险管理，制定环境监督管理计划，设置专人负责</w:t>
            </w:r>
          </w:p>
        </w:tc>
        <w:tc>
          <w:tcPr>
            <w:tcW w:w="98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556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风向标、环保管理、事故人员撤离等修订应急预案并定期演练，加强站内设备及管线的巡线</w:t>
            </w:r>
          </w:p>
        </w:tc>
        <w:tc>
          <w:tcPr>
            <w:tcW w:w="987"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w:t>
            </w:r>
          </w:p>
        </w:tc>
        <w:tc>
          <w:tcPr>
            <w:tcW w:w="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合计</w:t>
            </w:r>
          </w:p>
        </w:tc>
        <w:tc>
          <w:tcPr>
            <w:tcW w:w="55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673"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480</w:t>
            </w:r>
          </w:p>
        </w:tc>
      </w:tr>
    </w:tbl>
    <w:p>
      <w:pPr>
        <w:pStyle w:val="202"/>
        <w:rPr>
          <w:rFonts w:hint="default"/>
          <w:color w:val="000000" w:themeColor="text1"/>
          <w:highlight w:val="none"/>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73" w:name="7.2“三效益”分析"/>
      <w:bookmarkEnd w:id="473"/>
      <w:bookmarkStart w:id="474" w:name="_bookmark36"/>
      <w:bookmarkEnd w:id="474"/>
      <w:r>
        <w:rPr>
          <w:rFonts w:hint="default" w:ascii="Times New Roman" w:hAnsi="Times New Roman" w:cs="Times New Roman"/>
          <w:color w:val="000000" w:themeColor="text1"/>
          <w:highlight w:val="none"/>
          <w:lang w:eastAsia="zh-CN"/>
          <w14:textFill>
            <w14:solidFill>
              <w14:schemeClr w14:val="tx1"/>
            </w14:solidFill>
          </w14:textFill>
        </w:rPr>
        <w:t xml:space="preserve"> </w:t>
      </w:r>
      <w:bookmarkStart w:id="475" w:name="_Toc18269"/>
      <w:r>
        <w:rPr>
          <w:rFonts w:hint="default" w:ascii="Times New Roman" w:hAnsi="Times New Roman" w:cs="Times New Roman"/>
          <w:color w:val="000000" w:themeColor="text1"/>
          <w:highlight w:val="none"/>
          <w:lang w:eastAsia="zh-CN"/>
          <w14:textFill>
            <w14:solidFill>
              <w14:schemeClr w14:val="tx1"/>
            </w14:solidFill>
          </w14:textFill>
        </w:rPr>
        <w:t>“三效益”分析</w:t>
      </w:r>
      <w:bookmarkEnd w:id="475"/>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476" w:name="7.2.1经济效益"/>
      <w:bookmarkEnd w:id="476"/>
      <w:bookmarkStart w:id="477" w:name="_Toc120173229"/>
      <w:r>
        <w:rPr>
          <w:rFonts w:hint="default" w:ascii="Times New Roman" w:hAnsi="Times New Roman" w:cs="Times New Roman"/>
          <w:color w:val="000000" w:themeColor="text1"/>
          <w:highlight w:val="none"/>
          <w:lang w:eastAsia="zh-CN"/>
          <w14:textFill>
            <w14:solidFill>
              <w14:schemeClr w14:val="tx1"/>
            </w14:solidFill>
          </w14:textFill>
        </w:rPr>
        <w:t>经济效益</w:t>
      </w:r>
      <w:bookmarkEnd w:id="477"/>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内部效益：</w:t>
      </w:r>
      <w:r>
        <w:rPr>
          <w:rFonts w:hint="default" w:ascii="Times New Roman" w:hAnsi="Times New Roman" w:eastAsia="宋体" w:cs="Times New Roman"/>
          <w:color w:val="000000" w:themeColor="text1"/>
          <w:szCs w:val="24"/>
          <w:highlight w:val="none"/>
          <w14:textFill>
            <w14:solidFill>
              <w14:schemeClr w14:val="tx1"/>
            </w14:solidFill>
          </w14:textFill>
        </w:rPr>
        <w:t>中国石油化工股份有限公司中原油田普光分公司项目总投资</w:t>
      </w:r>
      <w:r>
        <w:rPr>
          <w:rFonts w:hint="eastAsia"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建设本项目，</w:t>
      </w:r>
      <w:r>
        <w:rPr>
          <w:rFonts w:hint="eastAsia" w:ascii="Times New Roman" w:hAnsi="Times New Roman" w:eastAsia="宋体" w:cs="Times New Roman"/>
          <w:color w:val="000000" w:themeColor="text1"/>
          <w:szCs w:val="24"/>
          <w:highlight w:val="none"/>
          <w14:textFill>
            <w14:solidFill>
              <w14:schemeClr w14:val="tx1"/>
            </w14:solidFill>
          </w14:textFill>
        </w:rPr>
        <w:t>项目投产试采后，天然气配产规模在15万立方米/天，在天然气价格1475元/千方、硫黄价格1100元/吨条件下，项 目税后内部收益率8.68%。开发成本246元/千立方米，十亿方产能建设投资12.96亿元</w:t>
      </w:r>
      <w:r>
        <w:rPr>
          <w:rFonts w:hint="default" w:ascii="Times New Roman" w:hAnsi="Times New Roman" w:eastAsia="宋体" w:cs="Times New Roman"/>
          <w:color w:val="000000" w:themeColor="text1"/>
          <w:szCs w:val="24"/>
          <w:highlight w:val="none"/>
          <w14:textFill>
            <w14:solidFill>
              <w14:schemeClr w14:val="tx1"/>
            </w14:solidFill>
          </w14:textFill>
        </w:rPr>
        <w:t>。本项目经济效益较好，具有较强的盈利能力和偿债能力，在财务上是可行的。</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外部效果：根据有关资料，每万立方天然气用于工业，平均可创产值2.650万元；每万立方天然气用于城市民用可节约城市供煤运费补贴640元。因此本项目实施可为社会创造工业产值和节约运煤补贴。</w:t>
      </w:r>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从内部经济效益和外部经济效益来看，该工程的投产将普光气田内天然气资源的优势转化为经济优势，可大大增加地方利税收入，企业也将获得巨大的利润，为该地区带来巨大的天然气化工等方面经济效益。</w:t>
      </w:r>
    </w:p>
    <w:p>
      <w:pPr>
        <w:pStyle w:val="4"/>
        <w:spacing w:before="120"/>
        <w:ind w:left="480" w:leftChars="0" w:firstLineChars="0"/>
        <w:rPr>
          <w:rFonts w:hint="default" w:ascii="Times New Roman" w:hAnsi="Times New Roman" w:cs="Times New Roman"/>
          <w:b/>
          <w:color w:val="000000" w:themeColor="text1"/>
          <w:highlight w:val="none"/>
          <w:lang w:eastAsia="zh-CN"/>
          <w14:textFill>
            <w14:solidFill>
              <w14:schemeClr w14:val="tx1"/>
            </w14:solidFill>
          </w14:textFill>
        </w:rPr>
      </w:pPr>
      <w:bookmarkStart w:id="478" w:name="7.2.2社会效益"/>
      <w:bookmarkEnd w:id="478"/>
      <w:bookmarkStart w:id="479" w:name="_Toc120173230"/>
      <w:r>
        <w:rPr>
          <w:rFonts w:hint="default" w:ascii="Times New Roman" w:hAnsi="Times New Roman" w:cs="Times New Roman"/>
          <w:color w:val="000000" w:themeColor="text1"/>
          <w:highlight w:val="none"/>
          <w:lang w:eastAsia="zh-CN"/>
          <w14:textFill>
            <w14:solidFill>
              <w14:schemeClr w14:val="tx1"/>
            </w14:solidFill>
          </w14:textFill>
        </w:rPr>
        <w:t>社会效益</w:t>
      </w:r>
      <w:bookmarkEnd w:id="479"/>
    </w:p>
    <w:p>
      <w:pPr>
        <w:ind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根据项目建设内容，社会环境影响分析见</w:t>
      </w:r>
      <w:r>
        <w:rPr>
          <w:rFonts w:hint="default" w:ascii="Times New Roman" w:hAnsi="Times New Roman" w:cs="Times New Roman"/>
          <w:color w:val="000000" w:themeColor="text1"/>
          <w:szCs w:val="24"/>
          <w:highlight w:val="none"/>
          <w14:textFill>
            <w14:solidFill>
              <w14:schemeClr w14:val="tx1"/>
            </w14:solidFill>
          </w14:textFill>
        </w:rPr>
        <w:fldChar w:fldCharType="begin"/>
      </w:r>
      <w:r>
        <w:rPr>
          <w:rFonts w:hint="default" w:ascii="Times New Roman" w:hAnsi="Times New Roman" w:cs="Times New Roman"/>
          <w:color w:val="000000" w:themeColor="text1"/>
          <w:szCs w:val="24"/>
          <w:highlight w:val="none"/>
          <w14:textFill>
            <w14:solidFill>
              <w14:schemeClr w14:val="tx1"/>
            </w14:solidFill>
          </w14:textFill>
        </w:rPr>
        <w:instrText xml:space="preserve"> REF _Ref142859760 \h  \* MERGEFORMAT </w:instrText>
      </w:r>
      <w:r>
        <w:rPr>
          <w:rFonts w:hint="default" w:ascii="Times New Roman" w:hAnsi="Times New Roman" w:cs="Times New Roman"/>
          <w:color w:val="000000" w:themeColor="text1"/>
          <w:szCs w:val="24"/>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表8.2</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szCs w:val="24"/>
          <w:highlight w:val="none"/>
          <w14:textFill>
            <w14:solidFill>
              <w14:schemeClr w14:val="tx1"/>
            </w14:solidFill>
          </w14:textFill>
        </w:rPr>
        <w:fldChar w:fldCharType="end"/>
      </w:r>
      <w:r>
        <w:rPr>
          <w:rFonts w:hint="default" w:ascii="Times New Roman" w:hAnsi="Times New Roman" w:cs="Times New Roman"/>
          <w:color w:val="000000" w:themeColor="text1"/>
          <w:szCs w:val="24"/>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480" w:name="_Ref142859760"/>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8.2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480"/>
      <w:r>
        <w:rPr>
          <w:rFonts w:hint="default" w:ascii="Times New Roman" w:hAnsi="Times New Roman" w:cs="Times New Roman"/>
          <w:color w:val="000000" w:themeColor="text1"/>
          <w:highlight w:val="none"/>
          <w14:textFill>
            <w14:solidFill>
              <w14:schemeClr w14:val="tx1"/>
            </w14:solidFill>
          </w14:textFill>
        </w:rPr>
        <w:t xml:space="preserve"> 社会环境影响一览表</w:t>
      </w:r>
    </w:p>
    <w:tbl>
      <w:tblPr>
        <w:tblStyle w:val="5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66"/>
        <w:gridCol w:w="4586"/>
        <w:gridCol w:w="3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895" w:type="dxa"/>
            <w:gridSpan w:val="2"/>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环境影响因素</w:t>
            </w:r>
          </w:p>
        </w:tc>
        <w:tc>
          <w:tcPr>
            <w:tcW w:w="3327"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环保措施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负面影响</w:t>
            </w:r>
          </w:p>
        </w:tc>
        <w:tc>
          <w:tcPr>
            <w:tcW w:w="462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放喷管线出口位置修建放喷池，建挡墙减小热辐射影响。会对周边农作物产生轻度影响，本项目放喷池周边的植被主要为</w:t>
            </w:r>
            <w:r>
              <w:rPr>
                <w:rFonts w:hint="default" w:ascii="Times New Roman" w:hAnsi="Times New Roman" w:cs="Times New Roman"/>
                <w:color w:val="000000" w:themeColor="text1"/>
                <w:highlight w:val="none"/>
                <w:lang w:eastAsia="zh-CN"/>
                <w14:textFill>
                  <w14:solidFill>
                    <w14:schemeClr w14:val="tx1"/>
                  </w14:solidFill>
                </w14:textFill>
              </w:rPr>
              <w:t>杂木</w:t>
            </w:r>
            <w:r>
              <w:rPr>
                <w:rFonts w:hint="default" w:ascii="Times New Roman" w:hAnsi="Times New Roman" w:cs="Times New Roman"/>
                <w:color w:val="000000" w:themeColor="text1"/>
                <w:highlight w:val="none"/>
                <w14:textFill>
                  <w14:solidFill>
                    <w14:schemeClr w14:val="tx1"/>
                  </w14:solidFill>
                </w14:textFill>
              </w:rPr>
              <w:t>和灌木林地。</w:t>
            </w:r>
          </w:p>
        </w:tc>
        <w:tc>
          <w:tcPr>
            <w:tcW w:w="332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对热辐射破坏的植被进行补偿。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4629"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钻井噪声影响、测试防喷影响需要以及钻遇含硫地层对居民进行临时撤离。对居民生产生活产生轻度的影响。雨水冲入耕地或林地对农业生产、植被生长产生轻度影响。</w:t>
            </w:r>
          </w:p>
        </w:tc>
        <w:tc>
          <w:tcPr>
            <w:tcW w:w="3327"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通过协调补偿方式解决。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正面影响</w:t>
            </w:r>
          </w:p>
        </w:tc>
        <w:tc>
          <w:tcPr>
            <w:tcW w:w="0" w:type="auto"/>
            <w:gridSpan w:val="2"/>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天然气属于清洁能源，天然气的开采可以缓解用气紧张，增加企业经济效益，促进社会、经济发展，增大区域清洁能源的使用，对调整能源结构、缓解地区能源缺口有积极意义。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gridSpan w:val="2"/>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项目钻井前会对乡村公路做维护及改建，加强了当地交通基础设施建设，改善交通条件。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0" w:type="auto"/>
            <w:gridSpan w:val="2"/>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拟建井站位于农村地区，有富余劳动力，本工程建设可带来一定的就业机会，解决当地部分人员就业，增加当地居民收入，促进本地经济发展。</w:t>
            </w:r>
          </w:p>
        </w:tc>
      </w:tr>
    </w:tbl>
    <w:p>
      <w:pPr>
        <w:pStyle w:val="21"/>
        <w:pageBreakBefore w:val="0"/>
        <w:kinsoku/>
        <w:wordWrap/>
        <w:overflowPunct/>
        <w:topLinePunct w:val="0"/>
        <w:autoSpaceDE/>
        <w:autoSpaceDN/>
        <w:bidi w:val="0"/>
        <w:adjustRightInd w:val="0"/>
        <w:snapToGrid w:val="0"/>
        <w:spacing w:before="0" w:line="360" w:lineRule="auto"/>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从上表可看出，虽然项目建设存在一定的社会环境负面影响，在采取相应的环保措施后，负面影响降低或可避免，为社会环境所接受；而项目对调整社会能源结构、促进当地经济发展、改善当地交通状况等社会环境正面影响很明显，从总体来看，项目正面影响远高于负面影响，为社会环境所接受</w:t>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4"/>
        <w:pageBreakBefore w:val="0"/>
        <w:kinsoku/>
        <w:wordWrap/>
        <w:overflowPunct/>
        <w:topLinePunct w:val="0"/>
        <w:autoSpaceDE/>
        <w:autoSpaceDN/>
        <w:bidi w:val="0"/>
        <w:adjustRightInd w:val="0"/>
        <w:snapToGrid w:val="0"/>
        <w:spacing w:before="0" w:beforeLines="0" w:line="360" w:lineRule="auto"/>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81" w:name="7.2.3环境效益"/>
      <w:bookmarkEnd w:id="481"/>
      <w:bookmarkStart w:id="482" w:name="_Toc120173231"/>
      <w:r>
        <w:rPr>
          <w:rFonts w:hint="default" w:ascii="Times New Roman" w:hAnsi="Times New Roman" w:cs="Times New Roman"/>
          <w:color w:val="000000" w:themeColor="text1"/>
          <w:highlight w:val="none"/>
          <w:lang w:eastAsia="zh-CN"/>
          <w14:textFill>
            <w14:solidFill>
              <w14:schemeClr w14:val="tx1"/>
            </w14:solidFill>
          </w14:textFill>
        </w:rPr>
        <w:t>环境效益</w:t>
      </w:r>
      <w:bookmarkEnd w:id="482"/>
    </w:p>
    <w:p>
      <w:pPr>
        <w:pStyle w:val="21"/>
        <w:pageBreakBefore w:val="0"/>
        <w:kinsoku/>
        <w:wordWrap/>
        <w:overflowPunct/>
        <w:topLinePunct w:val="0"/>
        <w:autoSpaceDE/>
        <w:autoSpaceDN/>
        <w:bidi w:val="0"/>
        <w:adjustRightInd w:val="0"/>
        <w:snapToGrid w:val="0"/>
        <w:spacing w:before="0" w:line="360" w:lineRule="auto"/>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天然气利用可以减少环境空气污染物的排放量，改善环境空气质量。本项目在减轻大气环境影响方面效益显著，与燃油和燃煤相比具有更高的环境效益。</w:t>
      </w:r>
    </w:p>
    <w:p>
      <w:pPr>
        <w:pStyle w:val="21"/>
        <w:pageBreakBefore w:val="0"/>
        <w:kinsoku/>
        <w:wordWrap/>
        <w:overflowPunct/>
        <w:topLinePunct w:val="0"/>
        <w:autoSpaceDE/>
        <w:autoSpaceDN/>
        <w:bidi w:val="0"/>
        <w:adjustRightInd w:val="0"/>
        <w:snapToGrid w:val="0"/>
        <w:spacing w:before="0" w:line="360" w:lineRule="auto"/>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我国的能源结构以煤炭为主，以煤为主的能源结构是造成大气污染的主要原因。根据世界各国污染治理的经验，减轻大气污染措施之一就是用无污染或低污染的优质能源替代煤炭。燃烧天然气排放的CO、NO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、SO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、灰分大大低于煤和原油的排放量。天然气燃烧可以节省NO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、SO</w:t>
      </w:r>
      <w:r>
        <w:rPr>
          <w:rFonts w:hint="default" w:ascii="Times New Roman" w:hAnsi="Times New Roman" w:cs="Times New Roman"/>
          <w:bCs/>
          <w:color w:val="000000" w:themeColor="text1"/>
          <w:kern w:val="2"/>
          <w:highlight w:val="none"/>
          <w:vertAlign w:val="subscript"/>
          <w:lang w:eastAsia="zh-CN"/>
          <w14:textFill>
            <w14:solidFill>
              <w14:schemeClr w14:val="tx1"/>
            </w14:solidFill>
          </w14:textFill>
        </w:rPr>
        <w:t>2</w:t>
      </w:r>
      <w:r>
        <w:rPr>
          <w:rFonts w:hint="default" w:ascii="Times New Roman" w:hAnsi="Times New Roman" w:cs="Times New Roman"/>
          <w:bCs/>
          <w:color w:val="000000" w:themeColor="text1"/>
          <w:kern w:val="2"/>
          <w:highlight w:val="none"/>
          <w:lang w:eastAsia="zh-CN"/>
          <w14:textFill>
            <w14:solidFill>
              <w14:schemeClr w14:val="tx1"/>
            </w14:solidFill>
          </w14:textFill>
        </w:rPr>
        <w:t>、烟尘、固体废物等处理费用，减少燃煤灰渣引起的土地占用。因此本项目的建设将很大程度上减少了燃煤等对环境的污染影响，带来较好的环境效益。</w:t>
      </w:r>
    </w:p>
    <w:p>
      <w:pPr>
        <w:pStyle w:val="3"/>
        <w:keepNext/>
        <w:keepLines/>
        <w:pageBreakBefore w:val="0"/>
        <w:widowControl w:val="0"/>
        <w:kinsoku/>
        <w:wordWrap/>
        <w:overflowPunct/>
        <w:topLinePunct w:val="0"/>
        <w:autoSpaceDE/>
        <w:autoSpaceDN/>
        <w:bidi w:val="0"/>
        <w:adjustRightInd w:val="0"/>
        <w:snapToGrid w:val="0"/>
        <w:spacing w:line="360" w:lineRule="auto"/>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83" w:name="7.3环境经济损益分析结论"/>
      <w:bookmarkEnd w:id="483"/>
      <w:bookmarkStart w:id="484" w:name="_bookmark37"/>
      <w:bookmarkEnd w:id="484"/>
      <w:bookmarkStart w:id="485" w:name="_Toc18060"/>
      <w:r>
        <w:rPr>
          <w:rFonts w:hint="default" w:ascii="Times New Roman" w:hAnsi="Times New Roman" w:cs="Times New Roman"/>
          <w:color w:val="000000" w:themeColor="text1"/>
          <w:highlight w:val="none"/>
          <w:lang w:eastAsia="zh-CN"/>
          <w14:textFill>
            <w14:solidFill>
              <w14:schemeClr w14:val="tx1"/>
            </w14:solidFill>
          </w14:textFill>
        </w:rPr>
        <w:t>环境经济损益分析结论</w:t>
      </w:r>
      <w:bookmarkEnd w:id="485"/>
    </w:p>
    <w:p>
      <w:pPr>
        <w:pStyle w:val="21"/>
        <w:pageBreakBefore w:val="0"/>
        <w:kinsoku/>
        <w:wordWrap/>
        <w:overflowPunct/>
        <w:topLinePunct w:val="0"/>
        <w:autoSpaceDE/>
        <w:autoSpaceDN/>
        <w:bidi w:val="0"/>
        <w:adjustRightInd w:val="0"/>
        <w:snapToGrid w:val="0"/>
        <w:spacing w:before="0" w:line="360" w:lineRule="auto"/>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经济效益显著，项目建设符合社会效益、经济效益和环境效益统一的原则，环保投资小，由此可见，工程可衡量的环境损失远远小于工程带来的经济效益、环境效益和社会效益，工程的建设实现了经济效益、环境效益和社会效益的统一。</w:t>
      </w:r>
    </w:p>
    <w:p>
      <w:pPr>
        <w:pStyle w:val="21"/>
        <w:pageBreakBefore w:val="0"/>
        <w:kinsoku/>
        <w:wordWrap/>
        <w:overflowPunct/>
        <w:topLinePunct w:val="0"/>
        <w:autoSpaceDE/>
        <w:autoSpaceDN/>
        <w:bidi w:val="0"/>
        <w:adjustRightInd w:val="0"/>
        <w:snapToGrid w:val="0"/>
        <w:spacing w:before="0" w:line="360" w:lineRule="auto"/>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的实施，可以改善用气地区能源结构，天然气替代煤炭燃烧，减少因燃煤造成的环境污染，改善大气环境质量，本项目对环境的影响，从长远角度考虑，有利于环境质量改善，正面影响大于负面影响；天然气的应用，对提高人民生活质量、加快国民经济的发展产生积极作用，同时会为社会上缴大量税金，社会效益明显。本项目建设是可行的，符合社会、经济与环境协调发展的原则。</w:t>
      </w:r>
    </w:p>
    <w:p>
      <w:pPr>
        <w:pStyle w:val="2"/>
        <w:pageBreakBefore w:val="0"/>
        <w:kinsoku/>
        <w:wordWrap/>
        <w:overflowPunct/>
        <w:topLinePunct w:val="0"/>
        <w:autoSpaceDE/>
        <w:autoSpaceDN/>
        <w:bidi w:val="0"/>
        <w:adjustRightInd w:val="0"/>
        <w:snapToGrid w:val="0"/>
        <w:spacing w:before="0" w:after="0" w:line="360" w:lineRule="auto"/>
        <w:ind w:firstLine="560"/>
        <w:textAlignment w:val="auto"/>
        <w:rPr>
          <w:rFonts w:hint="default" w:ascii="Times New Roman" w:hAnsi="Times New Roman" w:cs="Times New Roman"/>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p>
    <w:p>
      <w:pPr>
        <w:pStyle w:val="2"/>
        <w:rPr>
          <w:rFonts w:hint="default" w:ascii="Times New Roman" w:hAnsi="Times New Roman" w:cs="Times New Roman"/>
          <w:b/>
          <w:color w:val="000000" w:themeColor="text1"/>
          <w:highlight w:val="none"/>
          <w:lang w:eastAsia="zh-CN"/>
          <w14:textFill>
            <w14:solidFill>
              <w14:schemeClr w14:val="tx1"/>
            </w14:solidFill>
          </w14:textFill>
        </w:rPr>
      </w:pPr>
      <w:bookmarkStart w:id="486" w:name="_Toc3380"/>
      <w:r>
        <w:rPr>
          <w:rFonts w:hint="default" w:ascii="Times New Roman" w:hAnsi="Times New Roman" w:cs="Times New Roman"/>
          <w:color w:val="000000" w:themeColor="text1"/>
          <w:highlight w:val="none"/>
          <w:lang w:eastAsia="zh-CN"/>
          <w14:textFill>
            <w14:solidFill>
              <w14:schemeClr w14:val="tx1"/>
            </w14:solidFill>
          </w14:textFill>
        </w:rPr>
        <w:t>清洁生产与总量控制</w:t>
      </w:r>
      <w:bookmarkEnd w:id="486"/>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87" w:name="_Toc6704"/>
      <w:r>
        <w:rPr>
          <w:rFonts w:hint="default" w:ascii="Times New Roman" w:hAnsi="Times New Roman" w:cs="Times New Roman"/>
          <w:color w:val="000000" w:themeColor="text1"/>
          <w:highlight w:val="none"/>
          <w:lang w:eastAsia="zh-CN"/>
          <w14:textFill>
            <w14:solidFill>
              <w14:schemeClr w14:val="tx1"/>
            </w14:solidFill>
          </w14:textFill>
        </w:rPr>
        <w:t>清洁生产分析</w:t>
      </w:r>
      <w:bookmarkEnd w:id="487"/>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目前，天然气开采业建设项目未被纳入环境保护部颁布的重点行业清洁生产标准目录中，根据对清洁生产评价评标体系查询，未发现针对天然气开采的清洁生产评价体系，故本评价从天然气开采建设的各个环节出发，对本项目的产品、原材料、工艺技术的清洁性以及三废治理工艺的先进性进行分析比较，并提出清洁生产措施和建议等。</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kern w:val="2"/>
          <w:highlight w:val="none"/>
          <w:lang w:eastAsia="zh-CN"/>
          <w14:textFill>
            <w14:solidFill>
              <w14:schemeClr w14:val="tx1"/>
            </w14:solidFill>
          </w14:textFill>
        </w:rPr>
      </w:pPr>
      <w:bookmarkStart w:id="488" w:name="_Toc120173235"/>
      <w:r>
        <w:rPr>
          <w:rFonts w:hint="default" w:ascii="Times New Roman" w:hAnsi="Times New Roman" w:cs="Times New Roman"/>
          <w:color w:val="000000" w:themeColor="text1"/>
          <w:highlight w:val="none"/>
          <w:lang w:eastAsia="zh-CN"/>
          <w14:textFill>
            <w14:solidFill>
              <w14:schemeClr w14:val="tx1"/>
            </w14:solidFill>
          </w14:textFill>
        </w:rPr>
        <w:t>工艺技术选择合理性分析</w:t>
      </w:r>
      <w:bookmarkEnd w:id="488"/>
    </w:p>
    <w:p>
      <w:pPr>
        <w:pStyle w:val="21"/>
        <w:pageBreakBefore w:val="0"/>
        <w:kinsoku/>
        <w:wordWrap/>
        <w:overflowPunct/>
        <w:topLinePunct w:val="0"/>
        <w:autoSpaceDE/>
        <w:autoSpaceDN/>
        <w:bidi w:val="0"/>
        <w:adjustRightInd w:val="0"/>
        <w:snapToGrid w:val="0"/>
        <w:spacing w:before="0"/>
        <w:ind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本项目以网电为动力，只有在停电等紧急情况下才启用柴油发电机供电，可减少柴油机废气排放。柴油发电机主要能源为柴油，项目设置多台柴油机进行组合，使柴油机运行功率最接近钻井所需要的动力功率，让柴油机运行时可处于高效运行状态，以减少柴油的使用量和减少废气排放。柴油机效率达到国内清洁生产先进水平。</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钻井液采用较清洁的水基钻井液为主，不含重金属，并且可根据不同地层性质和地下压力进行组份调整，能较好地满足钻井需要。符合清洁生产的要求。</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color w:val="000000" w:themeColor="text1"/>
          <w:kern w:val="2"/>
          <w:highlight w:val="none"/>
          <w:lang w:eastAsia="zh-CN"/>
          <w14:textFill>
            <w14:solidFill>
              <w14:schemeClr w14:val="tx1"/>
            </w14:solidFill>
          </w14:textFill>
        </w:rPr>
      </w:pPr>
      <w:bookmarkStart w:id="489" w:name="_Toc120173236"/>
      <w:r>
        <w:rPr>
          <w:rFonts w:hint="default" w:ascii="Times New Roman" w:hAnsi="Times New Roman" w:cs="Times New Roman"/>
          <w:color w:val="000000" w:themeColor="text1"/>
          <w:highlight w:val="none"/>
          <w:lang w:eastAsia="zh-CN"/>
          <w14:textFill>
            <w14:solidFill>
              <w14:schemeClr w14:val="tx1"/>
            </w14:solidFill>
          </w14:textFill>
        </w:rPr>
        <w:t>产品的清洁性分析</w:t>
      </w:r>
      <w:bookmarkEnd w:id="489"/>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项目产品为天然气，属清洁、优质、具有竞争力的能源和化工原料。天然气单位热量所产生的温室气体CO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只是煤炭的一半左右，比石油少三分之一，天然气与电力比较，在燃料费用上的节省是显著的，但投资费用较大；与焦炭、原煤比较，虽无价格优势，但环保性和产品质量优势明显；与汽油、液化气相比，其价格和环境性能也有明显优势，天然气替代工业用油和液化石油气，有直接的经济效益，容易被用户接受，同时技改的投资少，属清洁产品。</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90" w:name="_Toc120173237"/>
      <w:r>
        <w:rPr>
          <w:rFonts w:hint="default" w:ascii="Times New Roman" w:hAnsi="Times New Roman" w:cs="Times New Roman"/>
          <w:color w:val="000000" w:themeColor="text1"/>
          <w:highlight w:val="none"/>
          <w:lang w:eastAsia="zh-CN"/>
          <w14:textFill>
            <w14:solidFill>
              <w14:schemeClr w14:val="tx1"/>
            </w14:solidFill>
          </w14:textFill>
        </w:rPr>
        <w:t>清洁生产措施</w:t>
      </w:r>
      <w:bookmarkEnd w:id="490"/>
    </w:p>
    <w:p>
      <w:pPr>
        <w:pStyle w:val="21"/>
        <w:pageBreakBefore w:val="0"/>
        <w:kinsoku/>
        <w:wordWrap/>
        <w:overflowPunct/>
        <w:topLinePunct w:val="0"/>
        <w:autoSpaceDE/>
        <w:autoSpaceDN/>
        <w:bidi w:val="0"/>
        <w:adjustRightInd w:val="0"/>
        <w:snapToGrid w:val="0"/>
        <w:spacing w:before="0"/>
        <w:ind w:left="0" w:firstLine="482"/>
        <w:jc w:val="both"/>
        <w:textAlignment w:val="auto"/>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（1）废水处理措施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本项目钻井废水</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初期雨水、洗井废水</w:t>
      </w:r>
      <w:r>
        <w:rPr>
          <w:rFonts w:hint="default" w:ascii="Times New Roman" w:hAnsi="Times New Roman" w:cs="Times New Roman"/>
          <w:color w:val="000000" w:themeColor="text1"/>
          <w:highlight w:val="none"/>
          <w14:textFill>
            <w14:solidFill>
              <w14:schemeClr w14:val="tx1"/>
            </w14:solidFill>
          </w14:textFill>
        </w:rPr>
        <w:t>和压裂返排液</w:t>
      </w:r>
      <w:r>
        <w:rPr>
          <w:rFonts w:hint="default" w:ascii="Times New Roman" w:hAnsi="Times New Roman" w:cs="Times New Roman"/>
          <w:color w:val="000000" w:themeColor="text1"/>
          <w:highlight w:val="none"/>
          <w:lang w:val="en-US" w:eastAsia="zh-CN"/>
          <w14:textFill>
            <w14:solidFill>
              <w14:schemeClr w14:val="tx1"/>
            </w14:solidFill>
          </w14:textFill>
        </w:rPr>
        <w:t>等</w:t>
      </w:r>
      <w:r>
        <w:rPr>
          <w:rFonts w:hint="default" w:ascii="Times New Roman" w:hAnsi="Times New Roman" w:cs="Times New Roman"/>
          <w:color w:val="000000" w:themeColor="text1"/>
          <w:highlight w:val="none"/>
          <w14:textFill>
            <w14:solidFill>
              <w14:schemeClr w14:val="tx1"/>
            </w14:solidFill>
          </w14:textFill>
        </w:rPr>
        <w:t>通过在井场内或井场间回用实现最大程度回用，做到正常工况下无压裂液外排，若不能回用的压裂液全部密闭罐车拉运至赵家坝污水处理站达标后管输至普光11井回注站回注，不外排，对地表水和浅层地下水无影响。</w:t>
      </w:r>
    </w:p>
    <w:p>
      <w:pPr>
        <w:pStyle w:val="21"/>
        <w:pageBreakBefore w:val="0"/>
        <w:kinsoku/>
        <w:wordWrap/>
        <w:overflowPunct/>
        <w:topLinePunct w:val="0"/>
        <w:autoSpaceDE/>
        <w:autoSpaceDN/>
        <w:bidi w:val="0"/>
        <w:adjustRightInd w:val="0"/>
        <w:snapToGrid w:val="0"/>
        <w:spacing w:before="0"/>
        <w:ind w:left="0" w:firstLine="482"/>
        <w:jc w:val="both"/>
        <w:textAlignment w:val="auto"/>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（2）施工期生产生活污水</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井场钻井建设施工阶段生活污水</w:t>
      </w:r>
      <w:r>
        <w:rPr>
          <w:rFonts w:hint="default" w:ascii="Times New Roman" w:hAnsi="Times New Roman" w:cs="Times New Roman"/>
          <w:color w:val="000000" w:themeColor="text1"/>
          <w:highlight w:val="none"/>
          <w:lang w:eastAsia="zh-CN"/>
          <w14:textFill>
            <w14:solidFill>
              <w14:schemeClr w14:val="tx1"/>
            </w14:solidFill>
          </w14:textFill>
        </w:rPr>
        <w:t>经生态厕所收集后定期由密闭罐车拉运至周边生活污水处理厂处理</w:t>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1"/>
        <w:pageBreakBefore w:val="0"/>
        <w:kinsoku/>
        <w:wordWrap/>
        <w:overflowPunct/>
        <w:topLinePunct w:val="0"/>
        <w:autoSpaceDE/>
        <w:autoSpaceDN/>
        <w:bidi w:val="0"/>
        <w:adjustRightInd w:val="0"/>
        <w:snapToGrid w:val="0"/>
        <w:spacing w:before="0"/>
        <w:ind w:left="0" w:firstLine="482"/>
        <w:jc w:val="both"/>
        <w:textAlignment w:val="auto"/>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（3）废气处置措施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本项目正常工况下均采取带压采输气，无废气外排，</w:t>
      </w:r>
      <w:bookmarkStart w:id="491" w:name="_Hlk91002276"/>
      <w:r>
        <w:rPr>
          <w:rFonts w:hint="default" w:ascii="Times New Roman" w:hAnsi="Times New Roman" w:cs="Times New Roman"/>
          <w:color w:val="000000" w:themeColor="text1"/>
          <w:highlight w:val="none"/>
          <w14:textFill>
            <w14:solidFill>
              <w14:schemeClr w14:val="tx1"/>
            </w14:solidFill>
          </w14:textFill>
        </w:rPr>
        <w:t>紧急情况下的外排废气采用引至60m高的放空火炬点火燃烧方式燃烧后排放。</w:t>
      </w:r>
      <w:bookmarkEnd w:id="491"/>
    </w:p>
    <w:p>
      <w:pPr>
        <w:pStyle w:val="21"/>
        <w:pageBreakBefore w:val="0"/>
        <w:kinsoku/>
        <w:wordWrap/>
        <w:overflowPunct/>
        <w:topLinePunct w:val="0"/>
        <w:autoSpaceDE/>
        <w:autoSpaceDN/>
        <w:bidi w:val="0"/>
        <w:adjustRightInd w:val="0"/>
        <w:snapToGrid w:val="0"/>
        <w:spacing w:before="0"/>
        <w:ind w:left="0" w:firstLine="482"/>
        <w:jc w:val="both"/>
        <w:textAlignment w:val="auto"/>
        <w:rPr>
          <w:rFonts w:hint="default" w:ascii="Times New Roman" w:hAnsi="Times New Roman" w:cs="Times New Roman"/>
          <w:b/>
          <w:color w:val="000000" w:themeColor="text1"/>
          <w:kern w:val="2"/>
          <w:highlight w:val="none"/>
          <w:lang w:eastAsia="zh-CN"/>
          <w14:textFill>
            <w14:solidFill>
              <w14:schemeClr w14:val="tx1"/>
            </w14:solidFill>
          </w14:textFill>
        </w:rPr>
      </w:pPr>
      <w:r>
        <w:rPr>
          <w:rFonts w:hint="default" w:ascii="Times New Roman" w:hAnsi="Times New Roman" w:cs="Times New Roman"/>
          <w:b/>
          <w:color w:val="000000" w:themeColor="text1"/>
          <w:kern w:val="2"/>
          <w:highlight w:val="none"/>
          <w:lang w:eastAsia="zh-CN"/>
          <w14:textFill>
            <w14:solidFill>
              <w14:schemeClr w14:val="tx1"/>
            </w14:solidFill>
          </w14:textFill>
        </w:rPr>
        <w:t>（4）固体废物处理措施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钻井液采用水基泥浆，并采用钻井液闭环管理系统，对钻井泥浆进行循环使用，完井后产生的废泥浆和岩屑定期用密闭罐车就近交给依法取得生态环境部门关于利用和处置相关工业固体废物项目环评批复、具有处理处置相应固体废物能力并配套建设有废气、废水、固废等污染物治理设施的单位进行资源化利用；整个过程产生的少量废油优先综合利用后交给具有相应资质的单位处理，无固废外排。</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492" w:name="_Toc120173238"/>
      <w:r>
        <w:rPr>
          <w:rFonts w:hint="default" w:ascii="Times New Roman" w:hAnsi="Times New Roman" w:cs="Times New Roman"/>
          <w:color w:val="000000" w:themeColor="text1"/>
          <w:highlight w:val="none"/>
          <w:lang w:eastAsia="zh-CN"/>
          <w14:textFill>
            <w14:solidFill>
              <w14:schemeClr w14:val="tx1"/>
            </w14:solidFill>
          </w14:textFill>
        </w:rPr>
        <w:t>清洁生产结论</w:t>
      </w:r>
      <w:bookmarkEnd w:id="492"/>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贯彻了清洁生产原则，符合清洁生产的要求及国家目前有关节能减排要求。为保持良好的清洁生产水平，鉴于钻井工程属高风险行业，本评价建议主要是加强管理，减少生产中的跑、冒、滴、漏现象，同时按照钻井行业规范做好井控和防喷措施，做好现场的应急措施。加强人员培训，</w:t>
      </w:r>
      <w:r>
        <w:rPr>
          <w:rFonts w:hint="default" w:ascii="Times New Roman" w:hAnsi="Times New Roman" w:cs="Times New Roman"/>
          <w:color w:val="000000" w:themeColor="text1"/>
          <w:highlight w:val="none"/>
          <w:lang w:eastAsia="zh-CN"/>
          <w14:textFill>
            <w14:solidFill>
              <w14:schemeClr w14:val="tx1"/>
            </w14:solidFill>
          </w14:textFill>
        </w:rPr>
        <w:t>增强</w:t>
      </w:r>
      <w:r>
        <w:rPr>
          <w:rFonts w:hint="default" w:ascii="Times New Roman" w:hAnsi="Times New Roman" w:cs="Times New Roman"/>
          <w:color w:val="000000" w:themeColor="text1"/>
          <w:highlight w:val="none"/>
          <w14:textFill>
            <w14:solidFill>
              <w14:schemeClr w14:val="tx1"/>
            </w14:solidFill>
          </w14:textFill>
        </w:rPr>
        <w:t>职工清洁生产意识，尽可能的避免环境风险事故的发生，将本项目清洁生产维持在国内先进水平。</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93" w:name="_Toc29089"/>
      <w:r>
        <w:rPr>
          <w:rFonts w:hint="default" w:ascii="Times New Roman" w:hAnsi="Times New Roman" w:cs="Times New Roman"/>
          <w:color w:val="000000" w:themeColor="text1"/>
          <w:highlight w:val="none"/>
          <w:lang w:eastAsia="zh-CN"/>
          <w14:textFill>
            <w14:solidFill>
              <w14:schemeClr w14:val="tx1"/>
            </w14:solidFill>
          </w14:textFill>
        </w:rPr>
        <w:t>总量控制</w:t>
      </w:r>
      <w:bookmarkEnd w:id="493"/>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本项目为天然气开发勘探项目，根据《关于做好固定污染源排污许可清理整顿和2020年排污许可发证登记工作的通知》（环办环评函〔2019〕939号）和《固定污染源排污许可分类管理名录》（2019年版），本项目实行登记管理。中国石油化工股份有限公司中原油田普光分公司在达州地区各个集气站场均无总量控制指标要求，水套加热炉、放散系统按要求缴纳环保税，因此本评价建议本项目不核定大气总量指标。</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bookmarkStart w:id="494" w:name="第八章_环境管理与环境监测"/>
      <w:bookmarkEnd w:id="494"/>
      <w:bookmarkStart w:id="495" w:name="_bookmark38"/>
      <w:bookmarkEnd w:id="495"/>
      <w:r>
        <w:rPr>
          <w:rFonts w:hint="default" w:ascii="Times New Roman" w:hAnsi="Times New Roman" w:cs="Times New Roman"/>
          <w:bCs/>
          <w:color w:val="000000" w:themeColor="text1"/>
          <w:szCs w:val="24"/>
          <w:highlight w:val="none"/>
          <w:lang w:val="en-US" w:eastAsia="zh-CN"/>
          <w14:textFill>
            <w14:solidFill>
              <w14:schemeClr w14:val="tx1"/>
            </w14:solidFill>
          </w14:textFill>
        </w:rPr>
        <w:t>施工期</w:t>
      </w:r>
      <w:r>
        <w:rPr>
          <w:rFonts w:hint="default" w:ascii="Times New Roman" w:hAnsi="Times New Roman" w:cs="Times New Roman"/>
          <w:bCs/>
          <w:color w:val="000000" w:themeColor="text1"/>
          <w:szCs w:val="24"/>
          <w:highlight w:val="none"/>
          <w14:textFill>
            <w14:solidFill>
              <w14:schemeClr w14:val="tx1"/>
            </w14:solidFill>
          </w14:textFill>
        </w:rPr>
        <w:t>项目钻井废水、</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初期雨水、</w:t>
      </w:r>
      <w:r>
        <w:rPr>
          <w:rFonts w:hint="default" w:ascii="Times New Roman" w:hAnsi="Times New Roman" w:cs="Times New Roman"/>
          <w:bCs/>
          <w:color w:val="000000" w:themeColor="text1"/>
          <w:szCs w:val="24"/>
          <w:highlight w:val="none"/>
          <w14:textFill>
            <w14:solidFill>
              <w14:schemeClr w14:val="tx1"/>
            </w14:solidFill>
          </w14:textFill>
        </w:rPr>
        <w:t>洗井废水和压裂返排液</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等尽量回用，不能回用部分</w:t>
      </w:r>
      <w:r>
        <w:rPr>
          <w:rFonts w:hint="default" w:ascii="Times New Roman" w:hAnsi="Times New Roman" w:cs="Times New Roman"/>
          <w:bCs/>
          <w:color w:val="000000" w:themeColor="text1"/>
          <w:szCs w:val="24"/>
          <w:highlight w:val="none"/>
          <w14:textFill>
            <w14:solidFill>
              <w14:schemeClr w14:val="tx1"/>
            </w14:solidFill>
          </w14:textFill>
        </w:rPr>
        <w:t>通过</w:t>
      </w:r>
      <w:r>
        <w:rPr>
          <w:rFonts w:hint="default" w:ascii="Times New Roman" w:hAnsi="Times New Roman" w:cs="Times New Roman"/>
          <w:color w:val="000000" w:themeColor="text1"/>
          <w:szCs w:val="24"/>
          <w:highlight w:val="none"/>
          <w14:textFill>
            <w14:solidFill>
              <w14:schemeClr w14:val="tx1"/>
            </w14:solidFill>
          </w14:textFill>
        </w:rPr>
        <w:t>密闭罐车拉运至赵家坝污水处理站达标后管输至普光11井回注站回注，不外排</w:t>
      </w:r>
      <w:r>
        <w:rPr>
          <w:rFonts w:hint="default" w:ascii="Times New Roman" w:hAnsi="Times New Roman" w:cs="Times New Roman"/>
          <w:bCs/>
          <w:color w:val="000000" w:themeColor="text1"/>
          <w:szCs w:val="24"/>
          <w:highlight w:val="none"/>
          <w:lang w:eastAsia="zh-CN"/>
          <w14:textFill>
            <w14:solidFill>
              <w14:schemeClr w14:val="tx1"/>
            </w14:solidFill>
          </w14:textFill>
        </w:rPr>
        <w:t>；</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试采期</w:t>
      </w:r>
      <w:r>
        <w:rPr>
          <w:rFonts w:hint="default" w:ascii="Times New Roman" w:hAnsi="Times New Roman" w:cs="Times New Roman"/>
          <w:bCs/>
          <w:color w:val="000000" w:themeColor="text1"/>
          <w:szCs w:val="24"/>
          <w:highlight w:val="none"/>
          <w:lang w:eastAsia="zh-CN"/>
          <w14:textFill>
            <w14:solidFill>
              <w14:schemeClr w14:val="tx1"/>
            </w14:solidFill>
          </w14:textFill>
        </w:rPr>
        <w:t>气田水（含初期压裂返排液）</w:t>
      </w:r>
      <w:r>
        <w:rPr>
          <w:rFonts w:hint="default" w:ascii="Times New Roman" w:hAnsi="Times New Roman" w:cs="Times New Roman"/>
          <w:color w:val="000000" w:themeColor="text1"/>
          <w:szCs w:val="24"/>
          <w:highlight w:val="none"/>
          <w14:textFill>
            <w14:solidFill>
              <w14:schemeClr w14:val="tx1"/>
            </w14:solidFill>
          </w14:textFill>
        </w:rPr>
        <w:t>密闭罐车拉运至赵家坝污水处理站达标后管输至普光11井回注站回注，不外排</w:t>
      </w:r>
      <w:r>
        <w:rPr>
          <w:rFonts w:hint="default" w:ascii="Times New Roman" w:hAnsi="Times New Roman" w:cs="Times New Roman"/>
          <w:bCs/>
          <w:color w:val="000000" w:themeColor="text1"/>
          <w:szCs w:val="24"/>
          <w:highlight w:val="none"/>
          <w14:textFill>
            <w14:solidFill>
              <w14:schemeClr w14:val="tx1"/>
            </w14:solidFill>
          </w14:textFill>
        </w:rPr>
        <w:t>。本项目处理后回注的废水不计算总量，处理后外排的废水的总量纳入依托的废水处理设施总量指标。</w:t>
      </w:r>
    </w:p>
    <w:p>
      <w:pPr>
        <w:ind w:firstLine="480"/>
        <w:rPr>
          <w:rFonts w:hint="default" w:ascii="Times New Roman" w:hAnsi="Times New Roman" w:cs="Times New Roman"/>
          <w:color w:val="000000" w:themeColor="text1"/>
          <w:szCs w:val="24"/>
          <w:highlight w:val="none"/>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p>
    <w:p>
      <w:pPr>
        <w:pStyle w:val="2"/>
        <w:rPr>
          <w:rFonts w:hint="default" w:ascii="Times New Roman" w:hAnsi="Times New Roman" w:cs="Times New Roman"/>
          <w:b/>
          <w:color w:val="000000" w:themeColor="text1"/>
          <w:highlight w:val="none"/>
          <w:lang w:eastAsia="zh-CN"/>
          <w14:textFill>
            <w14:solidFill>
              <w14:schemeClr w14:val="tx1"/>
            </w14:solidFill>
          </w14:textFill>
        </w:rPr>
      </w:pPr>
      <w:bookmarkStart w:id="496" w:name="_Toc20"/>
      <w:r>
        <w:rPr>
          <w:rFonts w:hint="default" w:ascii="Times New Roman" w:hAnsi="Times New Roman" w:cs="Times New Roman"/>
          <w:color w:val="000000" w:themeColor="text1"/>
          <w:highlight w:val="none"/>
          <w:lang w:eastAsia="zh-CN"/>
          <w14:textFill>
            <w14:solidFill>
              <w14:schemeClr w14:val="tx1"/>
            </w14:solidFill>
          </w14:textFill>
        </w:rPr>
        <w:t>环境管理与环境监测</w:t>
      </w:r>
      <w:bookmarkEnd w:id="496"/>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497" w:name="_bookmark39"/>
      <w:bookmarkEnd w:id="497"/>
      <w:bookmarkStart w:id="498" w:name="8.1环境管理"/>
      <w:bookmarkEnd w:id="498"/>
      <w:bookmarkStart w:id="499" w:name="_Toc9879"/>
      <w:r>
        <w:rPr>
          <w:rFonts w:hint="default" w:ascii="Times New Roman" w:hAnsi="Times New Roman" w:cs="Times New Roman"/>
          <w:color w:val="000000" w:themeColor="text1"/>
          <w:highlight w:val="none"/>
          <w:lang w:eastAsia="zh-CN"/>
          <w14:textFill>
            <w14:solidFill>
              <w14:schemeClr w14:val="tx1"/>
            </w14:solidFill>
          </w14:textFill>
        </w:rPr>
        <w:t>环境管理</w:t>
      </w:r>
      <w:bookmarkEnd w:id="499"/>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500" w:name="8.1.1环境管理的目的和意义"/>
      <w:bookmarkEnd w:id="500"/>
      <w:bookmarkStart w:id="501" w:name="_Toc120173242"/>
      <w:r>
        <w:rPr>
          <w:rFonts w:hint="default" w:ascii="Times New Roman" w:hAnsi="Times New Roman" w:cs="Times New Roman"/>
          <w:color w:val="000000" w:themeColor="text1"/>
          <w:highlight w:val="none"/>
          <w:lang w:eastAsia="zh-CN"/>
          <w14:textFill>
            <w14:solidFill>
              <w14:schemeClr w14:val="tx1"/>
            </w14:solidFill>
          </w14:textFill>
        </w:rPr>
        <w:t>环境管理的目的和意义</w:t>
      </w:r>
      <w:bookmarkEnd w:id="501"/>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管理是协调经济、社会、环境有序发展的重要手段。环境管理就是以环境科学理论为基础，运用经济、法律、技术、行政、教育等手段去约束人类的社会经济活动，达到不超出环境容量的极限，又能满足人类日益增长的物质生活需要，并使经济发展与生态环境维持在相互可以接受的水平。实践证明，要解决好建设项目的环境问题，首先必须强化其环境管理。</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项目建成后应加强环境管理工作，按照国家的环保政策，建立环境管理制度，治理污染源，减少污染物的排放，最大限度</w:t>
      </w:r>
      <w:r>
        <w:rPr>
          <w:rFonts w:hint="eastAsia" w:ascii="Times New Roman" w:hAnsi="Times New Roman" w:cs="Times New Roman"/>
          <w:bCs/>
          <w:color w:val="000000" w:themeColor="text1"/>
          <w:kern w:val="2"/>
          <w:highlight w:val="none"/>
          <w:lang w:eastAsia="zh-CN"/>
          <w14:textFill>
            <w14:solidFill>
              <w14:schemeClr w14:val="tx1"/>
            </w14:solidFill>
          </w14:textFill>
        </w:rPr>
        <w:t>地</w:t>
      </w:r>
      <w:r>
        <w:rPr>
          <w:rFonts w:hint="default" w:ascii="Times New Roman" w:hAnsi="Times New Roman" w:cs="Times New Roman"/>
          <w:bCs/>
          <w:color w:val="000000" w:themeColor="text1"/>
          <w:kern w:val="2"/>
          <w:highlight w:val="none"/>
          <w:lang w:eastAsia="zh-CN"/>
          <w14:textFill>
            <w14:solidFill>
              <w14:schemeClr w14:val="tx1"/>
            </w14:solidFill>
          </w14:textFill>
        </w:rPr>
        <w:t>减少项目施工期和试采期对周围环境的不利影响，实现经济效益、社会效益和环境效益的统一。</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502" w:name="8.1.2环境管理机构及职责"/>
      <w:bookmarkEnd w:id="502"/>
      <w:bookmarkStart w:id="503" w:name="_Toc120173243"/>
      <w:r>
        <w:rPr>
          <w:rFonts w:hint="default" w:ascii="Times New Roman" w:hAnsi="Times New Roman" w:cs="Times New Roman"/>
          <w:color w:val="000000" w:themeColor="text1"/>
          <w:highlight w:val="none"/>
          <w:lang w:eastAsia="zh-CN"/>
          <w14:textFill>
            <w14:solidFill>
              <w14:schemeClr w14:val="tx1"/>
            </w14:solidFill>
          </w14:textFill>
        </w:rPr>
        <w:t>施工期环境管理</w:t>
      </w:r>
      <w:bookmarkEnd w:id="503"/>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bookmarkStart w:id="504" w:name="8.1.4运营期环境管理"/>
      <w:bookmarkEnd w:id="504"/>
      <w:r>
        <w:rPr>
          <w:rFonts w:hint="default" w:ascii="Times New Roman" w:hAnsi="Times New Roman" w:cs="Times New Roman"/>
          <w:b/>
          <w:bCs/>
          <w:color w:val="000000" w:themeColor="text1"/>
          <w:highlight w:val="none"/>
          <w14:textFill>
            <w14:solidFill>
              <w14:schemeClr w14:val="tx1"/>
            </w14:solidFill>
          </w14:textFill>
        </w:rPr>
        <w:t>1、建立有效的环保措施落实监督检查机制</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由于井场井站涉及钻前、钻井、压裂和试采运营四个阶段，建设单位应设专人负责监督不同施工单位在各自实施阶段过程中的环境保护工作，同时监督施工单位落实环境保护措施。在施工承包合同中，应该包括有关环境保护条款，如生态保护措施，水土保持措施，施工设备排放的废气、噪声控制措施和环境保护目标，环境监控措施，环保专项资金的落实等。</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在钻井施工阶段重点监督检查如下环保措施：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1）泥浆不落地处理环保措施的执行和运行情况，确保措施有效、可靠、可行；</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2）按照环保设计和环评文件要求，监督检查废水、固废严禁外排措施的执行情况；</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3）监督检查环境风险防范措施、应急预案、应急演练、地下水跟踪监测计划等制度措施制定和执行情况。</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w:t>
      </w:r>
      <w:r>
        <w:rPr>
          <w:rFonts w:hint="default" w:ascii="Times New Roman" w:hAnsi="Times New Roman" w:cs="Times New Roman"/>
          <w:color w:val="000000" w:themeColor="text1"/>
          <w:highlight w:val="none"/>
          <w:lang w:eastAsia="zh-CN"/>
          <w14:textFill>
            <w14:solidFill>
              <w14:schemeClr w14:val="tx1"/>
            </w14:solidFill>
          </w14:textFill>
        </w:rPr>
        <w:t>储层改造阶段</w:t>
      </w:r>
      <w:r>
        <w:rPr>
          <w:rFonts w:hint="default" w:ascii="Times New Roman" w:hAnsi="Times New Roman" w:cs="Times New Roman"/>
          <w:color w:val="000000" w:themeColor="text1"/>
          <w:highlight w:val="none"/>
          <w14:textFill>
            <w14:solidFill>
              <w14:schemeClr w14:val="tx1"/>
            </w14:solidFill>
          </w14:textFill>
        </w:rPr>
        <w:t>重点监督检查如下环保措施：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1）阶段取水，避免对当地水资源的占用影响当地河流水体生境；</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2）返排液收集、转运、处置措施执行情况；</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3）分区防渗措施可靠性情况，监督检查是否发生污染泄漏并及时整改。</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2、建立有效的环境管理机构</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方应设专人负责各作业单元HSE管理制度的贯彻执行，主要职责在于监督承包商履行承包合同，监督作业进程。制定作业环境保护规定。根据施工作业合同中有关环保要求和各作业特点，分别制定各项环保措施。如在施工过程中，要求在保证安全和顺利施工的情况下，减少对土地的征用及植被、作物的人为破坏，禁止猎杀野生动物；在车辆运输中，要事先确定路线，防止车辆油料及物料装运泄漏等。</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2、建立完善的环保工作计划</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1）在施工前制定环境保护规划</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收集施工地区现有的自然生态环境、社会环境状况以及当地政府有关环境保护的法规等，作为制定规划的依据。重点考虑生态、野生动物、植物等。</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2）进行环境保护培训</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在施工前需对全体员工进行环境保护知识和环保意识培训，并结合施工计划提出具体的环保措施。</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3）紧急情况处理计划</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计划中要考虑施工中可能出现的紧急情况，并明确处理紧急情况的协调及提交相关的恢复措施报告。</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4）施工结束后的恢复计划</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施工前必须制定恢复计划，主要包括：收集所有的施工材料废弃物和生活废弃物、填实污水坑并用土压实，尽量恢复工区内的自然排水通道，营地</w:t>
      </w:r>
      <w:r>
        <w:rPr>
          <w:rFonts w:hint="default" w:ascii="Times New Roman" w:hAnsi="Times New Roman" w:cs="Times New Roman"/>
          <w:color w:val="000000" w:themeColor="text1"/>
          <w:highlight w:val="none"/>
          <w:lang w:eastAsia="zh-CN"/>
          <w14:textFill>
            <w14:solidFill>
              <w14:schemeClr w14:val="tx1"/>
            </w14:solidFill>
          </w14:textFill>
        </w:rPr>
        <w:t>拆除</w:t>
      </w:r>
      <w:r>
        <w:rPr>
          <w:rFonts w:hint="default" w:ascii="Times New Roman" w:hAnsi="Times New Roman" w:cs="Times New Roman"/>
          <w:color w:val="000000" w:themeColor="text1"/>
          <w:highlight w:val="none"/>
          <w14:textFill>
            <w14:solidFill>
              <w14:schemeClr w14:val="tx1"/>
            </w14:solidFill>
          </w14:textFill>
        </w:rPr>
        <w:t>后不留废弃物品，并对现场作业环境和营地环境恢复情况进行回访等。</w:t>
      </w:r>
    </w:p>
    <w:p>
      <w:pPr>
        <w:pStyle w:val="4"/>
        <w:pageBreakBefore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505" w:name="_Toc120173244"/>
      <w:r>
        <w:rPr>
          <w:rFonts w:hint="default" w:ascii="Times New Roman" w:hAnsi="Times New Roman" w:cs="Times New Roman"/>
          <w:color w:val="000000" w:themeColor="text1"/>
          <w:highlight w:val="none"/>
          <w:lang w:eastAsia="zh-CN"/>
          <w14:textFill>
            <w14:solidFill>
              <w14:schemeClr w14:val="tx1"/>
            </w14:solidFill>
          </w14:textFill>
        </w:rPr>
        <w:t>试采期环境管理</w:t>
      </w:r>
      <w:bookmarkEnd w:id="505"/>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1、加强环保设备的管理</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建立环保</w:t>
      </w:r>
      <w:r>
        <w:rPr>
          <w:rFonts w:hint="default" w:ascii="Times New Roman" w:hAnsi="Times New Roman" w:cs="Times New Roman"/>
          <w:color w:val="000000" w:themeColor="text1"/>
          <w:highlight w:val="none"/>
          <w:lang w:eastAsia="zh-CN"/>
          <w14:textFill>
            <w14:solidFill>
              <w14:schemeClr w14:val="tx1"/>
            </w14:solidFill>
          </w14:textFill>
        </w:rPr>
        <w:t>设备台账</w:t>
      </w:r>
      <w:r>
        <w:rPr>
          <w:rFonts w:hint="default" w:ascii="Times New Roman" w:hAnsi="Times New Roman" w:cs="Times New Roman"/>
          <w:color w:val="000000" w:themeColor="text1"/>
          <w:highlight w:val="none"/>
          <w14:textFill>
            <w14:solidFill>
              <w14:schemeClr w14:val="tx1"/>
            </w14:solidFill>
          </w14:textFill>
        </w:rPr>
        <w:t>，制定主要环保设备的操作规程及安排专门操作人员，建立重点处理设备的“环保运行记录”等。</w:t>
      </w:r>
    </w:p>
    <w:p>
      <w:pPr>
        <w:pageBreakBefore w:val="0"/>
        <w:kinsoku/>
        <w:wordWrap/>
        <w:overflowPunct/>
        <w:topLinePunct w:val="0"/>
        <w:autoSpaceDE/>
        <w:autoSpaceDN/>
        <w:bidi w:val="0"/>
        <w:adjustRightInd w:val="0"/>
        <w:snapToGrid w:val="0"/>
        <w:ind w:firstLine="482"/>
        <w:textAlignment w:val="auto"/>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2、落实管理制度</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除加强环保设备的基础管理外，尚需狠抓制度的落实，制定环保经济责任制考核制度，以提高各部门对环境保护的责任感。</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项目试采期，环境管理除做好监督与检查站场各项环保设施的运行和维护等工作外，工作重点应针对工艺装置或管线破裂后天然气泄漏着火爆炸、着火爆炸等重大事故的预防和处理上。重大环境污染事故不同于一般的环境污染，它没有固定的排放方式和排放途径，具有发生突然、危害严重、污染影响长远且难于完全消除等特点。为此，必须制定相应的事故预防措施、事故应急措施以及恢复补偿措施等。</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06" w:name="_Toc19686"/>
      <w:r>
        <w:rPr>
          <w:rFonts w:hint="default" w:ascii="Times New Roman" w:hAnsi="Times New Roman" w:cs="Times New Roman"/>
          <w:color w:val="000000" w:themeColor="text1"/>
          <w:highlight w:val="none"/>
          <w:lang w:eastAsia="zh-CN"/>
          <w14:textFill>
            <w14:solidFill>
              <w14:schemeClr w14:val="tx1"/>
            </w14:solidFill>
          </w14:textFill>
        </w:rPr>
        <w:t>污染物排放清单</w:t>
      </w:r>
      <w:bookmarkEnd w:id="506"/>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根据《建设项目环境影</w:t>
      </w:r>
      <w:r>
        <w:rPr>
          <w:rFonts w:hint="default" w:ascii="Times New Roman" w:hAnsi="Times New Roman" w:cs="Times New Roman"/>
          <w:color w:val="000000" w:themeColor="text1"/>
          <w:highlight w:val="none"/>
          <w:lang w:eastAsia="zh-CN"/>
          <w14:textFill>
            <w14:solidFill>
              <w14:schemeClr w14:val="tx1"/>
            </w14:solidFill>
          </w14:textFill>
        </w:rPr>
        <w:t>响评价技术导则 总纲》（HJ2.1-2016）相关要求，建设项目应给出污染物排放清单，明确污染物排放的管理要求。包括工程组成及原辅材料组分要求，建设项</w:t>
      </w:r>
      <w:r>
        <w:rPr>
          <w:rFonts w:hint="default" w:ascii="Times New Roman" w:hAnsi="Times New Roman" w:cs="Times New Roman"/>
          <w:bCs/>
          <w:color w:val="000000" w:themeColor="text1"/>
          <w:kern w:val="2"/>
          <w:highlight w:val="none"/>
          <w:lang w:eastAsia="zh-CN"/>
          <w14:textFill>
            <w14:solidFill>
              <w14:schemeClr w14:val="tx1"/>
            </w14:solidFill>
          </w14:textFill>
        </w:rPr>
        <w:t>目拟采取的环境保护措施及主要运行参数，排放的污染物种类、放浓度和总量指标，污染物排放的分时段要求，排污口信息，执行的环境标准，环境风险防范措施以及环境监测等。提出应向社会公开的信息内容。本项目污染物排放具体见</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begin"/>
      </w:r>
      <w:r>
        <w:rPr>
          <w:rFonts w:hint="default" w:ascii="Times New Roman" w:hAnsi="Times New Roman" w:cs="Times New Roman"/>
          <w:bCs/>
          <w:color w:val="000000" w:themeColor="text1"/>
          <w:kern w:val="2"/>
          <w:highlight w:val="none"/>
          <w:lang w:eastAsia="zh-CN"/>
          <w14:textFill>
            <w14:solidFill>
              <w14:schemeClr w14:val="tx1"/>
            </w14:solidFill>
          </w14:textFill>
        </w:rPr>
        <w:instrText xml:space="preserve"> REF _Ref142859786 \h  \* MERGEFORMAT </w:instrTex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separate"/>
      </w:r>
      <w:r>
        <w:rPr>
          <w:rFonts w:hint="default" w:ascii="Times New Roman" w:hAnsi="Times New Roman" w:cs="Times New Roman"/>
          <w:bCs/>
          <w:color w:val="000000" w:themeColor="text1"/>
          <w:kern w:val="2"/>
          <w:highlight w:val="none"/>
          <w:lang w:eastAsia="zh-CN"/>
          <w14:textFill>
            <w14:solidFill>
              <w14:schemeClr w14:val="tx1"/>
            </w14:solidFill>
          </w14:textFill>
        </w:rPr>
        <w:t>表10.2</w:t>
      </w:r>
      <w:r>
        <w:rPr>
          <w:rFonts w:hint="default" w:ascii="Times New Roman" w:hAnsi="Times New Roman" w:cs="Times New Roman"/>
          <w:bCs/>
          <w:color w:val="000000" w:themeColor="text1"/>
          <w:kern w:val="2"/>
          <w:highlight w:val="none"/>
          <w:lang w:eastAsia="zh-CN"/>
          <w14:textFill>
            <w14:solidFill>
              <w14:schemeClr w14:val="tx1"/>
            </w14:solidFill>
          </w14:textFill>
        </w:rPr>
        <w:noBreakHyphen/>
      </w:r>
      <w:r>
        <w:rPr>
          <w:rFonts w:hint="default" w:ascii="Times New Roman" w:hAnsi="Times New Roman" w:cs="Times New Roman"/>
          <w:bCs/>
          <w:color w:val="000000" w:themeColor="text1"/>
          <w:kern w:val="2"/>
          <w:highlight w:val="none"/>
          <w:lang w:eastAsia="zh-CN"/>
          <w14:textFill>
            <w14:solidFill>
              <w14:schemeClr w14:val="tx1"/>
            </w14:solidFill>
          </w14:textFill>
        </w:rPr>
        <w:t>1</w:t>
      </w:r>
      <w:r>
        <w:rPr>
          <w:rFonts w:hint="default" w:ascii="Times New Roman" w:hAnsi="Times New Roman" w:cs="Times New Roman"/>
          <w:bCs/>
          <w:color w:val="000000" w:themeColor="text1"/>
          <w:kern w:val="2"/>
          <w:highlight w:val="none"/>
          <w:lang w:eastAsia="zh-CN"/>
          <w14:textFill>
            <w14:solidFill>
              <w14:schemeClr w14:val="tx1"/>
            </w14:solidFill>
          </w14:textFill>
        </w:rPr>
        <w:fldChar w:fldCharType="end"/>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21"/>
        <w:spacing w:before="0"/>
        <w:ind w:left="0" w:firstLine="480"/>
        <w:jc w:val="both"/>
        <w:rPr>
          <w:rFonts w:hint="default" w:ascii="Times New Roman" w:hAnsi="Times New Roman" w:cs="Times New Roman"/>
          <w:bCs/>
          <w:color w:val="000000" w:themeColor="text1"/>
          <w:kern w:val="2"/>
          <w:highlight w:val="none"/>
          <w:lang w:eastAsia="zh-CN"/>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507" w:name="_Ref142859786"/>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10.2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507"/>
      <w:r>
        <w:rPr>
          <w:rFonts w:hint="default" w:ascii="Times New Roman" w:hAnsi="Times New Roman" w:cs="Times New Roman"/>
          <w:color w:val="000000" w:themeColor="text1"/>
          <w:highlight w:val="none"/>
          <w14:textFill>
            <w14:solidFill>
              <w14:schemeClr w14:val="tx1"/>
            </w14:solidFill>
          </w14:textFill>
        </w:rPr>
        <w:t xml:space="preserve"> 本项目污染物排放清单一览表</w:t>
      </w:r>
    </w:p>
    <w:tbl>
      <w:tblPr>
        <w:tblStyle w:val="52"/>
        <w:tblW w:w="133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2"/>
        <w:gridCol w:w="1418"/>
        <w:gridCol w:w="1276"/>
        <w:gridCol w:w="881"/>
        <w:gridCol w:w="801"/>
        <w:gridCol w:w="869"/>
        <w:gridCol w:w="3686"/>
        <w:gridCol w:w="992"/>
        <w:gridCol w:w="2122"/>
        <w:gridCol w:w="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56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w:t>
            </w:r>
            <w:r>
              <w:rPr>
                <w:rFonts w:hint="default" w:ascii="Times New Roman" w:hAnsi="Times New Roman" w:cs="Times New Roman"/>
                <w:b/>
                <w:bCs/>
                <w:color w:val="000000" w:themeColor="text1"/>
                <w:w w:val="99"/>
                <w:highlight w:val="none"/>
                <w14:textFill>
                  <w14:solidFill>
                    <w14:schemeClr w14:val="tx1"/>
                  </w14:solidFill>
                </w14:textFill>
              </w:rPr>
              <w:t>物</w:t>
            </w:r>
          </w:p>
        </w:tc>
        <w:tc>
          <w:tcPr>
            <w:tcW w:w="2694" w:type="dxa"/>
            <w:gridSpan w:val="2"/>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污染物种类</w:t>
            </w:r>
          </w:p>
        </w:tc>
        <w:tc>
          <w:tcPr>
            <w:tcW w:w="88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排放浓度mg/m</w:t>
            </w:r>
            <w:r>
              <w:rPr>
                <w:rFonts w:hint="default" w:ascii="Times New Roman" w:hAnsi="Times New Roman" w:cs="Times New Roman"/>
                <w:b/>
                <w:bCs/>
                <w:color w:val="000000" w:themeColor="text1"/>
                <w:highlight w:val="none"/>
                <w:vertAlign w:val="superscript"/>
                <w14:textFill>
                  <w14:solidFill>
                    <w14:schemeClr w14:val="tx1"/>
                  </w14:solidFill>
                </w14:textFill>
              </w:rPr>
              <w:t>3</w:t>
            </w:r>
          </w:p>
        </w:tc>
        <w:tc>
          <w:tcPr>
            <w:tcW w:w="801"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排放速率kg/h</w:t>
            </w:r>
          </w:p>
        </w:tc>
        <w:tc>
          <w:tcPr>
            <w:tcW w:w="869"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排放量t/a</w:t>
            </w:r>
          </w:p>
        </w:tc>
        <w:tc>
          <w:tcPr>
            <w:tcW w:w="3686"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环保措施</w:t>
            </w:r>
          </w:p>
        </w:tc>
        <w:tc>
          <w:tcPr>
            <w:tcW w:w="99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运行参数</w:t>
            </w:r>
          </w:p>
        </w:tc>
        <w:tc>
          <w:tcPr>
            <w:tcW w:w="2122"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spacing w:val="-4"/>
                <w:highlight w:val="none"/>
                <w14:textFill>
                  <w14:solidFill>
                    <w14:schemeClr w14:val="tx1"/>
                  </w14:solidFill>
                </w14:textFill>
              </w:rPr>
              <w:t>处理效果、执行标准或拟达</w:t>
            </w:r>
            <w:r>
              <w:rPr>
                <w:rFonts w:hint="default" w:ascii="Times New Roman" w:hAnsi="Times New Roman" w:cs="Times New Roman"/>
                <w:b/>
                <w:bCs/>
                <w:color w:val="000000" w:themeColor="text1"/>
                <w:highlight w:val="none"/>
                <w14:textFill>
                  <w14:solidFill>
                    <w14:schemeClr w14:val="tx1"/>
                  </w14:solidFill>
                </w14:textFill>
              </w:rPr>
              <w:t>要求</w:t>
            </w:r>
          </w:p>
        </w:tc>
        <w:tc>
          <w:tcPr>
            <w:tcW w:w="718" w:type="dxa"/>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总量控制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施工扬尘</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position w:val="2"/>
                <w:highlight w:val="none"/>
                <w14:textFill>
                  <w14:solidFill>
                    <w14:schemeClr w14:val="tx1"/>
                  </w14:solidFill>
                </w14:textFill>
              </w:rPr>
              <w:t>TSP</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368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定期洒水抑尘</w:t>
            </w:r>
          </w:p>
        </w:tc>
        <w:tc>
          <w:tcPr>
            <w:tcW w:w="99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施工期，白天</w:t>
            </w:r>
          </w:p>
        </w:tc>
        <w:tc>
          <w:tcPr>
            <w:tcW w:w="212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对周围环境影响很小</w:t>
            </w:r>
          </w:p>
        </w:tc>
        <w:tc>
          <w:tcPr>
            <w:tcW w:w="7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施工机械和运输车辆尾气、压裂作业废气</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CO、NOx等</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3686" w:type="dxa"/>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选用尾气排放达标机械车辆，加强保养维护</w:t>
            </w:r>
          </w:p>
        </w:tc>
        <w:tc>
          <w:tcPr>
            <w:tcW w:w="992"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施工期，白天</w:t>
            </w:r>
          </w:p>
        </w:tc>
        <w:tc>
          <w:tcPr>
            <w:tcW w:w="2122" w:type="dxa"/>
            <w:tcBorders>
              <w:top w:val="single" w:color="auto" w:sz="4" w:space="0"/>
              <w:left w:val="single" w:color="auto" w:sz="4" w:space="0"/>
              <w:bottom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对周围环境影响很小</w:t>
            </w:r>
          </w:p>
        </w:tc>
        <w:tc>
          <w:tcPr>
            <w:tcW w:w="718" w:type="dxa"/>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无组织挥发性废气</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无组织挥发性有机物</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3686" w:type="dxa"/>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992" w:type="dxa"/>
            <w:tcBorders>
              <w:top w:val="single" w:color="auto" w:sz="4" w:space="0"/>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钻井期</w:t>
            </w:r>
          </w:p>
        </w:tc>
        <w:tc>
          <w:tcPr>
            <w:tcW w:w="2122" w:type="dxa"/>
            <w:tcBorders>
              <w:top w:val="single" w:color="auto" w:sz="4" w:space="0"/>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满足《陆上石油天然气开采工业大气污染物排放标准》（GB39728—2020）要求</w:t>
            </w:r>
          </w:p>
        </w:tc>
        <w:tc>
          <w:tcPr>
            <w:tcW w:w="718" w:type="dxa"/>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备用柴油发电机尾气</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NOx</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2.34</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3686" w:type="dxa"/>
            <w:vMerge w:val="restart"/>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自带消烟除尘装置处理后经6m高排气筒排放</w:t>
            </w:r>
          </w:p>
        </w:tc>
        <w:tc>
          <w:tcPr>
            <w:tcW w:w="992" w:type="dxa"/>
            <w:vMerge w:val="restart"/>
            <w:tcBorders>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偶尔</w:t>
            </w:r>
          </w:p>
        </w:tc>
        <w:tc>
          <w:tcPr>
            <w:tcW w:w="2122" w:type="dxa"/>
            <w:vMerge w:val="restart"/>
            <w:tcBorders>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对周围环境影响很小</w:t>
            </w:r>
          </w:p>
        </w:tc>
        <w:tc>
          <w:tcPr>
            <w:tcW w:w="718" w:type="dxa"/>
            <w:vMerge w:val="restart"/>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SO</w:t>
            </w:r>
            <w:r>
              <w:rPr>
                <w:rFonts w:hint="default" w:ascii="Times New Roman" w:hAnsi="Times New Roman" w:cs="Times New Roman"/>
                <w:color w:val="000000" w:themeColor="text1"/>
                <w:highlight w:val="none"/>
                <w:vertAlign w:val="subscript"/>
                <w14:textFill>
                  <w14:solidFill>
                    <w14:schemeClr w14:val="tx1"/>
                  </w14:solidFill>
                </w14:textFill>
              </w:rPr>
              <w:t>2</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0.016</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3686" w:type="dxa"/>
            <w:vMerge w:val="continue"/>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tcBorders>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122" w:type="dxa"/>
            <w:vMerge w:val="continue"/>
            <w:tcBorders>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8" w:type="dxa"/>
            <w:vMerge w:val="continue"/>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TSP</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41</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0.66</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3686" w:type="dxa"/>
            <w:vMerge w:val="continue"/>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tcBorders>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122" w:type="dxa"/>
            <w:vMerge w:val="continue"/>
            <w:tcBorders>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8" w:type="dxa"/>
            <w:vMerge w:val="continue"/>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r>
              <w:rPr>
                <w:rFonts w:hint="default" w:ascii="Times New Roman" w:hAnsi="Times New Roman" w:cs="Times New Roman"/>
                <w:color w:val="000000" w:themeColor="text1"/>
                <w:szCs w:val="21"/>
                <w:highlight w:val="none"/>
                <w14:textFill>
                  <w14:solidFill>
                    <w14:schemeClr w14:val="tx1"/>
                  </w14:solidFill>
                </w14:textFill>
              </w:rPr>
              <w:t>设备检修或系统超压时排放少量天然气（1-2次/年）</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烃类气体</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686" w:type="dxa"/>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无组织排放</w:t>
            </w:r>
          </w:p>
        </w:tc>
        <w:tc>
          <w:tcPr>
            <w:tcW w:w="992" w:type="dxa"/>
            <w:tcBorders>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全年</w:t>
            </w:r>
          </w:p>
        </w:tc>
        <w:tc>
          <w:tcPr>
            <w:tcW w:w="2122" w:type="dxa"/>
            <w:tcBorders>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《陆上石油天然气开采工业大气污染物排放标准》（GB 39728-2020）排放限值</w:t>
            </w:r>
          </w:p>
        </w:tc>
        <w:tc>
          <w:tcPr>
            <w:tcW w:w="718" w:type="dxa"/>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设备检修或系统超压时排放少量天然气</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SO</w:t>
            </w:r>
            <w:r>
              <w:rPr>
                <w:rFonts w:hint="default" w:ascii="Times New Roman" w:hAnsi="Times New Roman" w:cs="Times New Roman"/>
                <w:color w:val="000000" w:themeColor="text1"/>
                <w:highlight w:val="none"/>
                <w:vertAlign w:val="subscript"/>
                <w14:textFill>
                  <w14:solidFill>
                    <w14:schemeClr w14:val="tx1"/>
                  </w14:solidFill>
                </w14:textFill>
              </w:rPr>
              <w:t>2</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3686" w:type="dxa"/>
            <w:tcBorders>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依托P106集气站60m高放空火炬燃烧后排放</w:t>
            </w:r>
          </w:p>
        </w:tc>
        <w:tc>
          <w:tcPr>
            <w:tcW w:w="992" w:type="dxa"/>
            <w:tcBorders>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偶尔</w:t>
            </w:r>
          </w:p>
        </w:tc>
        <w:tc>
          <w:tcPr>
            <w:tcW w:w="2122" w:type="dxa"/>
            <w:tcBorders>
              <w:left w:val="single" w:color="auto" w:sz="4" w:space="0"/>
              <w:righ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对周围环境影响较小</w:t>
            </w:r>
          </w:p>
        </w:tc>
        <w:tc>
          <w:tcPr>
            <w:tcW w:w="718" w:type="dxa"/>
            <w:tcBorders>
              <w:left w:val="single" w:color="auto" w:sz="4" w:space="0"/>
            </w:tcBorders>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水污染物</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钻井废水</w:t>
            </w:r>
          </w:p>
        </w:tc>
        <w:tc>
          <w:tcPr>
            <w:tcW w:w="1276"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石油类、悬浮物、COD及氯化物等</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351.32m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86"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约90%回用于区块内压裂液配置，剩余的转运预处理后回注</w:t>
            </w:r>
          </w:p>
        </w:tc>
        <w:tc>
          <w:tcPr>
            <w:tcW w:w="99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钻井期定期转运</w:t>
            </w:r>
          </w:p>
        </w:tc>
        <w:tc>
          <w:tcPr>
            <w:tcW w:w="2122" w:type="dxa"/>
            <w:vMerge w:val="restart"/>
            <w:vAlign w:val="center"/>
          </w:tcPr>
          <w:p>
            <w:pPr>
              <w:pStyle w:val="295"/>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污水全部回用或回注</w:t>
            </w:r>
            <w:r>
              <w:rPr>
                <w:rFonts w:hint="eastAsia" w:cs="Times New Roman"/>
                <w:color w:val="000000" w:themeColor="text1"/>
                <w:highlight w:val="none"/>
                <w:lang w:val="en-US" w:eastAsia="zh-CN"/>
                <w14:textFill>
                  <w14:solidFill>
                    <w14:schemeClr w14:val="tx1"/>
                  </w14:solidFill>
                </w14:textFill>
              </w:rPr>
              <w:t>处理</w:t>
            </w:r>
          </w:p>
        </w:tc>
        <w:tc>
          <w:tcPr>
            <w:tcW w:w="7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洗井废水</w:t>
            </w:r>
          </w:p>
        </w:tc>
        <w:tc>
          <w:tcPr>
            <w:tcW w:w="1276"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100m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86"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w w:val="99"/>
                <w:highlight w:val="none"/>
                <w14:textFill>
                  <w14:solidFill>
                    <w14:schemeClr w14:val="tx1"/>
                  </w14:solidFill>
                </w14:textFill>
              </w:rPr>
            </w:pPr>
          </w:p>
        </w:tc>
        <w:tc>
          <w:tcPr>
            <w:tcW w:w="212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压裂返排液</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石油类、悬浮物、COD等</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588m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86"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992" w:type="dxa"/>
            <w:vMerge w:val="continue"/>
            <w:vAlign w:val="center"/>
          </w:tcPr>
          <w:p>
            <w:pPr>
              <w:pStyle w:val="295"/>
              <w:rPr>
                <w:rFonts w:hint="default" w:ascii="Times New Roman" w:hAnsi="Times New Roman" w:cs="Times New Roman"/>
                <w:color w:val="000000" w:themeColor="text1"/>
                <w:w w:val="99"/>
                <w:highlight w:val="none"/>
                <w14:textFill>
                  <w14:solidFill>
                    <w14:schemeClr w14:val="tx1"/>
                  </w14:solidFill>
                </w14:textFill>
              </w:rPr>
            </w:pPr>
          </w:p>
        </w:tc>
        <w:tc>
          <w:tcPr>
            <w:tcW w:w="212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钻井生活污水</w:t>
            </w:r>
          </w:p>
        </w:tc>
        <w:tc>
          <w:tcPr>
            <w:tcW w:w="1276"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COD</w:t>
            </w:r>
            <w:r>
              <w:rPr>
                <w:rFonts w:hint="default" w:ascii="Times New Roman" w:hAnsi="Times New Roman" w:cs="Times New Roman"/>
                <w:color w:val="000000" w:themeColor="text1"/>
                <w:highlight w:val="none"/>
                <w:vertAlign w:val="subscript"/>
                <w14:textFill>
                  <w14:solidFill>
                    <w14:schemeClr w14:val="tx1"/>
                  </w14:solidFill>
                </w14:textFill>
              </w:rPr>
              <w:t>Cr</w:t>
            </w:r>
            <w:r>
              <w:rPr>
                <w:rFonts w:hint="default" w:ascii="Times New Roman" w:hAnsi="Times New Roman" w:cs="Times New Roman"/>
                <w:color w:val="000000" w:themeColor="text1"/>
                <w:highlight w:val="none"/>
                <w14:textFill>
                  <w14:solidFill>
                    <w14:schemeClr w14:val="tx1"/>
                  </w14:solidFill>
                </w14:textFill>
              </w:rPr>
              <w:t>、BOD</w:t>
            </w:r>
            <w:r>
              <w:rPr>
                <w:rFonts w:hint="default" w:ascii="Times New Roman" w:hAnsi="Times New Roman" w:cs="Times New Roman"/>
                <w:color w:val="000000" w:themeColor="text1"/>
                <w:highlight w:val="none"/>
                <w:vertAlign w:val="subscript"/>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t>、SS等</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2.88m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生活污水经生态厕所收集后定期由密闭罐车拉运至周边生活污水处理厂处理</w:t>
            </w:r>
          </w:p>
        </w:tc>
        <w:tc>
          <w:tcPr>
            <w:tcW w:w="992" w:type="dxa"/>
            <w:vMerge w:val="continue"/>
            <w:vAlign w:val="center"/>
          </w:tcPr>
          <w:p>
            <w:pPr>
              <w:pStyle w:val="295"/>
              <w:rPr>
                <w:rFonts w:hint="default" w:ascii="Times New Roman" w:hAnsi="Times New Roman" w:cs="Times New Roman"/>
                <w:color w:val="000000" w:themeColor="text1"/>
                <w:w w:val="99"/>
                <w:highlight w:val="none"/>
                <w14:textFill>
                  <w14:solidFill>
                    <w14:schemeClr w14:val="tx1"/>
                  </w14:solidFill>
                </w14:textFill>
              </w:rPr>
            </w:pPr>
          </w:p>
        </w:tc>
        <w:tc>
          <w:tcPr>
            <w:tcW w:w="212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有效收集处理，无乱排</w:t>
            </w:r>
          </w:p>
        </w:tc>
        <w:tc>
          <w:tcPr>
            <w:tcW w:w="7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钻前生活污水</w:t>
            </w:r>
          </w:p>
        </w:tc>
        <w:tc>
          <w:tcPr>
            <w:tcW w:w="1276"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少量</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利用农户已有的设施进行收集处置</w:t>
            </w:r>
          </w:p>
        </w:tc>
        <w:tc>
          <w:tcPr>
            <w:tcW w:w="992" w:type="dxa"/>
            <w:vMerge w:val="continue"/>
            <w:vAlign w:val="center"/>
          </w:tcPr>
          <w:p>
            <w:pPr>
              <w:pStyle w:val="295"/>
              <w:rPr>
                <w:rFonts w:hint="default" w:ascii="Times New Roman" w:hAnsi="Times New Roman" w:cs="Times New Roman"/>
                <w:color w:val="000000" w:themeColor="text1"/>
                <w:w w:val="99"/>
                <w:highlight w:val="none"/>
                <w14:textFill>
                  <w14:solidFill>
                    <w14:schemeClr w14:val="tx1"/>
                  </w14:solidFill>
                </w14:textFill>
              </w:rPr>
            </w:pPr>
          </w:p>
        </w:tc>
        <w:tc>
          <w:tcPr>
            <w:tcW w:w="212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钻前施工废水</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SS和石油类</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69"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少量</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经隔油池沉淀处理后回用于洒水降尘</w:t>
            </w:r>
          </w:p>
        </w:tc>
        <w:tc>
          <w:tcPr>
            <w:tcW w:w="99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w:t>
            </w:r>
          </w:p>
        </w:tc>
        <w:tc>
          <w:tcPr>
            <w:tcW w:w="212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7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气田水（含初期压裂返排液）</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石油类、悬浮物、COD及氯化物等</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0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869" w:type="dxa"/>
            <w:vAlign w:val="center"/>
          </w:tcPr>
          <w:p>
            <w:pPr>
              <w:pStyle w:val="295"/>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/d</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初期约200m</w:t>
            </w:r>
            <w:r>
              <w:rPr>
                <w:rFonts w:hint="default" w:ascii="Times New Roman" w:hAnsi="Times New Roman" w:cs="Times New Roman"/>
                <w:color w:val="000000" w:themeColor="text1"/>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highlight w:val="none"/>
                <w:lang w:val="en-US" w:eastAsia="zh-CN"/>
                <w14:textFill>
                  <w14:solidFill>
                    <w14:schemeClr w14:val="tx1"/>
                  </w14:solidFill>
                </w14:textFill>
              </w:rPr>
              <w:t>/d）</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密闭罐车拉运至赵家坝污水处理站达标后管输至普光11井回注站回注，不外排</w:t>
            </w:r>
          </w:p>
        </w:tc>
        <w:tc>
          <w:tcPr>
            <w:tcW w:w="99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试采期定期转运</w:t>
            </w:r>
          </w:p>
        </w:tc>
        <w:tc>
          <w:tcPr>
            <w:tcW w:w="212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污水全部回注</w:t>
            </w:r>
          </w:p>
        </w:tc>
        <w:tc>
          <w:tcPr>
            <w:tcW w:w="7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噪声污染物</w:t>
            </w: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施工期设备噪声</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噪声</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1670"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75～103dB（A）</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选用低噪声设备、加强维护保养，置于钻井井场内，基础安装减振垫层，柴油发电机设置于室内</w:t>
            </w:r>
          </w:p>
        </w:tc>
        <w:tc>
          <w:tcPr>
            <w:tcW w:w="99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连续/间断</w:t>
            </w:r>
          </w:p>
        </w:tc>
        <w:tc>
          <w:tcPr>
            <w:tcW w:w="212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4"/>
                <w:highlight w:val="none"/>
                <w14:textFill>
                  <w14:solidFill>
                    <w14:schemeClr w14:val="tx1"/>
                  </w14:solidFill>
                </w14:textFill>
              </w:rPr>
              <w:t>不扰民</w:t>
            </w:r>
          </w:p>
        </w:tc>
        <w:tc>
          <w:tcPr>
            <w:tcW w:w="7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试采期噪声</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噪声</w:t>
            </w:r>
          </w:p>
        </w:tc>
        <w:tc>
          <w:tcPr>
            <w:tcW w:w="881"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w w:val="99"/>
                <w:highlight w:val="none"/>
                <w14:textFill>
                  <w14:solidFill>
                    <w14:schemeClr w14:val="tx1"/>
                  </w14:solidFill>
                </w14:textFill>
              </w:rPr>
              <w:t>—</w:t>
            </w:r>
          </w:p>
        </w:tc>
        <w:tc>
          <w:tcPr>
            <w:tcW w:w="1670" w:type="dxa"/>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＜55dB（A）</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设备选型时选择低噪声设备，设置减震基础；站内工艺管道的设计考虑合理的流速，减少气流噪声；站内设备合理布局</w:t>
            </w:r>
          </w:p>
        </w:tc>
        <w:tc>
          <w:tcPr>
            <w:tcW w:w="99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连续</w:t>
            </w:r>
          </w:p>
        </w:tc>
        <w:tc>
          <w:tcPr>
            <w:tcW w:w="2122" w:type="dxa"/>
            <w:vAlign w:val="center"/>
          </w:tcPr>
          <w:p>
            <w:pPr>
              <w:pStyle w:val="295"/>
              <w:rPr>
                <w:rFonts w:hint="default" w:ascii="Times New Roman" w:hAnsi="Times New Roman" w:cs="Times New Roman"/>
                <w:color w:val="000000" w:themeColor="text1"/>
                <w:spacing w:val="-4"/>
                <w:highlight w:val="none"/>
                <w14:textFill>
                  <w14:solidFill>
                    <w14:schemeClr w14:val="tx1"/>
                  </w14:solidFill>
                </w14:textFill>
              </w:rPr>
            </w:pPr>
            <w:r>
              <w:rPr>
                <w:rFonts w:hint="default" w:ascii="Times New Roman" w:hAnsi="Times New Roman" w:cs="Times New Roman"/>
                <w:color w:val="000000" w:themeColor="text1"/>
                <w:spacing w:val="-4"/>
                <w:highlight w:val="none"/>
                <w14:textFill>
                  <w14:solidFill>
                    <w14:schemeClr w14:val="tx1"/>
                  </w14:solidFill>
                </w14:textFill>
              </w:rPr>
              <w:t>《工业企业厂界环境噪声排放标准》（GB12348-2008）2类标准</w:t>
            </w:r>
          </w:p>
        </w:tc>
        <w:tc>
          <w:tcPr>
            <w:tcW w:w="718"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11" w:hRule="atLeast"/>
          <w:jc w:val="center"/>
        </w:trPr>
        <w:tc>
          <w:tcPr>
            <w:tcW w:w="56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固体废物</w:t>
            </w:r>
          </w:p>
        </w:tc>
        <w:tc>
          <w:tcPr>
            <w:tcW w:w="1418"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施工期固废</w:t>
            </w: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水基钻井固废</w:t>
            </w:r>
          </w:p>
        </w:tc>
        <w:tc>
          <w:tcPr>
            <w:tcW w:w="255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609.62t</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经泥浆不落地工艺进行固液分离后暂存于固废临时堆放区，定期用密闭罐车就近交给依法取得生态环境部门关于利用和处置相关工业固体废物项目环评批复、具有处理处置相应固体废物能力并配套建设有废气、废水、固废等污染物治理设施的单位进行资源化利用</w:t>
            </w:r>
          </w:p>
        </w:tc>
        <w:tc>
          <w:tcPr>
            <w:tcW w:w="992" w:type="dxa"/>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钻井期定期转运</w:t>
            </w:r>
          </w:p>
        </w:tc>
        <w:tc>
          <w:tcPr>
            <w:tcW w:w="2840" w:type="dxa"/>
            <w:gridSpan w:val="2"/>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妥善处置，不会对环境造成二次污染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74" w:hRule="atLeast"/>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油基钻井固废</w:t>
            </w:r>
          </w:p>
        </w:tc>
        <w:tc>
          <w:tcPr>
            <w:tcW w:w="255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320.17m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如遇特殊地层，油基钻井废泥浆、岩屑暂存于新建的60m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危险废物暂存场所，废泥浆和油基钻井岩屑</w:t>
            </w:r>
            <w:r>
              <w:rPr>
                <w:rFonts w:hint="default" w:ascii="Times New Roman" w:hAnsi="Times New Roman" w:cs="Times New Roman"/>
                <w:color w:val="000000" w:themeColor="text1"/>
                <w:szCs w:val="21"/>
                <w:highlight w:val="none"/>
                <w:lang w:eastAsia="zh-CN"/>
                <w14:textFill>
                  <w14:solidFill>
                    <w14:schemeClr w14:val="tx1"/>
                  </w14:solidFill>
                </w14:textFill>
              </w:rPr>
              <w:t>及时</w:t>
            </w:r>
            <w:r>
              <w:rPr>
                <w:rFonts w:hint="default" w:ascii="Times New Roman" w:hAnsi="Times New Roman" w:cs="Times New Roman"/>
                <w:color w:val="000000" w:themeColor="text1"/>
                <w:szCs w:val="21"/>
                <w:highlight w:val="none"/>
                <w14:textFill>
                  <w14:solidFill>
                    <w14:schemeClr w14:val="tx1"/>
                  </w14:solidFill>
                </w14:textFill>
              </w:rPr>
              <w:t>交由有资质的单位处置</w:t>
            </w: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840" w:type="dxa"/>
            <w:gridSpan w:val="2"/>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废油</w:t>
            </w:r>
          </w:p>
        </w:tc>
        <w:tc>
          <w:tcPr>
            <w:tcW w:w="255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0.7m</w:t>
            </w:r>
            <w:r>
              <w:rPr>
                <w:rFonts w:hint="default" w:ascii="Times New Roman" w:hAnsi="Times New Roman" w:cs="Times New Roman"/>
                <w:color w:val="000000" w:themeColor="text1"/>
                <w:highlight w:val="none"/>
                <w:vertAlign w:val="superscript"/>
                <w14:textFill>
                  <w14:solidFill>
                    <w14:schemeClr w14:val="tx1"/>
                  </w14:solidFill>
                </w14:textFill>
              </w:rPr>
              <w:t>3</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设置废油桶集中收集暂存于泥浆不落地装置区临时堆放区内，钻井队综合利用或交由有资质的单位处理</w:t>
            </w: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840" w:type="dxa"/>
            <w:gridSpan w:val="2"/>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废包装材料</w:t>
            </w:r>
          </w:p>
        </w:tc>
        <w:tc>
          <w:tcPr>
            <w:tcW w:w="255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2.0t</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集中收集后部分回用，剩余的送当地废品回收站处理</w:t>
            </w: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840" w:type="dxa"/>
            <w:gridSpan w:val="2"/>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生活垃圾</w:t>
            </w:r>
          </w:p>
        </w:tc>
        <w:tc>
          <w:tcPr>
            <w:tcW w:w="255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22.5kg/d</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集中收集，交由当地环卫部门处置</w:t>
            </w:r>
          </w:p>
        </w:tc>
        <w:tc>
          <w:tcPr>
            <w:tcW w:w="99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2840" w:type="dxa"/>
            <w:gridSpan w:val="2"/>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562"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418" w:type="dxa"/>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276"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钻前及完井搬迁建筑垃圾</w:t>
            </w:r>
          </w:p>
        </w:tc>
        <w:tc>
          <w:tcPr>
            <w:tcW w:w="2551" w:type="dxa"/>
            <w:gridSpan w:val="3"/>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少量</w:t>
            </w:r>
          </w:p>
        </w:tc>
        <w:tc>
          <w:tcPr>
            <w:tcW w:w="3686" w:type="dxa"/>
            <w:vAlign w:val="center"/>
          </w:tcPr>
          <w:p>
            <w:pPr>
              <w:pStyle w:val="295"/>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施工队伍统一收集清运至政府指定地方</w:t>
            </w:r>
          </w:p>
        </w:tc>
        <w:tc>
          <w:tcPr>
            <w:tcW w:w="992" w:type="dxa"/>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完井搬迁期与试采站建设期</w:t>
            </w:r>
          </w:p>
        </w:tc>
        <w:tc>
          <w:tcPr>
            <w:tcW w:w="2840" w:type="dxa"/>
            <w:gridSpan w:val="2"/>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bl>
    <w:p>
      <w:pPr>
        <w:pStyle w:val="3"/>
        <w:ind w:firstLine="480"/>
        <w:rPr>
          <w:rFonts w:hint="default" w:ascii="Times New Roman" w:hAnsi="Times New Roman" w:cs="Times New Roman"/>
          <w:color w:val="000000" w:themeColor="text1"/>
          <w:szCs w:val="24"/>
          <w:highlight w:val="none"/>
          <w:lang w:eastAsia="zh-CN"/>
          <w14:textFill>
            <w14:solidFill>
              <w14:schemeClr w14:val="tx1"/>
            </w14:solidFill>
          </w14:textFill>
        </w:rPr>
        <w:sectPr>
          <w:pgSz w:w="16840" w:h="11910" w:orient="landscape"/>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bookmarkStart w:id="508" w:name="8.2环境监测"/>
      <w:bookmarkEnd w:id="508"/>
      <w:bookmarkStart w:id="509" w:name="_bookmark40"/>
      <w:bookmarkEnd w:id="509"/>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10" w:name="_Toc26863"/>
      <w:r>
        <w:rPr>
          <w:rFonts w:hint="default" w:ascii="Times New Roman" w:hAnsi="Times New Roman" w:cs="Times New Roman"/>
          <w:color w:val="000000" w:themeColor="text1"/>
          <w:highlight w:val="none"/>
          <w:lang w:eastAsia="zh-CN"/>
          <w14:textFill>
            <w14:solidFill>
              <w14:schemeClr w14:val="tx1"/>
            </w14:solidFill>
          </w14:textFill>
        </w:rPr>
        <w:t>环境监测</w:t>
      </w:r>
      <w:bookmarkEnd w:id="510"/>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511" w:name="_Toc120173247"/>
      <w:r>
        <w:rPr>
          <w:rFonts w:hint="default" w:ascii="Times New Roman" w:hAnsi="Times New Roman" w:cs="Times New Roman"/>
          <w:color w:val="000000" w:themeColor="text1"/>
          <w:highlight w:val="none"/>
          <w:lang w:eastAsia="zh-CN"/>
          <w14:textFill>
            <w14:solidFill>
              <w14:schemeClr w14:val="tx1"/>
            </w14:solidFill>
          </w14:textFill>
        </w:rPr>
        <w:t>监测计划</w:t>
      </w:r>
      <w:bookmarkEnd w:id="511"/>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从本评价的预测结论来看，项目单位在建设施工过程及运行过程中的环境影响，除采取必要的工程性措施控制外，更需通过环境管理来解决。而环境监测是环境管理重要的手段之一。今后，通过周围环境质量及企业生产污染排放的实时监控，可正确、迅速、完整地为建设单位日常环境管理及制定环境污染事故应急措施提供必要数据。</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bookmarkStart w:id="512" w:name="8.2.1监测计划"/>
      <w:bookmarkEnd w:id="512"/>
      <w:r>
        <w:rPr>
          <w:rFonts w:hint="default" w:ascii="Times New Roman" w:hAnsi="Times New Roman" w:cs="Times New Roman"/>
          <w:color w:val="000000" w:themeColor="text1"/>
          <w:highlight w:val="none"/>
          <w14:textFill>
            <w14:solidFill>
              <w14:schemeClr w14:val="tx1"/>
            </w14:solidFill>
          </w14:textFill>
        </w:rPr>
        <w:t>根据天然气试采对区域环境可能产生的影响，确定本项目环境监测对象为土壤、水、气、声。监测范围一般根据各种污染因子对环境产生的影响范围而定，具体范围可参见环境影响范围。</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本项目正常施工或生产期间开展定期监测，在事故时进行应急监测。参照《排污单位自行监测技术指南 总则》（HJ819-2017）、《工业企业土壤和地下水自行监测 技术指南（试行）》（HJ1209-2021）与《排污单位自行监测技术指南 陆上石油天然气开采工业》（HJ1248—2022）中的有关规定要求，针对本项目产排污特点，制定本项目的监测计划。</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根据项目的特点，环境监测重点为井场场界噪声值、最近居民点的噪声值和场界周边CH</w:t>
      </w:r>
      <w:r>
        <w:rPr>
          <w:rFonts w:hint="default" w:ascii="Times New Roman" w:hAnsi="Times New Roman" w:cs="Times New Roman"/>
          <w:color w:val="000000" w:themeColor="text1"/>
          <w:highlight w:val="none"/>
          <w:vertAlign w:val="sub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S浓度。</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在钻入气层后根据钻井出现井喷、井漏、井涌、气侵等情况检测CH</w:t>
      </w:r>
      <w:r>
        <w:rPr>
          <w:rFonts w:hint="default" w:ascii="Times New Roman" w:hAnsi="Times New Roman" w:cs="Times New Roman"/>
          <w:color w:val="000000" w:themeColor="text1"/>
          <w:highlight w:val="none"/>
          <w:vertAlign w:val="sub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S浓度，测试和事故放喷时根据事故控制情况监测CH</w:t>
      </w:r>
      <w:r>
        <w:rPr>
          <w:rFonts w:hint="default" w:ascii="Times New Roman" w:hAnsi="Times New Roman" w:cs="Times New Roman"/>
          <w:color w:val="000000" w:themeColor="text1"/>
          <w:highlight w:val="none"/>
          <w:vertAlign w:val="sub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S浓度，监测点位设在井场场界、放喷口周围以及最近居民点处。</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噪声监测设在场界处和最近居民点处（井场周边200m范围内无居民点，因此可根据实际情况考虑是否对敏感点进行监测），钻井期间分别监测昼间、夜间各1次，试采期间每年昼间、夜间各监测1次。</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本次评价建议建设单位开展土壤环境跟踪监测，主要设置下游监控点和上游背景点。</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下水监测设置在周边有代表性的水井，按照地下水专项评价所列计划对环境进行跟踪监测后，建设单位应按相关规定对监测结果及时建立档案。如发现异常或发生事故，加密监测频次，并根据污染物特征增加监测项目，并分析污染原因，及时采取应急措施。监测计划见</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REF _Ref142859803 \h  \* MERGEFORMAT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表10.3</w:t>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bookmarkStart w:id="513" w:name="_Ref142859803"/>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10.3</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bookmarkEnd w:id="513"/>
      <w:r>
        <w:rPr>
          <w:rFonts w:hint="default" w:ascii="Times New Roman" w:hAnsi="Times New Roman" w:cs="Times New Roman"/>
          <w:color w:val="000000" w:themeColor="text1"/>
          <w:highlight w:val="none"/>
          <w14:textFill>
            <w14:solidFill>
              <w14:schemeClr w14:val="tx1"/>
            </w14:solidFill>
          </w14:textFill>
        </w:rPr>
        <w:t xml:space="preserve"> 本项目环境监测计划</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953"/>
        <w:gridCol w:w="1952"/>
        <w:gridCol w:w="1456"/>
        <w:gridCol w:w="1592"/>
        <w:gridCol w:w="1073"/>
        <w:gridCol w:w="1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blHeader/>
          <w:jc w:val="center"/>
        </w:trPr>
        <w:tc>
          <w:tcPr>
            <w:tcW w:w="598"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环境要素</w:t>
            </w:r>
          </w:p>
        </w:tc>
        <w:tc>
          <w:tcPr>
            <w:tcW w:w="1191"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监测点位</w:t>
            </w:r>
          </w:p>
        </w:tc>
        <w:tc>
          <w:tcPr>
            <w:tcW w:w="896"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监测项目</w:t>
            </w:r>
          </w:p>
        </w:tc>
        <w:tc>
          <w:tcPr>
            <w:tcW w:w="977"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监测频次</w:t>
            </w:r>
          </w:p>
        </w:tc>
        <w:tc>
          <w:tcPr>
            <w:tcW w:w="669"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监测时段</w:t>
            </w:r>
          </w:p>
        </w:tc>
        <w:tc>
          <w:tcPr>
            <w:tcW w:w="669" w:type="pct"/>
            <w:vAlign w:val="center"/>
          </w:tcPr>
          <w:p>
            <w:pPr>
              <w:pStyle w:val="295"/>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79" w:hRule="atLeast"/>
          <w:jc w:val="center"/>
        </w:trPr>
        <w:tc>
          <w:tcPr>
            <w:tcW w:w="598"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土壤</w:t>
            </w:r>
          </w:p>
        </w:tc>
        <w:tc>
          <w:tcPr>
            <w:tcW w:w="1191"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对于二类单元，本项目在放喷池下游处设置1处表层土壤监测点</w:t>
            </w:r>
          </w:p>
        </w:tc>
        <w:tc>
          <w:tcPr>
            <w:tcW w:w="89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pH值、铜、六价铬、铅、镉、汞、砷、镍、石油烃（C10-C40）、全盐量等</w:t>
            </w:r>
          </w:p>
        </w:tc>
        <w:tc>
          <w:tcPr>
            <w:tcW w:w="97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1次/5年</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定期</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HJ1209-2021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98" w:type="pct"/>
            <w:vMerge w:val="restar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w:t>
            </w:r>
          </w:p>
        </w:tc>
        <w:tc>
          <w:tcPr>
            <w:tcW w:w="1191"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井场场界、放喷口周围、最近居民点处</w:t>
            </w:r>
          </w:p>
        </w:tc>
        <w:tc>
          <w:tcPr>
            <w:tcW w:w="89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CH</w:t>
            </w:r>
            <w:r>
              <w:rPr>
                <w:rFonts w:hint="default" w:ascii="Times New Roman" w:hAnsi="Times New Roman" w:cs="Times New Roman"/>
                <w:color w:val="000000" w:themeColor="text1"/>
                <w:highlight w:val="none"/>
                <w:vertAlign w:val="subscript"/>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、H</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S</w:t>
            </w:r>
          </w:p>
        </w:tc>
        <w:tc>
          <w:tcPr>
            <w:tcW w:w="97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测试和事故放喷时根据事故控制情况布置监测</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事故过程</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98" w:type="pct"/>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191"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井场场界、最近居民点处</w:t>
            </w:r>
          </w:p>
        </w:tc>
        <w:tc>
          <w:tcPr>
            <w:tcW w:w="89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TSP</w:t>
            </w:r>
          </w:p>
        </w:tc>
        <w:tc>
          <w:tcPr>
            <w:tcW w:w="97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施工阶段1-2次</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施工阶段</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98"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噪声</w:t>
            </w:r>
          </w:p>
        </w:tc>
        <w:tc>
          <w:tcPr>
            <w:tcW w:w="1191"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场界处</w:t>
            </w:r>
          </w:p>
        </w:tc>
        <w:tc>
          <w:tcPr>
            <w:tcW w:w="89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场界噪声</w:t>
            </w:r>
          </w:p>
        </w:tc>
        <w:tc>
          <w:tcPr>
            <w:tcW w:w="97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钻井期间分别监测昼间、夜间各1次；</w:t>
            </w:r>
            <w:r>
              <w:rPr>
                <w:rFonts w:hint="default" w:ascii="Times New Roman" w:hAnsi="Times New Roman" w:cs="Times New Roman"/>
                <w:snapToGrid w:val="0"/>
                <w:color w:val="000000" w:themeColor="text1"/>
                <w:highlight w:val="none"/>
                <w14:textFill>
                  <w14:solidFill>
                    <w14:schemeClr w14:val="tx1"/>
                  </w14:solidFill>
                </w14:textFill>
              </w:rPr>
              <w:t>试采期每季度监测1次，根据监测结果，若场站内声源装置稳定运行且厂界环境噪声远低于标准限值的小型场站可不开展厂界环境噪声监测</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投诉时对投诉敏感点监测</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HJ1248—2022等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98"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地表水</w:t>
            </w:r>
          </w:p>
        </w:tc>
        <w:tc>
          <w:tcPr>
            <w:tcW w:w="1191"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废水泄露地表水体时被污染水体</w:t>
            </w:r>
          </w:p>
        </w:tc>
        <w:tc>
          <w:tcPr>
            <w:tcW w:w="89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pH、COD、BOD</w:t>
            </w:r>
            <w:r>
              <w:rPr>
                <w:rFonts w:hint="default" w:ascii="Times New Roman" w:hAnsi="Times New Roman" w:cs="Times New Roman"/>
                <w:color w:val="000000" w:themeColor="text1"/>
                <w:highlight w:val="none"/>
                <w:vertAlign w:val="subscript"/>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t>、氨氮、硫化物、石油类、氯化物</w:t>
            </w:r>
            <w:r>
              <w:rPr>
                <w:rFonts w:hint="default" w:ascii="Times New Roman" w:hAnsi="Times New Roman" w:cs="Times New Roman"/>
                <w:bCs/>
                <w:color w:val="000000" w:themeColor="text1"/>
                <w:highlight w:val="none"/>
                <w14:textFill>
                  <w14:solidFill>
                    <w14:schemeClr w14:val="tx1"/>
                  </w14:solidFill>
                </w14:textFill>
              </w:rPr>
              <w:t>等</w:t>
            </w:r>
          </w:p>
        </w:tc>
        <w:tc>
          <w:tcPr>
            <w:tcW w:w="977"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实时监控</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事故过程</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98"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雨水</w:t>
            </w:r>
          </w:p>
        </w:tc>
        <w:tc>
          <w:tcPr>
            <w:tcW w:w="1191"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雨水排放口</w:t>
            </w:r>
          </w:p>
        </w:tc>
        <w:tc>
          <w:tcPr>
            <w:tcW w:w="896"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COD、石油类</w:t>
            </w:r>
          </w:p>
        </w:tc>
        <w:tc>
          <w:tcPr>
            <w:tcW w:w="1646" w:type="pct"/>
            <w:gridSpan w:val="2"/>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有流动水排放时按季度监测，如监测一年无异常情况，可放宽至每年开展一次监测</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HJ1248—2022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084" w:hRule="atLeast"/>
          <w:jc w:val="center"/>
        </w:trPr>
        <w:tc>
          <w:tcPr>
            <w:tcW w:w="598" w:type="pct"/>
            <w:vMerge w:val="restar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地下水</w:t>
            </w:r>
          </w:p>
        </w:tc>
        <w:tc>
          <w:tcPr>
            <w:tcW w:w="1191" w:type="pct"/>
            <w:shd w:val="clear" w:color="auto" w:fill="FFFFFF"/>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1#普光P106-2H侧井西南侧303m处泉井</w:t>
            </w:r>
          </w:p>
        </w:tc>
        <w:tc>
          <w:tcPr>
            <w:tcW w:w="896" w:type="pct"/>
            <w:vMerge w:val="restar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pH值、总硬度、六价铬、铁、锰、耗氧量、TDS、COD、石油类、氯化物</w:t>
            </w:r>
          </w:p>
        </w:tc>
        <w:tc>
          <w:tcPr>
            <w:tcW w:w="977" w:type="pct"/>
            <w:vMerge w:val="restart"/>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开工前1次，完钻后1次，发生事故时加密监测；试采期每年对2#点位例行监测一次，事故时加密监测</w:t>
            </w: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背景点</w:t>
            </w:r>
          </w:p>
        </w:tc>
        <w:tc>
          <w:tcPr>
            <w:tcW w:w="669" w:type="pct"/>
            <w:vMerge w:val="restar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HJ1209-2021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8" w:hRule="atLeast"/>
          <w:jc w:val="center"/>
        </w:trPr>
        <w:tc>
          <w:tcPr>
            <w:tcW w:w="598" w:type="pct"/>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191" w:type="pct"/>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普光P106-2H侧井东南侧420m处泉井</w:t>
            </w:r>
          </w:p>
        </w:tc>
        <w:tc>
          <w:tcPr>
            <w:tcW w:w="896"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977"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监控点</w:t>
            </w:r>
          </w:p>
        </w:tc>
        <w:tc>
          <w:tcPr>
            <w:tcW w:w="669"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8" w:hRule="atLeast"/>
          <w:jc w:val="center"/>
        </w:trPr>
        <w:tc>
          <w:tcPr>
            <w:tcW w:w="598" w:type="pct"/>
            <w:vMerge w:val="continue"/>
            <w:shd w:val="clear" w:color="auto" w:fill="FFFFFF"/>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c>
          <w:tcPr>
            <w:tcW w:w="1191" w:type="pct"/>
            <w:shd w:val="clear" w:color="auto" w:fill="FFFFFF"/>
            <w:vAlign w:val="center"/>
          </w:tcPr>
          <w:p>
            <w:pPr>
              <w:pStyle w:val="295"/>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3#普光P106-2H侧井东北侧792m处泉井</w:t>
            </w:r>
          </w:p>
        </w:tc>
        <w:tc>
          <w:tcPr>
            <w:tcW w:w="896"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977" w:type="pct"/>
            <w:vMerge w:val="continue"/>
            <w:vAlign w:val="center"/>
          </w:tcPr>
          <w:p>
            <w:pPr>
              <w:pStyle w:val="295"/>
              <w:rPr>
                <w:rFonts w:hint="default" w:ascii="Times New Roman" w:hAnsi="Times New Roman" w:cs="Times New Roman"/>
                <w:snapToGrid w:val="0"/>
                <w:color w:val="000000" w:themeColor="text1"/>
                <w:highlight w:val="none"/>
                <w14:textFill>
                  <w14:solidFill>
                    <w14:schemeClr w14:val="tx1"/>
                  </w14:solidFill>
                </w14:textFill>
              </w:rPr>
            </w:pPr>
          </w:p>
        </w:tc>
        <w:tc>
          <w:tcPr>
            <w:tcW w:w="669" w:type="pct"/>
            <w:vAlign w:val="center"/>
          </w:tcPr>
          <w:p>
            <w:pPr>
              <w:pStyle w:val="2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监控点</w:t>
            </w:r>
          </w:p>
        </w:tc>
        <w:tc>
          <w:tcPr>
            <w:tcW w:w="669" w:type="pct"/>
            <w:vMerge w:val="continue"/>
            <w:vAlign w:val="center"/>
          </w:tcPr>
          <w:p>
            <w:pPr>
              <w:pStyle w:val="295"/>
              <w:rPr>
                <w:rFonts w:hint="default" w:ascii="Times New Roman" w:hAnsi="Times New Roman" w:cs="Times New Roman"/>
                <w:color w:val="000000" w:themeColor="text1"/>
                <w:highlight w:val="none"/>
                <w14:textFill>
                  <w14:solidFill>
                    <w14:schemeClr w14:val="tx1"/>
                  </w14:solidFill>
                </w14:textFill>
              </w:rPr>
            </w:pPr>
          </w:p>
        </w:tc>
      </w:tr>
    </w:tbl>
    <w:p>
      <w:pPr>
        <w:ind w:firstLine="480"/>
        <w:jc w:val="center"/>
        <w:rPr>
          <w:rFonts w:hint="default" w:ascii="Times New Roman" w:hAnsi="Times New Roman" w:eastAsia="黑体" w:cs="Times New Roman"/>
          <w:color w:val="000000" w:themeColor="text1"/>
          <w:szCs w:val="21"/>
          <w:highlight w:val="none"/>
          <w14:textFill>
            <w14:solidFill>
              <w14:schemeClr w14:val="tx1"/>
            </w14:solidFill>
          </w14:textFill>
        </w:rPr>
      </w:pPr>
    </w:p>
    <w:p>
      <w:pPr>
        <w:pStyle w:val="4"/>
        <w:pageBreakBefore w:val="0"/>
        <w:widowControl w:val="0"/>
        <w:kinsoku/>
        <w:wordWrap/>
        <w:overflowPunct/>
        <w:topLinePunct w:val="0"/>
        <w:autoSpaceDE/>
        <w:autoSpaceDN/>
        <w:bidi w:val="0"/>
        <w:adjustRightInd w:val="0"/>
        <w:snapToGrid w:val="0"/>
        <w:spacing w:before="0" w:beforeLines="0"/>
        <w:ind w:left="480" w:leftChars="0" w:firstLineChars="0"/>
        <w:textAlignment w:val="auto"/>
        <w:rPr>
          <w:rFonts w:hint="default" w:ascii="Times New Roman" w:hAnsi="Times New Roman" w:cs="Times New Roman"/>
          <w:b/>
          <w:color w:val="000000" w:themeColor="text1"/>
          <w:highlight w:val="none"/>
          <w:lang w:eastAsia="zh-CN"/>
          <w14:textFill>
            <w14:solidFill>
              <w14:schemeClr w14:val="tx1"/>
            </w14:solidFill>
          </w14:textFill>
        </w:rPr>
      </w:pPr>
      <w:bookmarkStart w:id="514" w:name="_Toc120173248"/>
      <w:r>
        <w:rPr>
          <w:rFonts w:hint="default" w:ascii="Times New Roman" w:hAnsi="Times New Roman" w:cs="Times New Roman"/>
          <w:color w:val="000000" w:themeColor="text1"/>
          <w:highlight w:val="none"/>
          <w:lang w:eastAsia="zh-CN"/>
          <w14:textFill>
            <w14:solidFill>
              <w14:schemeClr w14:val="tx1"/>
            </w14:solidFill>
          </w14:textFill>
        </w:rPr>
        <w:t>应急监测</w:t>
      </w:r>
      <w:bookmarkEnd w:id="514"/>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本项目主要存在试采站场天然气泄漏（天然气泄漏或火灾、爆炸或重大环境污染）、污水泄漏、油类物质泄漏等事故。因此，在发生事故时应当进行应急监测。</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应急监测包括污染纠纷的监测和污染事故的应急监测等。工程施工单位未落实环境保护措施发生污染事故或公众举报与投诉，以及风险事故发生时，环境监测部门应立刻进行现场监测，并通知当地环保部门赴事故现场进行调查，做到及时提供事故监测分析报告，以便及时做出整改并采取补救措施，使事故造成的不良环境影响降至最低。</w:t>
      </w:r>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对事故监测可根据事故性质、事故影响大小等具体情况监测气、土壤、水等，并以监测报告的形式上报上级部门。</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15" w:name="_bookmark41"/>
      <w:bookmarkEnd w:id="515"/>
      <w:bookmarkStart w:id="516" w:name="8.3排污口规范化管理"/>
      <w:bookmarkEnd w:id="516"/>
      <w:bookmarkStart w:id="517" w:name="8.2.2监测实施单位"/>
      <w:bookmarkEnd w:id="517"/>
      <w:bookmarkStart w:id="518" w:name="_Toc27706"/>
      <w:r>
        <w:rPr>
          <w:rFonts w:hint="default" w:ascii="Times New Roman" w:hAnsi="Times New Roman" w:cs="Times New Roman"/>
          <w:color w:val="000000" w:themeColor="text1"/>
          <w:highlight w:val="none"/>
          <w:lang w:eastAsia="zh-CN"/>
          <w14:textFill>
            <w14:solidFill>
              <w14:schemeClr w14:val="tx1"/>
            </w14:solidFill>
          </w14:textFill>
        </w:rPr>
        <w:t>排污许可申请</w:t>
      </w:r>
      <w:bookmarkEnd w:id="518"/>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本项目为天然气试采项目，根据《固定污染源排污许可分类管理名录》（2019年版）可知，本项目为登记管理的行业，因此不需申请排污许可证，只需登记备案。</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19" w:name="_bookmark43"/>
      <w:bookmarkEnd w:id="519"/>
      <w:bookmarkStart w:id="520" w:name="8.5环保设施竣工验收"/>
      <w:bookmarkEnd w:id="520"/>
      <w:bookmarkStart w:id="521" w:name="8.4环境监理"/>
      <w:bookmarkEnd w:id="521"/>
      <w:bookmarkStart w:id="522" w:name="_Toc6568"/>
      <w:r>
        <w:rPr>
          <w:rFonts w:hint="default" w:ascii="Times New Roman" w:hAnsi="Times New Roman" w:cs="Times New Roman"/>
          <w:color w:val="000000" w:themeColor="text1"/>
          <w:highlight w:val="none"/>
          <w:lang w:eastAsia="zh-CN"/>
          <w14:textFill>
            <w14:solidFill>
              <w14:schemeClr w14:val="tx1"/>
            </w14:solidFill>
          </w14:textFill>
        </w:rPr>
        <w:t>竣工环保验收调查</w:t>
      </w:r>
      <w:bookmarkEnd w:id="522"/>
    </w:p>
    <w:p>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为加强建设项目竣工环境保护验收管理，监督落实环境保护设施与建设项目主体工程同时设计、同时投产、同时使用，防治环境污染，根据《建设项目竣工环境保护验收暂行办法》（国环规环评〔2017〕4号）等相关文件要求，建设单位应积极自主开展环境保护验收。</w:t>
      </w: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10.5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竣工环保验收调查一览表</w:t>
      </w:r>
    </w:p>
    <w:tbl>
      <w:tblPr>
        <w:tblStyle w:val="90"/>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50"/>
        <w:gridCol w:w="553"/>
        <w:gridCol w:w="1264"/>
        <w:gridCol w:w="55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850" w:type="dxa"/>
            <w:vAlign w:val="center"/>
          </w:tcPr>
          <w:p>
            <w:pPr>
              <w:pStyle w:val="295"/>
              <w:rPr>
                <w:rFonts w:hint="default" w:ascii="Times New Roman" w:hAnsi="Times New Roman" w:cs="Times New Roman"/>
                <w:b/>
                <w:bCs/>
                <w:color w:val="000000" w:themeColor="text1"/>
                <w:szCs w:val="22"/>
                <w:highlight w:val="none"/>
                <w:lang w:eastAsia="en-US"/>
                <w14:textFill>
                  <w14:solidFill>
                    <w14:schemeClr w14:val="tx1"/>
                  </w14:solidFill>
                </w14:textFill>
              </w:rPr>
            </w:pPr>
            <w:r>
              <w:rPr>
                <w:rFonts w:hint="default" w:ascii="Times New Roman" w:hAnsi="Times New Roman" w:cs="Times New Roman"/>
                <w:b/>
                <w:bCs/>
                <w:color w:val="000000" w:themeColor="text1"/>
                <w:szCs w:val="22"/>
                <w:highlight w:val="none"/>
                <w:lang w:eastAsia="en-US"/>
                <w14:textFill>
                  <w14:solidFill>
                    <w14:schemeClr w14:val="tx1"/>
                  </w14:solidFill>
                </w14:textFill>
              </w:rPr>
              <w:t>分项</w:t>
            </w:r>
          </w:p>
        </w:tc>
        <w:tc>
          <w:tcPr>
            <w:tcW w:w="1817" w:type="dxa"/>
            <w:gridSpan w:val="2"/>
            <w:vAlign w:val="center"/>
          </w:tcPr>
          <w:p>
            <w:pPr>
              <w:pStyle w:val="295"/>
              <w:rPr>
                <w:rFonts w:hint="default" w:ascii="Times New Roman" w:hAnsi="Times New Roman" w:cs="Times New Roman"/>
                <w:b/>
                <w:bCs/>
                <w:color w:val="000000" w:themeColor="text1"/>
                <w:szCs w:val="22"/>
                <w:highlight w:val="none"/>
                <w:lang w:eastAsia="en-US"/>
                <w14:textFill>
                  <w14:solidFill>
                    <w14:schemeClr w14:val="tx1"/>
                  </w14:solidFill>
                </w14:textFill>
              </w:rPr>
            </w:pPr>
            <w:r>
              <w:rPr>
                <w:rFonts w:hint="default" w:ascii="Times New Roman" w:hAnsi="Times New Roman" w:cs="Times New Roman"/>
                <w:b/>
                <w:bCs/>
                <w:color w:val="000000" w:themeColor="text1"/>
                <w:szCs w:val="22"/>
                <w:highlight w:val="none"/>
                <w:lang w:eastAsia="en-US"/>
                <w14:textFill>
                  <w14:solidFill>
                    <w14:schemeClr w14:val="tx1"/>
                  </w14:solidFill>
                </w14:textFill>
              </w:rPr>
              <w:t>验收项目及位置</w:t>
            </w:r>
          </w:p>
        </w:tc>
        <w:tc>
          <w:tcPr>
            <w:tcW w:w="5555" w:type="dxa"/>
            <w:vAlign w:val="center"/>
          </w:tcPr>
          <w:p>
            <w:pPr>
              <w:pStyle w:val="295"/>
              <w:rPr>
                <w:rFonts w:hint="default" w:ascii="Times New Roman" w:hAnsi="Times New Roman" w:cs="Times New Roman"/>
                <w:b/>
                <w:bCs/>
                <w:color w:val="000000" w:themeColor="text1"/>
                <w:szCs w:val="22"/>
                <w:highlight w:val="none"/>
                <w:lang w:eastAsia="en-US"/>
                <w14:textFill>
                  <w14:solidFill>
                    <w14:schemeClr w14:val="tx1"/>
                  </w14:solidFill>
                </w14:textFill>
              </w:rPr>
            </w:pPr>
            <w:r>
              <w:rPr>
                <w:rFonts w:hint="default" w:ascii="Times New Roman" w:hAnsi="Times New Roman" w:cs="Times New Roman"/>
                <w:b/>
                <w:bCs/>
                <w:color w:val="000000" w:themeColor="text1"/>
                <w:szCs w:val="22"/>
                <w:highlight w:val="none"/>
                <w:lang w:eastAsia="en-US"/>
                <w14:textFill>
                  <w14:solidFill>
                    <w14:schemeClr w14:val="tx1"/>
                  </w14:solidFill>
                </w14:textFill>
              </w:rPr>
              <w:t>验收指标及要求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restart"/>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环境</w:t>
            </w:r>
            <w:r>
              <w:rPr>
                <w:rFonts w:hint="default" w:ascii="Times New Roman" w:hAnsi="Times New Roman" w:cs="Times New Roman"/>
                <w:color w:val="000000" w:themeColor="text1"/>
                <w:spacing w:val="-103"/>
                <w:szCs w:val="22"/>
                <w:highlight w:val="none"/>
                <w:lang w:eastAsia="en-US"/>
                <w14:textFill>
                  <w14:solidFill>
                    <w14:schemeClr w14:val="tx1"/>
                  </w14:solidFill>
                </w14:textFill>
              </w:rPr>
              <w:t xml:space="preserve"> </w:t>
            </w:r>
            <w:r>
              <w:rPr>
                <w:rFonts w:hint="default" w:ascii="Times New Roman" w:hAnsi="Times New Roman" w:cs="Times New Roman"/>
                <w:color w:val="000000" w:themeColor="text1"/>
                <w:szCs w:val="22"/>
                <w:highlight w:val="none"/>
                <w:lang w:eastAsia="en-US"/>
                <w14:textFill>
                  <w14:solidFill>
                    <w14:schemeClr w14:val="tx1"/>
                  </w14:solidFill>
                </w14:textFill>
              </w:rPr>
              <w:t>管理</w:t>
            </w:r>
          </w:p>
        </w:tc>
        <w:tc>
          <w:tcPr>
            <w:tcW w:w="1817" w:type="dxa"/>
            <w:gridSpan w:val="2"/>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环境管理制度</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8"/>
                <w:szCs w:val="22"/>
                <w:highlight w:val="none"/>
                <w:lang w:eastAsia="zh-CN"/>
                <w14:textFill>
                  <w14:solidFill>
                    <w14:schemeClr w14:val="tx1"/>
                  </w14:solidFill>
                </w14:textFill>
              </w:rPr>
              <w:t>具有环保机构，环保资料和档案齐全。建立各类废水、岩屑、</w:t>
            </w:r>
            <w:r>
              <w:rPr>
                <w:rFonts w:hint="default" w:ascii="Times New Roman" w:hAnsi="Times New Roman" w:cs="Times New Roman"/>
                <w:color w:val="000000" w:themeColor="text1"/>
                <w:spacing w:val="-58"/>
                <w:szCs w:val="22"/>
                <w:highlight w:val="none"/>
                <w:lang w:eastAsia="zh-CN"/>
                <w14:textFill>
                  <w14:solidFill>
                    <w14:schemeClr w14:val="tx1"/>
                  </w14:solidFill>
                </w14:textFill>
              </w:rPr>
              <w:t xml:space="preserve"> </w:t>
            </w:r>
            <w:r>
              <w:rPr>
                <w:rFonts w:hint="default" w:ascii="Times New Roman" w:hAnsi="Times New Roman" w:cs="Times New Roman"/>
                <w:color w:val="000000" w:themeColor="text1"/>
                <w:szCs w:val="22"/>
                <w:highlight w:val="none"/>
                <w:lang w:eastAsia="zh-CN"/>
                <w14:textFill>
                  <w14:solidFill>
                    <w14:schemeClr w14:val="tx1"/>
                  </w14:solidFill>
                </w14:textFill>
              </w:rPr>
              <w:t>泥浆等转移联单制度，提供完整的交接清单资料备查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817" w:type="dxa"/>
            <w:gridSpan w:val="2"/>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环境风险管理</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3"/>
                <w:szCs w:val="22"/>
                <w:highlight w:val="none"/>
                <w:lang w:eastAsia="zh-CN"/>
                <w14:textFill>
                  <w14:solidFill>
                    <w14:schemeClr w14:val="tx1"/>
                  </w14:solidFill>
                </w14:textFill>
              </w:rPr>
              <w:t>具备符合行业规范和环评要求的环境风险应急预案并定期</w:t>
            </w:r>
            <w:r>
              <w:rPr>
                <w:rFonts w:hint="default" w:ascii="Times New Roman" w:hAnsi="Times New Roman" w:cs="Times New Roman"/>
                <w:color w:val="000000" w:themeColor="text1"/>
                <w:spacing w:val="-2"/>
                <w:szCs w:val="22"/>
                <w:highlight w:val="none"/>
                <w:lang w:eastAsia="zh-CN"/>
                <w14:textFill>
                  <w14:solidFill>
                    <w14:schemeClr w14:val="tx1"/>
                  </w14:solidFill>
                </w14:textFill>
              </w:rPr>
              <w:t>培训、演练，建立与当地村、乡镇、县相关部门联动机制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restart"/>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pacing w:val="2"/>
                <w:szCs w:val="22"/>
                <w:highlight w:val="none"/>
                <w:lang w:eastAsia="en-US"/>
                <w14:textFill>
                  <w14:solidFill>
                    <w14:schemeClr w14:val="tx1"/>
                  </w14:solidFill>
                </w14:textFill>
              </w:rPr>
              <w:t>污染防</w:t>
            </w:r>
            <w:r>
              <w:rPr>
                <w:rFonts w:hint="default" w:ascii="Times New Roman" w:hAnsi="Times New Roman" w:cs="Times New Roman"/>
                <w:color w:val="000000" w:themeColor="text1"/>
                <w:szCs w:val="22"/>
                <w:highlight w:val="none"/>
                <w:lang w:eastAsia="en-US"/>
                <w14:textFill>
                  <w14:solidFill>
                    <w14:schemeClr w14:val="tx1"/>
                  </w14:solidFill>
                </w14:textFill>
              </w:rPr>
              <w:t>治措施</w:t>
            </w:r>
          </w:p>
        </w:tc>
        <w:tc>
          <w:tcPr>
            <w:tcW w:w="553" w:type="dxa"/>
            <w:vMerge w:val="restart"/>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废水</w:t>
            </w:r>
          </w:p>
        </w:tc>
        <w:tc>
          <w:tcPr>
            <w:tcW w:w="1264" w:type="dxa"/>
            <w:vAlign w:val="center"/>
          </w:tcPr>
          <w:p>
            <w:pPr>
              <w:pStyle w:val="295"/>
              <w:rPr>
                <w:rFonts w:hint="default" w:ascii="Times New Roman" w:hAnsi="Times New Roman" w:cs="Times New Roman"/>
                <w:color w:val="000000" w:themeColor="text1"/>
                <w:szCs w:val="22"/>
                <w:highlight w:val="none"/>
                <w:lang w:val="en-US"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钻井废水、</w:t>
            </w:r>
            <w:r>
              <w:rPr>
                <w:rFonts w:hint="default" w:ascii="Times New Roman" w:hAnsi="Times New Roman" w:cs="Times New Roman"/>
                <w:color w:val="000000" w:themeColor="text1"/>
                <w:szCs w:val="22"/>
                <w:highlight w:val="none"/>
                <w:lang w:val="en-US" w:eastAsia="zh-CN"/>
                <w14:textFill>
                  <w14:solidFill>
                    <w14:schemeClr w14:val="tx1"/>
                  </w14:solidFill>
                </w14:textFill>
              </w:rPr>
              <w:t>初期雨水、</w:t>
            </w:r>
            <w:r>
              <w:rPr>
                <w:rFonts w:hint="default" w:ascii="Times New Roman" w:hAnsi="Times New Roman" w:cs="Times New Roman"/>
                <w:color w:val="000000" w:themeColor="text1"/>
                <w:szCs w:val="22"/>
                <w:highlight w:val="none"/>
                <w:lang w:eastAsia="zh-CN"/>
                <w14:textFill>
                  <w14:solidFill>
                    <w14:schemeClr w14:val="tx1"/>
                  </w14:solidFill>
                </w14:textFill>
              </w:rPr>
              <w:t>洗井废水、压裂返排液</w:t>
            </w:r>
            <w:r>
              <w:rPr>
                <w:rFonts w:hint="default" w:ascii="Times New Roman" w:hAnsi="Times New Roman" w:cs="Times New Roman"/>
                <w:color w:val="000000" w:themeColor="text1"/>
                <w:szCs w:val="22"/>
                <w:highlight w:val="none"/>
                <w:lang w:val="en-US" w:eastAsia="zh-CN"/>
                <w14:textFill>
                  <w14:solidFill>
                    <w14:schemeClr w14:val="tx1"/>
                  </w14:solidFill>
                </w14:textFill>
              </w:rPr>
              <w:t>等</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4"/>
                <w:szCs w:val="22"/>
                <w:highlight w:val="none"/>
                <w:lang w:eastAsia="zh-CN"/>
                <w14:textFill>
                  <w14:solidFill>
                    <w14:schemeClr w14:val="tx1"/>
                  </w14:solidFill>
                </w14:textFill>
              </w:rPr>
              <w:t>钻井废水、</w:t>
            </w:r>
            <w:r>
              <w:rPr>
                <w:rFonts w:hint="default" w:ascii="Times New Roman" w:hAnsi="Times New Roman" w:cs="Times New Roman"/>
                <w:color w:val="000000" w:themeColor="text1"/>
                <w:spacing w:val="-4"/>
                <w:szCs w:val="22"/>
                <w:highlight w:val="none"/>
                <w:lang w:val="en-US" w:eastAsia="zh-CN"/>
                <w14:textFill>
                  <w14:solidFill>
                    <w14:schemeClr w14:val="tx1"/>
                  </w14:solidFill>
                </w14:textFill>
              </w:rPr>
              <w:t>初期雨水、</w:t>
            </w:r>
            <w:r>
              <w:rPr>
                <w:rFonts w:hint="default" w:ascii="Times New Roman" w:hAnsi="Times New Roman" w:cs="Times New Roman"/>
                <w:color w:val="000000" w:themeColor="text1"/>
                <w:spacing w:val="-4"/>
                <w:szCs w:val="22"/>
                <w:highlight w:val="none"/>
                <w:lang w:eastAsia="zh-CN"/>
                <w14:textFill>
                  <w14:solidFill>
                    <w14:schemeClr w14:val="tx1"/>
                  </w14:solidFill>
                </w14:textFill>
              </w:rPr>
              <w:t>洗井废水、压裂返排液收集后</w:t>
            </w:r>
            <w:r>
              <w:rPr>
                <w:rFonts w:hint="default" w:ascii="Times New Roman" w:hAnsi="Times New Roman" w:cs="Times New Roman"/>
                <w:color w:val="000000" w:themeColor="text1"/>
                <w:spacing w:val="-4"/>
                <w:szCs w:val="22"/>
                <w:highlight w:val="none"/>
                <w:lang w:val="en-US" w:eastAsia="zh-CN"/>
                <w14:textFill>
                  <w14:solidFill>
                    <w14:schemeClr w14:val="tx1"/>
                  </w14:solidFill>
                </w14:textFill>
              </w:rPr>
              <w:t>尽量回用，</w:t>
            </w:r>
            <w:r>
              <w:rPr>
                <w:rFonts w:hint="default" w:ascii="Times New Roman" w:hAnsi="Times New Roman" w:cs="Times New Roman"/>
                <w:color w:val="000000" w:themeColor="text1"/>
                <w:szCs w:val="24"/>
                <w:highlight w:val="none"/>
                <w:lang w:val="en-US" w:eastAsia="zh-CN"/>
                <w14:textFill>
                  <w14:solidFill>
                    <w14:schemeClr w14:val="tx1"/>
                  </w14:solidFill>
                </w14:textFill>
              </w:rPr>
              <w:t>剩余不能回用部分暂存于清洁生产操作平台的废水罐内，定期装车拉运至赵家坝污水处理站处理达标后经普光11井回注站回注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264" w:type="dxa"/>
            <w:vAlign w:val="center"/>
          </w:tcPr>
          <w:p>
            <w:pPr>
              <w:pStyle w:val="295"/>
              <w:rPr>
                <w:rFonts w:hint="eastAsia" w:ascii="Times New Roman" w:hAnsi="Times New Roman" w:eastAsia="宋体" w:cs="Times New Roman"/>
                <w:color w:val="000000" w:themeColor="text1"/>
                <w:szCs w:val="22"/>
                <w:highlight w:val="none"/>
                <w:lang w:eastAsia="zh-CN"/>
                <w14:textFill>
                  <w14:solidFill>
                    <w14:schemeClr w14:val="tx1"/>
                  </w14:solidFill>
                </w14:textFill>
              </w:rPr>
            </w:pPr>
            <w:r>
              <w:rPr>
                <w:rFonts w:hint="eastAsia" w:ascii="Times New Roman" w:hAnsi="Times New Roman" w:cs="Times New Roman"/>
                <w:color w:val="000000" w:themeColor="text1"/>
                <w:szCs w:val="22"/>
                <w:highlight w:val="none"/>
                <w:lang w:eastAsia="zh-CN"/>
                <w14:textFill>
                  <w14:solidFill>
                    <w14:schemeClr w14:val="tx1"/>
                  </w14:solidFill>
                </w14:textFill>
              </w:rPr>
              <w:t>场地初期雨水</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4"/>
                <w:szCs w:val="22"/>
                <w:highlight w:val="none"/>
                <w:lang w:eastAsia="zh-CN"/>
                <w14:textFill>
                  <w14:solidFill>
                    <w14:schemeClr w14:val="tx1"/>
                  </w14:solidFill>
                </w14:textFill>
              </w:rPr>
              <w:t>井场清污分流，井场四周设置排水沟，并设置集污坑，雨水</w:t>
            </w:r>
            <w:r>
              <w:rPr>
                <w:rFonts w:hint="default" w:ascii="Times New Roman" w:hAnsi="Times New Roman" w:cs="Times New Roman"/>
                <w:color w:val="000000" w:themeColor="text1"/>
                <w:spacing w:val="-2"/>
                <w:szCs w:val="22"/>
                <w:highlight w:val="none"/>
                <w:lang w:eastAsia="zh-CN"/>
                <w14:textFill>
                  <w14:solidFill>
                    <w14:schemeClr w14:val="tx1"/>
                  </w14:solidFill>
                </w14:textFill>
              </w:rPr>
              <w:t>依靠井站设置的地面坡度，就地散排至排水沟，排出场外。</w:t>
            </w:r>
            <w:r>
              <w:rPr>
                <w:rFonts w:hint="default" w:ascii="Times New Roman" w:hAnsi="Times New Roman" w:cs="Times New Roman"/>
                <w:color w:val="000000" w:themeColor="text1"/>
                <w:spacing w:val="-4"/>
                <w:szCs w:val="22"/>
                <w:highlight w:val="none"/>
                <w:lang w:eastAsia="zh-CN"/>
                <w14:textFill>
                  <w14:solidFill>
                    <w14:schemeClr w14:val="tx1"/>
                  </w14:solidFill>
                </w14:textFill>
              </w:rPr>
              <w:t>若场内雨水被污染流入外环沟，则需封闭外环沟由作业队伍</w:t>
            </w:r>
            <w:r>
              <w:rPr>
                <w:rFonts w:hint="default" w:ascii="Times New Roman" w:hAnsi="Times New Roman" w:cs="Times New Roman"/>
                <w:color w:val="000000" w:themeColor="text1"/>
                <w:szCs w:val="22"/>
                <w:highlight w:val="none"/>
                <w:lang w:eastAsia="zh-CN"/>
                <w14:textFill>
                  <w14:solidFill>
                    <w14:schemeClr w14:val="tx1"/>
                  </w14:solidFill>
                </w14:textFill>
              </w:rPr>
              <w:t>从集水坑抽汲至废水收集罐或放喷池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264" w:type="dxa"/>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生活污水</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4"/>
                <w:szCs w:val="22"/>
                <w:highlight w:val="none"/>
                <w:lang w:eastAsia="zh-CN"/>
                <w14:textFill>
                  <w14:solidFill>
                    <w14:schemeClr w14:val="tx1"/>
                  </w14:solidFill>
                </w14:textFill>
              </w:rPr>
              <w:t>经生态厕所收集后定期由密闭罐车拉运至周边生活污水处理厂处理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817" w:type="dxa"/>
            <w:gridSpan w:val="2"/>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地下水</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按要求分区防渗；按要求进行跟踪监测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Merge w:val="restart"/>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废气</w:t>
            </w:r>
          </w:p>
        </w:tc>
        <w:tc>
          <w:tcPr>
            <w:tcW w:w="1264" w:type="dxa"/>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施工扬尘</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2"/>
                <w:szCs w:val="22"/>
                <w:highlight w:val="none"/>
                <w:lang w:eastAsia="zh-CN"/>
                <w14:textFill>
                  <w14:solidFill>
                    <w14:schemeClr w14:val="tx1"/>
                  </w14:solidFill>
                </w14:textFill>
              </w:rPr>
              <w:t>施工场地围挡、洒水，运输车辆覆盖篷布，施工营地内设</w:t>
            </w:r>
            <w:r>
              <w:rPr>
                <w:rFonts w:hint="default" w:ascii="Times New Roman" w:hAnsi="Times New Roman" w:cs="Times New Roman"/>
                <w:color w:val="000000" w:themeColor="text1"/>
                <w:szCs w:val="22"/>
                <w:highlight w:val="none"/>
                <w:lang w:eastAsia="zh-CN"/>
                <w14:textFill>
                  <w14:solidFill>
                    <w14:schemeClr w14:val="tx1"/>
                  </w14:solidFill>
                </w14:textFill>
              </w:rPr>
              <w:t>1套车辆冲洗装置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264"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备用柴油发电机尾气</w:t>
            </w:r>
          </w:p>
        </w:tc>
        <w:tc>
          <w:tcPr>
            <w:tcW w:w="5555" w:type="dxa"/>
            <w:vAlign w:val="center"/>
          </w:tcPr>
          <w:p>
            <w:pPr>
              <w:pStyle w:val="295"/>
              <w:jc w:val="left"/>
              <w:rPr>
                <w:rFonts w:hint="default" w:ascii="Times New Roman" w:hAnsi="Times New Roman" w:cs="Times New Roman"/>
                <w:color w:val="000000" w:themeColor="text1"/>
                <w:spacing w:val="-2"/>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仅在网电无法使用时使用，自带消烟除尘装置处理后6m高排气筒排放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264" w:type="dxa"/>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钻井废气、测试</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4"/>
                <w:szCs w:val="22"/>
                <w:highlight w:val="none"/>
                <w:lang w:eastAsia="zh-CN"/>
                <w14:textFill>
                  <w14:solidFill>
                    <w14:schemeClr w14:val="tx1"/>
                  </w14:solidFill>
                </w14:textFill>
              </w:rPr>
              <w:t>采用地面灼烧处理，建设放喷设施（套）、放喷池等，无固定、长期污染源，通过区域环境质量监测确保区域环境功能</w:t>
            </w:r>
            <w:r>
              <w:rPr>
                <w:rFonts w:hint="default" w:ascii="Times New Roman" w:hAnsi="Times New Roman" w:cs="Times New Roman"/>
                <w:color w:val="000000" w:themeColor="text1"/>
                <w:szCs w:val="22"/>
                <w:highlight w:val="none"/>
                <w:lang w:eastAsia="zh-CN"/>
                <w14:textFill>
                  <w14:solidFill>
                    <w14:schemeClr w14:val="tx1"/>
                  </w14:solidFill>
                </w14:textFill>
              </w:rPr>
              <w:t>未发生改变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264" w:type="dxa"/>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水基钻井固废</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3"/>
                <w:szCs w:val="22"/>
                <w:highlight w:val="none"/>
                <w:lang w:eastAsia="zh-CN"/>
                <w14:textFill>
                  <w14:solidFill>
                    <w14:schemeClr w14:val="tx1"/>
                  </w14:solidFill>
                </w14:textFill>
              </w:rPr>
              <w:t>经泥浆不落地工艺进行固液分离后定期用密闭罐车就近交给依法取得生态环境部门关于利用和处置相关工业固体废物项目环评批复、具有处理处置相应固体废物能力并配套建设有废气、废水、固废等污染物治理设施的单位进行资源化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264"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生活垃圾</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按当地环卫部门要求妥善处理，现场无遗留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264" w:type="dxa"/>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废包装材料</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回收利用或送当地废品回收站，现场无遗留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264"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废油</w:t>
            </w:r>
            <w:r>
              <w:rPr>
                <w:rFonts w:hint="default" w:ascii="Times New Roman" w:hAnsi="Times New Roman" w:cs="Times New Roman"/>
                <w:color w:val="000000" w:themeColor="text1"/>
                <w:szCs w:val="22"/>
                <w:highlight w:val="none"/>
                <w:lang w:eastAsia="zh-CN"/>
                <w14:textFill>
                  <w14:solidFill>
                    <w14:schemeClr w14:val="tx1"/>
                  </w14:solidFill>
                </w14:textFill>
              </w:rPr>
              <w:t>等含油固废</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4"/>
                <w:szCs w:val="22"/>
                <w:highlight w:val="none"/>
                <w:lang w:eastAsia="zh-CN"/>
                <w14:textFill>
                  <w14:solidFill>
                    <w14:schemeClr w14:val="tx1"/>
                  </w14:solidFill>
                </w14:textFill>
              </w:rPr>
              <w:t>收集并综合利用，若不能全部回用，剩余废油和废油桶、含油抹布手套一起交有</w:t>
            </w:r>
            <w:r>
              <w:rPr>
                <w:rFonts w:hint="default" w:ascii="Times New Roman" w:hAnsi="Times New Roman" w:cs="Times New Roman"/>
                <w:color w:val="000000" w:themeColor="text1"/>
                <w:szCs w:val="22"/>
                <w:highlight w:val="none"/>
                <w:lang w:eastAsia="zh-CN"/>
                <w14:textFill>
                  <w14:solidFill>
                    <w14:schemeClr w14:val="tx1"/>
                  </w14:solidFill>
                </w14:textFill>
              </w:rPr>
              <w:t>资质的单位进行处理，现场无遗留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264" w:type="dxa"/>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施工废料</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4"/>
                <w:szCs w:val="22"/>
                <w:highlight w:val="none"/>
                <w:lang w:eastAsia="zh-CN"/>
                <w14:textFill>
                  <w14:solidFill>
                    <w14:schemeClr w14:val="tx1"/>
                  </w14:solidFill>
                </w14:textFill>
              </w:rPr>
              <w:t>可回收利用部分收集后回用，剩余不可回收部分依托当地环</w:t>
            </w:r>
            <w:r>
              <w:rPr>
                <w:rFonts w:hint="default" w:ascii="Times New Roman" w:hAnsi="Times New Roman" w:cs="Times New Roman"/>
                <w:color w:val="000000" w:themeColor="text1"/>
                <w:szCs w:val="22"/>
                <w:highlight w:val="none"/>
                <w:lang w:eastAsia="zh-CN"/>
                <w14:textFill>
                  <w14:solidFill>
                    <w14:schemeClr w14:val="tx1"/>
                  </w14:solidFill>
                </w14:textFill>
              </w:rPr>
              <w:t>卫部门有偿清运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553" w:type="dxa"/>
            <w:vAlign w:val="center"/>
          </w:tcPr>
          <w:p>
            <w:pPr>
              <w:pStyle w:val="295"/>
              <w:rPr>
                <w:rFonts w:hint="default" w:ascii="Times New Roman" w:hAnsi="Times New Roman" w:cs="Times New Roman"/>
                <w:color w:val="000000" w:themeColor="text1"/>
                <w:szCs w:val="22"/>
                <w:highlight w:val="none"/>
                <w:lang w:eastAsia="en-US"/>
                <w14:textFill>
                  <w14:solidFill>
                    <w14:schemeClr w14:val="tx1"/>
                  </w14:solidFill>
                </w14:textFill>
              </w:rPr>
            </w:pPr>
            <w:r>
              <w:rPr>
                <w:rFonts w:hint="default" w:ascii="Times New Roman" w:hAnsi="Times New Roman" w:cs="Times New Roman"/>
                <w:color w:val="000000" w:themeColor="text1"/>
                <w:szCs w:val="22"/>
                <w:highlight w:val="none"/>
                <w:lang w:eastAsia="en-US"/>
                <w14:textFill>
                  <w14:solidFill>
                    <w14:schemeClr w14:val="tx1"/>
                  </w14:solidFill>
                </w14:textFill>
              </w:rPr>
              <w:t>噪声</w:t>
            </w:r>
          </w:p>
        </w:tc>
        <w:tc>
          <w:tcPr>
            <w:tcW w:w="1264"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钻井、压裂及测试放喷噪声</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pacing w:val="-4"/>
                <w:szCs w:val="22"/>
                <w:highlight w:val="none"/>
                <w:lang w:eastAsia="zh-CN"/>
                <w14:textFill>
                  <w14:solidFill>
                    <w14:schemeClr w14:val="tx1"/>
                  </w14:solidFill>
                </w14:textFill>
              </w:rPr>
              <w:t>备用发电机设置发电机房，采用特殊的减震，并安装吸声材料；为钻机提供动力的柴油机安装消声</w:t>
            </w:r>
            <w:r>
              <w:rPr>
                <w:rFonts w:hint="default" w:ascii="Times New Roman" w:hAnsi="Times New Roman" w:cs="Times New Roman"/>
                <w:color w:val="000000" w:themeColor="text1"/>
                <w:spacing w:val="-2"/>
                <w:szCs w:val="22"/>
                <w:highlight w:val="none"/>
                <w:lang w:eastAsia="zh-CN"/>
                <w14:textFill>
                  <w14:solidFill>
                    <w14:schemeClr w14:val="tx1"/>
                  </w14:solidFill>
                </w14:textFill>
              </w:rPr>
              <w:t>装置和设置减震基础；钻井设备、泥浆泵基础设置减震垫；</w:t>
            </w:r>
            <w:r>
              <w:rPr>
                <w:rFonts w:hint="default" w:ascii="Times New Roman" w:hAnsi="Times New Roman" w:cs="Times New Roman"/>
                <w:color w:val="000000" w:themeColor="text1"/>
                <w:spacing w:val="-55"/>
                <w:szCs w:val="22"/>
                <w:highlight w:val="none"/>
                <w:lang w:eastAsia="zh-CN"/>
                <w14:textFill>
                  <w14:solidFill>
                    <w14:schemeClr w14:val="tx1"/>
                  </w14:solidFill>
                </w14:textFill>
              </w:rPr>
              <w:t xml:space="preserve"> </w:t>
            </w:r>
            <w:r>
              <w:rPr>
                <w:rFonts w:hint="default" w:ascii="Times New Roman" w:hAnsi="Times New Roman" w:cs="Times New Roman"/>
                <w:color w:val="000000" w:themeColor="text1"/>
                <w:spacing w:val="-4"/>
                <w:szCs w:val="22"/>
                <w:highlight w:val="none"/>
                <w:lang w:eastAsia="zh-CN"/>
                <w14:textFill>
                  <w14:solidFill>
                    <w14:schemeClr w14:val="tx1"/>
                  </w14:solidFill>
                </w14:textFill>
              </w:rPr>
              <w:t>空压机和增压机安装在房间内，隔声并安装减震垫层等防治</w:t>
            </w:r>
            <w:r>
              <w:rPr>
                <w:rFonts w:hint="default" w:ascii="Times New Roman" w:hAnsi="Times New Roman" w:cs="Times New Roman"/>
                <w:color w:val="000000" w:themeColor="text1"/>
                <w:szCs w:val="22"/>
                <w:highlight w:val="none"/>
                <w:lang w:eastAsia="zh-CN"/>
                <w14:textFill>
                  <w14:solidFill>
                    <w14:schemeClr w14:val="tx1"/>
                  </w14:solidFill>
                </w14:textFill>
              </w:rPr>
              <w:t>措施，做好沟通协调工作，取得居民谅解，避免噪声扰民和环保投诉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restart"/>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生态保护措施</w:t>
            </w:r>
          </w:p>
        </w:tc>
        <w:tc>
          <w:tcPr>
            <w:tcW w:w="1817" w:type="dxa"/>
            <w:gridSpan w:val="2"/>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表土堆场</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按照要求设置表土堆场，将施工期井场工程产生的表土集中堆放，用于结束后的覆土、复耕工作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817" w:type="dxa"/>
            <w:gridSpan w:val="2"/>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场地水土流失控制措施</w:t>
            </w:r>
          </w:p>
        </w:tc>
        <w:tc>
          <w:tcPr>
            <w:tcW w:w="555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井场表面铺一层碎石有效地防止雨水冲刷、场地四周修建排 水沟（已硬化区域除外）；道路沿线修建可靠的护坡、堡坎、排水沟等水保措施；工程施工迹地进行恢复；管道开挖后的临时占地进行恢复</w:t>
            </w:r>
          </w:p>
        </w:tc>
      </w:tr>
    </w:tbl>
    <w:p>
      <w:pPr>
        <w:pStyle w:val="201"/>
        <w:spacing w:before="120"/>
        <w:rPr>
          <w:rFonts w:hint="default" w:ascii="Times New Roman" w:hAnsi="Times New Roman" w:cs="Times New Roman"/>
          <w:color w:val="000000" w:themeColor="text1"/>
          <w:highlight w:val="none"/>
          <w14:textFill>
            <w14:solidFill>
              <w14:schemeClr w14:val="tx1"/>
            </w14:solidFill>
          </w14:textFill>
        </w:rPr>
      </w:pPr>
    </w:p>
    <w:p>
      <w:pPr>
        <w:pStyle w:val="201"/>
        <w:spacing w:before="12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STYLEREF 2 \s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10.5</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noBreakHyphen/>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SEQ 表 \* ARABIC \s 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 xml:space="preserve"> 试采期竣工环保验收措施及要求一览表</w:t>
      </w:r>
    </w:p>
    <w:tbl>
      <w:tblPr>
        <w:tblStyle w:val="90"/>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63"/>
        <w:gridCol w:w="714"/>
        <w:gridCol w:w="1100"/>
        <w:gridCol w:w="5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863" w:type="dxa"/>
            <w:vAlign w:val="center"/>
          </w:tcPr>
          <w:p>
            <w:pPr>
              <w:pStyle w:val="295"/>
              <w:rPr>
                <w:rFonts w:hint="default" w:ascii="Times New Roman" w:hAnsi="Times New Roman" w:cs="Times New Roman"/>
                <w:b/>
                <w:bCs/>
                <w:color w:val="000000" w:themeColor="text1"/>
                <w:szCs w:val="22"/>
                <w:highlight w:val="none"/>
                <w:lang w:eastAsia="zh-CN"/>
                <w14:textFill>
                  <w14:solidFill>
                    <w14:schemeClr w14:val="tx1"/>
                  </w14:solidFill>
                </w14:textFill>
              </w:rPr>
            </w:pPr>
            <w:r>
              <w:rPr>
                <w:rFonts w:hint="default" w:ascii="Times New Roman" w:hAnsi="Times New Roman" w:cs="Times New Roman"/>
                <w:b/>
                <w:bCs/>
                <w:color w:val="000000" w:themeColor="text1"/>
                <w:szCs w:val="22"/>
                <w:highlight w:val="none"/>
                <w:lang w:eastAsia="zh-CN"/>
                <w14:textFill>
                  <w14:solidFill>
                    <w14:schemeClr w14:val="tx1"/>
                  </w14:solidFill>
                </w14:textFill>
              </w:rPr>
              <w:t>分项</w:t>
            </w:r>
          </w:p>
        </w:tc>
        <w:tc>
          <w:tcPr>
            <w:tcW w:w="1814" w:type="dxa"/>
            <w:gridSpan w:val="2"/>
            <w:vAlign w:val="center"/>
          </w:tcPr>
          <w:p>
            <w:pPr>
              <w:pStyle w:val="295"/>
              <w:rPr>
                <w:rFonts w:hint="default" w:ascii="Times New Roman" w:hAnsi="Times New Roman" w:cs="Times New Roman"/>
                <w:b/>
                <w:bCs/>
                <w:color w:val="000000" w:themeColor="text1"/>
                <w:szCs w:val="22"/>
                <w:highlight w:val="none"/>
                <w:lang w:eastAsia="zh-CN"/>
                <w14:textFill>
                  <w14:solidFill>
                    <w14:schemeClr w14:val="tx1"/>
                  </w14:solidFill>
                </w14:textFill>
              </w:rPr>
            </w:pPr>
            <w:r>
              <w:rPr>
                <w:rFonts w:hint="default" w:ascii="Times New Roman" w:hAnsi="Times New Roman" w:cs="Times New Roman"/>
                <w:b/>
                <w:bCs/>
                <w:color w:val="000000" w:themeColor="text1"/>
                <w:szCs w:val="22"/>
                <w:highlight w:val="none"/>
                <w:lang w:eastAsia="zh-CN"/>
                <w14:textFill>
                  <w14:solidFill>
                    <w14:schemeClr w14:val="tx1"/>
                  </w14:solidFill>
                </w14:textFill>
              </w:rPr>
              <w:t>验收项目及位置</w:t>
            </w:r>
          </w:p>
        </w:tc>
        <w:tc>
          <w:tcPr>
            <w:tcW w:w="5545" w:type="dxa"/>
            <w:vAlign w:val="center"/>
          </w:tcPr>
          <w:p>
            <w:pPr>
              <w:pStyle w:val="295"/>
              <w:rPr>
                <w:rFonts w:hint="default" w:ascii="Times New Roman" w:hAnsi="Times New Roman" w:cs="Times New Roman"/>
                <w:b/>
                <w:bCs/>
                <w:color w:val="000000" w:themeColor="text1"/>
                <w:szCs w:val="22"/>
                <w:highlight w:val="none"/>
                <w:lang w:eastAsia="zh-CN"/>
                <w14:textFill>
                  <w14:solidFill>
                    <w14:schemeClr w14:val="tx1"/>
                  </w14:solidFill>
                </w14:textFill>
              </w:rPr>
            </w:pPr>
            <w:r>
              <w:rPr>
                <w:rFonts w:hint="default" w:ascii="Times New Roman" w:hAnsi="Times New Roman" w:cs="Times New Roman"/>
                <w:b/>
                <w:bCs/>
                <w:color w:val="000000" w:themeColor="text1"/>
                <w:szCs w:val="22"/>
                <w:highlight w:val="none"/>
                <w:lang w:eastAsia="zh-CN"/>
                <w14:textFill>
                  <w14:solidFill>
                    <w14:schemeClr w14:val="tx1"/>
                  </w14:solidFill>
                </w14:textFill>
              </w:rPr>
              <w:t>验收指标及要求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restart"/>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环境管理</w:t>
            </w:r>
          </w:p>
        </w:tc>
        <w:tc>
          <w:tcPr>
            <w:tcW w:w="1814" w:type="dxa"/>
            <w:gridSpan w:val="2"/>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环境管理制度</w:t>
            </w:r>
          </w:p>
        </w:tc>
        <w:tc>
          <w:tcPr>
            <w:tcW w:w="5545"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具有环保机构，环保资料和档案齐全。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814" w:type="dxa"/>
            <w:gridSpan w:val="2"/>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环境风险管理</w:t>
            </w:r>
          </w:p>
        </w:tc>
        <w:tc>
          <w:tcPr>
            <w:tcW w:w="554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具备符合行业规范和环评要求的环境风险应急预案并定期培训、演练，建立与当地村、乡镇、县相关部门联动机制。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restart"/>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污染防治措施</w:t>
            </w:r>
          </w:p>
        </w:tc>
        <w:tc>
          <w:tcPr>
            <w:tcW w:w="714"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废水</w:t>
            </w:r>
          </w:p>
        </w:tc>
        <w:tc>
          <w:tcPr>
            <w:tcW w:w="1100"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气田水</w:t>
            </w:r>
            <w:r>
              <w:rPr>
                <w:rFonts w:hint="default" w:ascii="Times New Roman" w:hAnsi="Times New Roman" w:cs="Times New Roman"/>
                <w:color w:val="000000" w:themeColor="text1"/>
                <w:szCs w:val="21"/>
                <w:highlight w:val="none"/>
                <w:lang w:eastAsia="zh-CN"/>
                <w14:textFill>
                  <w14:solidFill>
                    <w14:schemeClr w14:val="tx1"/>
                  </w14:solidFill>
                </w14:textFill>
              </w:rPr>
              <w:t>（含初期压裂返排液）</w:t>
            </w:r>
          </w:p>
        </w:tc>
        <w:tc>
          <w:tcPr>
            <w:tcW w:w="554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依托P106集气站内火炬分液罐暂存后及时通过密闭罐车拉运至赵家坝污水处理站达标后管输至普光11井回注站回注，不排入附近地表水体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1814" w:type="dxa"/>
            <w:gridSpan w:val="2"/>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地下水</w:t>
            </w:r>
          </w:p>
        </w:tc>
        <w:tc>
          <w:tcPr>
            <w:tcW w:w="554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按要求分区防渗；按要求进行跟踪监测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714"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废气</w:t>
            </w:r>
          </w:p>
        </w:tc>
        <w:tc>
          <w:tcPr>
            <w:tcW w:w="1100"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放散废气</w:t>
            </w:r>
          </w:p>
        </w:tc>
        <w:tc>
          <w:tcPr>
            <w:tcW w:w="554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依托P106集气站设置的60m高的放空火炬点火燃烧后外排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3" w:type="dxa"/>
            <w:vMerge w:val="continue"/>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p>
        </w:tc>
        <w:tc>
          <w:tcPr>
            <w:tcW w:w="714"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噪声</w:t>
            </w:r>
          </w:p>
        </w:tc>
        <w:tc>
          <w:tcPr>
            <w:tcW w:w="1100"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试采期噪声</w:t>
            </w:r>
          </w:p>
        </w:tc>
        <w:tc>
          <w:tcPr>
            <w:tcW w:w="554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 xml:space="preserve">泵机组和电机处设隔声罩，厂界噪声满足《工业企业厂界环 境噪声排放标准》（GB12348-2008）2类标准要求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3" w:type="dxa"/>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生态保护措施</w:t>
            </w:r>
          </w:p>
        </w:tc>
        <w:tc>
          <w:tcPr>
            <w:tcW w:w="1814" w:type="dxa"/>
            <w:gridSpan w:val="2"/>
            <w:vAlign w:val="center"/>
          </w:tcPr>
          <w:p>
            <w:pPr>
              <w:pStyle w:val="295"/>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临时占地恢复</w:t>
            </w:r>
          </w:p>
        </w:tc>
        <w:tc>
          <w:tcPr>
            <w:tcW w:w="5545" w:type="dxa"/>
            <w:vAlign w:val="center"/>
          </w:tcPr>
          <w:p>
            <w:pPr>
              <w:pStyle w:val="295"/>
              <w:jc w:val="left"/>
              <w:rPr>
                <w:rFonts w:hint="default" w:ascii="Times New Roman" w:hAnsi="Times New Roman" w:cs="Times New Roman"/>
                <w:color w:val="000000" w:themeColor="text1"/>
                <w:szCs w:val="22"/>
                <w:highlight w:val="none"/>
                <w:lang w:eastAsia="zh-CN"/>
                <w14:textFill>
                  <w14:solidFill>
                    <w14:schemeClr w14:val="tx1"/>
                  </w14:solidFill>
                </w14:textFill>
              </w:rPr>
            </w:pPr>
            <w:r>
              <w:rPr>
                <w:rFonts w:hint="default" w:ascii="Times New Roman" w:hAnsi="Times New Roman" w:cs="Times New Roman"/>
                <w:color w:val="000000" w:themeColor="text1"/>
                <w:szCs w:val="22"/>
                <w:highlight w:val="none"/>
                <w:lang w:eastAsia="zh-CN"/>
                <w14:textFill>
                  <w14:solidFill>
                    <w14:schemeClr w14:val="tx1"/>
                  </w14:solidFill>
                </w14:textFill>
              </w:rPr>
              <w:t>本项目针对临时占地，将在施工结束后立即对施工期生活区进行复垦</w:t>
            </w:r>
          </w:p>
        </w:tc>
      </w:tr>
    </w:tbl>
    <w:p>
      <w:pPr>
        <w:pStyle w:val="2"/>
        <w:spacing w:before="480" w:beforeLines="200" w:after="0" w:line="480" w:lineRule="auto"/>
        <w:ind w:firstLine="560"/>
        <w:rPr>
          <w:rFonts w:hint="default" w:ascii="Times New Roman" w:hAnsi="Times New Roman" w:cs="Times New Roman"/>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pPr>
      <w:bookmarkStart w:id="523" w:name="_bookmark47"/>
      <w:bookmarkEnd w:id="523"/>
      <w:bookmarkStart w:id="524" w:name="第十章_结论与建议"/>
      <w:bookmarkEnd w:id="524"/>
    </w:p>
    <w:p>
      <w:pPr>
        <w:pStyle w:val="2"/>
        <w:rPr>
          <w:rFonts w:hint="default" w:ascii="Times New Roman" w:hAnsi="Times New Roman" w:cs="Times New Roman"/>
          <w:b/>
          <w:color w:val="000000" w:themeColor="text1"/>
          <w:highlight w:val="none"/>
          <w:lang w:eastAsia="zh-CN"/>
          <w14:textFill>
            <w14:solidFill>
              <w14:schemeClr w14:val="tx1"/>
            </w14:solidFill>
          </w14:textFill>
        </w:rPr>
      </w:pPr>
      <w:bookmarkStart w:id="525" w:name="_Toc25172"/>
      <w:r>
        <w:rPr>
          <w:rFonts w:hint="default" w:ascii="Times New Roman" w:hAnsi="Times New Roman" w:cs="Times New Roman"/>
          <w:color w:val="000000" w:themeColor="text1"/>
          <w:highlight w:val="none"/>
          <w:lang w:eastAsia="zh-CN"/>
          <w14:textFill>
            <w14:solidFill>
              <w14:schemeClr w14:val="tx1"/>
            </w14:solidFill>
          </w14:textFill>
        </w:rPr>
        <w:t>结论与建议</w:t>
      </w:r>
      <w:bookmarkEnd w:id="525"/>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26" w:name="10.1项目概况"/>
      <w:bookmarkEnd w:id="526"/>
      <w:bookmarkStart w:id="527" w:name="_bookmark48"/>
      <w:bookmarkEnd w:id="527"/>
      <w:bookmarkStart w:id="528" w:name="_Toc19720"/>
      <w:r>
        <w:rPr>
          <w:rFonts w:hint="default" w:ascii="Times New Roman" w:hAnsi="Times New Roman" w:cs="Times New Roman"/>
          <w:color w:val="000000" w:themeColor="text1"/>
          <w:highlight w:val="none"/>
          <w:lang w:eastAsia="zh-CN"/>
          <w14:textFill>
            <w14:solidFill>
              <w14:schemeClr w14:val="tx1"/>
            </w14:solidFill>
          </w14:textFill>
        </w:rPr>
        <w:t>项目概况</w:t>
      </w:r>
      <w:bookmarkEnd w:id="528"/>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本项目位于达州市宣汉县普光镇北斗村，以</w:t>
      </w:r>
      <w:r>
        <w:rPr>
          <w:rFonts w:hint="default" w:ascii="Times New Roman" w:hAnsi="Times New Roman" w:cs="Times New Roman"/>
          <w:color w:val="000000" w:themeColor="text1"/>
          <w:szCs w:val="24"/>
          <w:highlight w:val="none"/>
          <w14:textFill>
            <w14:solidFill>
              <w14:schemeClr w14:val="tx1"/>
            </w14:solidFill>
          </w14:textFill>
        </w:rPr>
        <w:t>飞仙关组一二段</w:t>
      </w:r>
      <w:r>
        <w:rPr>
          <w:rFonts w:hint="default" w:ascii="Times New Roman" w:hAnsi="Times New Roman" w:cs="Times New Roman"/>
          <w:color w:val="000000" w:themeColor="text1"/>
          <w:highlight w:val="none"/>
          <w14:textFill>
            <w14:solidFill>
              <w14:schemeClr w14:val="tx1"/>
            </w14:solidFill>
          </w14:textFill>
        </w:rPr>
        <w:t>为主要目的层，</w:t>
      </w:r>
      <w:r>
        <w:rPr>
          <w:rFonts w:hint="default" w:ascii="Times New Roman" w:hAnsi="Times New Roman" w:cs="Times New Roman"/>
          <w:color w:val="000000" w:themeColor="text1"/>
          <w:szCs w:val="24"/>
          <w:highlight w:val="none"/>
          <w14:textFill>
            <w14:solidFill>
              <w14:schemeClr w14:val="tx1"/>
            </w14:solidFill>
          </w14:textFill>
        </w:rPr>
        <w:t>项目投产后普光106-2H侧钻井配产15×10</w:t>
      </w:r>
      <w:r>
        <w:rPr>
          <w:rFonts w:hint="default" w:ascii="Times New Roman" w:hAnsi="Times New Roman" w:cs="Times New Roman"/>
          <w:color w:val="000000" w:themeColor="text1"/>
          <w:szCs w:val="24"/>
          <w:highlight w:val="none"/>
          <w:vertAlign w:val="superscript"/>
          <w14:textFill>
            <w14:solidFill>
              <w14:schemeClr w14:val="tx1"/>
            </w14:solidFill>
          </w14:textFill>
        </w:rPr>
        <w:t>4</w:t>
      </w:r>
      <w:r>
        <w:rPr>
          <w:rFonts w:hint="default" w:ascii="Times New Roman" w:hAnsi="Times New Roman" w:cs="Times New Roman"/>
          <w:color w:val="000000" w:themeColor="text1"/>
          <w:szCs w:val="24"/>
          <w:highlight w:val="none"/>
          <w14:textFill>
            <w14:solidFill>
              <w14:schemeClr w14:val="tx1"/>
            </w14:solidFill>
          </w14:textFill>
        </w:rPr>
        <w:t>m</w:t>
      </w:r>
      <w:r>
        <w:rPr>
          <w:rFonts w:hint="default" w:ascii="Times New Roman" w:hAnsi="Times New Roman" w:cs="Times New Roman"/>
          <w:color w:val="000000" w:themeColor="text1"/>
          <w:szCs w:val="24"/>
          <w:highlight w:val="none"/>
          <w:vertAlign w:val="superscript"/>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/d</w:t>
      </w:r>
      <w:r>
        <w:rPr>
          <w:rFonts w:hint="default" w:ascii="Times New Roman" w:hAnsi="Times New Roman" w:cs="Times New Roman"/>
          <w:color w:val="000000" w:themeColor="text1"/>
          <w:highlight w:val="none"/>
          <w14:textFill>
            <w14:solidFill>
              <w14:schemeClr w14:val="tx1"/>
            </w14:solidFill>
          </w14:textFill>
        </w:rPr>
        <w:t>。</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本项目总投资</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，环保投资</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，环保投资占总投资的7.48%。</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29" w:name="_bookmark49"/>
      <w:bookmarkEnd w:id="529"/>
      <w:bookmarkStart w:id="530" w:name="10.2环境质量现状"/>
      <w:bookmarkEnd w:id="530"/>
      <w:bookmarkStart w:id="531" w:name="_Toc8829"/>
      <w:r>
        <w:rPr>
          <w:rFonts w:hint="default" w:ascii="Times New Roman" w:hAnsi="Times New Roman" w:cs="Times New Roman"/>
          <w:color w:val="000000" w:themeColor="text1"/>
          <w:highlight w:val="none"/>
          <w:lang w:eastAsia="zh-CN"/>
          <w14:textFill>
            <w14:solidFill>
              <w14:schemeClr w14:val="tx1"/>
            </w14:solidFill>
          </w14:textFill>
        </w:rPr>
        <w:t>环境质量现状</w:t>
      </w:r>
      <w:bookmarkEnd w:id="531"/>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eastAsia" w:ascii="Times New Roman" w:hAnsi="Times New Roman" w:cs="Times New Roman"/>
          <w:color w:val="000000" w:themeColor="text1"/>
          <w:szCs w:val="21"/>
          <w:highlight w:val="none"/>
          <w:lang w:val="en-US" w:eastAsia="zh-CN"/>
          <w14:textFill>
            <w14:solidFill>
              <w14:schemeClr w14:val="tx1"/>
            </w14:solidFill>
          </w14:textFill>
        </w:rPr>
        <w:t>1）大气环境</w:t>
      </w:r>
      <w:r>
        <w:rPr>
          <w:rFonts w:hint="eastAsia" w:cs="Times New Roman"/>
          <w:bCs/>
          <w:color w:val="000000" w:themeColor="text1"/>
          <w:kern w:val="2"/>
          <w:highlight w:val="none"/>
          <w:lang w:val="en-US" w:eastAsia="zh-CN"/>
          <w14:textFill>
            <w14:solidFill>
              <w14:schemeClr w14:val="tx1"/>
            </w14:solidFill>
          </w14:textFill>
        </w:rPr>
        <w:t>质量现状</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eastAsia"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根据《达州市202</w:t>
      </w:r>
      <w:r>
        <w:rPr>
          <w:rFonts w:hint="default" w:ascii="Times New Roman" w:hAnsi="Times New Roman" w:cs="Times New Roman"/>
          <w:color w:val="000000" w:themeColor="text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年环境空气质量状况》内容，宣汉县202</w:t>
      </w:r>
      <w:r>
        <w:rPr>
          <w:rFonts w:hint="default" w:ascii="Times New Roman" w:hAnsi="Times New Roman" w:cs="Times New Roman"/>
          <w:color w:val="000000" w:themeColor="text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年度主要污染物SO</w:t>
      </w:r>
      <w:r>
        <w:rPr>
          <w:rFonts w:hint="default" w:ascii="Times New Roman" w:hAnsi="Times New Roman" w:cs="Times New Roman"/>
          <w:color w:val="000000" w:themeColor="text1"/>
          <w:szCs w:val="21"/>
          <w:highlight w:val="none"/>
          <w:vertAlign w:val="sub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、NO</w:t>
      </w:r>
      <w:r>
        <w:rPr>
          <w:rFonts w:hint="default" w:ascii="Times New Roman" w:hAnsi="Times New Roman" w:cs="Times New Roman"/>
          <w:color w:val="000000" w:themeColor="text1"/>
          <w:szCs w:val="21"/>
          <w:highlight w:val="none"/>
          <w:vertAlign w:val="sub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、PM</w:t>
      </w:r>
      <w:r>
        <w:rPr>
          <w:rFonts w:hint="default" w:ascii="Times New Roman" w:hAnsi="Times New Roman" w:cs="Times New Roman"/>
          <w:color w:val="000000" w:themeColor="text1"/>
          <w:szCs w:val="21"/>
          <w:highlight w:val="none"/>
          <w:vertAlign w:val="subscript"/>
          <w14:textFill>
            <w14:solidFill>
              <w14:schemeClr w14:val="tx1"/>
            </w14:solidFill>
          </w14:textFill>
        </w:rPr>
        <w:t>10</w:t>
      </w:r>
      <w:r>
        <w:rPr>
          <w:rFonts w:hint="default" w:ascii="Times New Roman" w:hAnsi="Times New Roman" w:cs="Times New Roman"/>
          <w:color w:val="000000" w:themeColor="text1"/>
          <w:szCs w:val="21"/>
          <w:highlight w:val="none"/>
          <w14:textFill>
            <w14:solidFill>
              <w14:schemeClr w14:val="tx1"/>
            </w14:solidFill>
          </w14:textFill>
        </w:rPr>
        <w:t>、PM</w:t>
      </w:r>
      <w:r>
        <w:rPr>
          <w:rFonts w:hint="default" w:ascii="Times New Roman" w:hAnsi="Times New Roman" w:cs="Times New Roman"/>
          <w:color w:val="000000" w:themeColor="text1"/>
          <w:szCs w:val="21"/>
          <w:highlight w:val="none"/>
          <w:vertAlign w:val="subscript"/>
          <w14:textFill>
            <w14:solidFill>
              <w14:schemeClr w14:val="tx1"/>
            </w14:solidFill>
          </w14:textFill>
        </w:rPr>
        <w:t>2.5</w:t>
      </w:r>
      <w:r>
        <w:rPr>
          <w:rFonts w:hint="default" w:ascii="Times New Roman" w:hAnsi="Times New Roman" w:cs="Times New Roman"/>
          <w:color w:val="000000" w:themeColor="text1"/>
          <w:szCs w:val="21"/>
          <w:highlight w:val="none"/>
          <w14:textFill>
            <w14:solidFill>
              <w14:schemeClr w14:val="tx1"/>
            </w14:solidFill>
          </w14:textFill>
        </w:rPr>
        <w:t>、CO、O</w:t>
      </w:r>
      <w:r>
        <w:rPr>
          <w:rFonts w:hint="default" w:ascii="Times New Roman" w:hAnsi="Times New Roman" w:cs="Times New Roman"/>
          <w:color w:val="000000" w:themeColor="text1"/>
          <w:szCs w:val="21"/>
          <w:highlight w:val="none"/>
          <w:vertAlign w:val="subscript"/>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均满足《环境空气质量标准》（GB3095-2012）二级标准要求，按《环境影响评价技术导则 大气环境》（HJ2.2-2018）区域达标判断标准，宣汉县202</w:t>
      </w:r>
      <w:r>
        <w:rPr>
          <w:rFonts w:hint="default" w:ascii="Times New Roman" w:hAnsi="Times New Roman" w:cs="Times New Roman"/>
          <w:color w:val="000000" w:themeColor="text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年度区域环境空气质量为达标区</w:t>
      </w:r>
      <w:r>
        <w:rPr>
          <w:rFonts w:hint="eastAsia" w:ascii="Times New Roman" w:hAnsi="Times New Roman" w:cs="Times New Roman"/>
          <w:color w:val="000000" w:themeColor="text1"/>
          <w:szCs w:val="21"/>
          <w:highlight w:val="none"/>
          <w:lang w:eastAsia="zh-CN"/>
          <w14:textFill>
            <w14:solidFill>
              <w14:schemeClr w14:val="tx1"/>
            </w14:solidFill>
          </w14:textFill>
        </w:rPr>
        <w:t>；</w:t>
      </w:r>
      <w:r>
        <w:rPr>
          <w:rFonts w:hint="eastAsia" w:ascii="Times New Roman" w:hAnsi="Times New Roman" w:cs="Times New Roman"/>
          <w:color w:val="000000" w:themeColor="text1"/>
          <w:szCs w:val="21"/>
          <w:highlight w:val="none"/>
          <w:lang w:val="en-US" w:eastAsia="zh-CN"/>
          <w14:textFill>
            <w14:solidFill>
              <w14:schemeClr w14:val="tx1"/>
            </w14:solidFill>
          </w14:textFill>
        </w:rPr>
        <w:t>此外，</w:t>
      </w:r>
      <w:r>
        <w:rPr>
          <w:rFonts w:hint="default" w:ascii="Times New Roman" w:hAnsi="Times New Roman" w:cs="Times New Roman"/>
          <w:color w:val="000000" w:themeColor="text1"/>
          <w:highlight w:val="none"/>
          <w:lang w:eastAsia="zh-CN"/>
          <w14:textFill>
            <w14:solidFill>
              <w14:schemeClr w14:val="tx1"/>
            </w14:solidFill>
          </w14:textFill>
        </w:rPr>
        <w:t>根据本项目环境</w:t>
      </w:r>
      <w:r>
        <w:rPr>
          <w:rFonts w:hint="eastAsia" w:ascii="Times New Roman" w:hAnsi="Times New Roman" w:cs="Times New Roman"/>
          <w:color w:val="000000" w:themeColor="text1"/>
          <w:highlight w:val="none"/>
          <w:lang w:val="en-US" w:eastAsia="zh-CN"/>
          <w14:textFill>
            <w14:solidFill>
              <w14:schemeClr w14:val="tx1"/>
            </w14:solidFill>
          </w14:textFill>
        </w:rPr>
        <w:t>质量现状</w:t>
      </w:r>
      <w:r>
        <w:rPr>
          <w:rFonts w:hint="default" w:ascii="Times New Roman" w:hAnsi="Times New Roman" w:cs="Times New Roman"/>
          <w:color w:val="000000" w:themeColor="text1"/>
          <w:highlight w:val="none"/>
          <w:lang w:eastAsia="zh-CN"/>
          <w14:textFill>
            <w14:solidFill>
              <w14:schemeClr w14:val="tx1"/>
            </w14:solidFill>
          </w14:textFill>
        </w:rPr>
        <w:t>监测结果显示，</w:t>
      </w:r>
      <w:r>
        <w:rPr>
          <w:rFonts w:hint="default" w:ascii="Times New Roman" w:hAnsi="Times New Roman" w:cs="Times New Roman"/>
          <w:color w:val="000000" w:themeColor="text1"/>
          <w:highlight w:val="none"/>
          <w14:textFill>
            <w14:solidFill>
              <w14:schemeClr w14:val="tx1"/>
            </w14:solidFill>
          </w14:textFill>
        </w:rPr>
        <w:t>本项目拟建地环境空气中特征污染物非甲烷总烃现状监测值均低于《大气污染物综合排放标准详解》浓度限值；硫化氢现状监测值均低于《环境影响评价技术导则大气环境》（HJ2.2-2018）中附录D标准限值；</w:t>
      </w:r>
      <w:r>
        <w:rPr>
          <w:rFonts w:hint="default" w:ascii="Times New Roman" w:hAnsi="Times New Roman" w:cs="Times New Roman"/>
          <w:color w:val="000000" w:themeColor="text1"/>
          <w:szCs w:val="21"/>
          <w:highlight w:val="none"/>
          <w14:textFill>
            <w14:solidFill>
              <w14:schemeClr w14:val="tx1"/>
            </w14:solidFill>
          </w14:textFill>
        </w:rPr>
        <w:t>TSP</w:t>
      </w:r>
      <w:r>
        <w:rPr>
          <w:rFonts w:hint="default" w:ascii="Times New Roman" w:hAnsi="Times New Roman" w:cs="Times New Roman"/>
          <w:color w:val="000000" w:themeColor="text1"/>
          <w:highlight w:val="none"/>
          <w14:textFill>
            <w14:solidFill>
              <w14:schemeClr w14:val="tx1"/>
            </w14:solidFill>
          </w14:textFill>
        </w:rPr>
        <w:t>现状监测值均低于</w:t>
      </w:r>
      <w:r>
        <w:rPr>
          <w:rFonts w:hint="default" w:ascii="Times New Roman" w:hAnsi="Times New Roman" w:cs="Times New Roman"/>
          <w:color w:val="000000" w:themeColor="text1"/>
          <w:szCs w:val="21"/>
          <w:highlight w:val="none"/>
          <w14:textFill>
            <w14:solidFill>
              <w14:schemeClr w14:val="tx1"/>
            </w14:solidFill>
          </w14:textFill>
        </w:rPr>
        <w:t>《环境空气质量标准》（GB3095-2012）二级标准要求</w:t>
      </w:r>
      <w:r>
        <w:rPr>
          <w:rFonts w:hint="default" w:ascii="Times New Roman" w:hAnsi="Times New Roman" w:cs="Times New Roman"/>
          <w:color w:val="000000" w:themeColor="text1"/>
          <w:highlight w:val="none"/>
          <w14:textFill>
            <w14:solidFill>
              <w14:schemeClr w14:val="tx1"/>
            </w14:solidFill>
          </w14:textFill>
        </w:rPr>
        <w:t>限值。表明区域环境空气质量现状良好</w:t>
      </w:r>
      <w:r>
        <w:rPr>
          <w:rFonts w:hint="eastAsia" w:ascii="Times New Roman" w:hAnsi="Times New Roman" w:cs="Times New Roman"/>
          <w:color w:val="000000" w:themeColor="text1"/>
          <w:highlight w:val="none"/>
          <w:lang w:eastAsia="zh-CN"/>
          <w14:textFill>
            <w14:solidFill>
              <w14:schemeClr w14:val="tx1"/>
            </w14:solidFill>
          </w14:textFill>
        </w:rPr>
        <w:t>。</w:t>
      </w:r>
    </w:p>
    <w:p>
      <w:pPr>
        <w:pageBreakBefore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2）地表水环境</w:t>
      </w:r>
      <w:r>
        <w:rPr>
          <w:rFonts w:hint="eastAsia" w:cs="Times New Roman"/>
          <w:bCs/>
          <w:color w:val="000000" w:themeColor="text1"/>
          <w:kern w:val="2"/>
          <w:highlight w:val="none"/>
          <w:lang w:val="en-US" w:eastAsia="zh-CN"/>
          <w14:textFill>
            <w14:solidFill>
              <w14:schemeClr w14:val="tx1"/>
            </w14:solidFill>
          </w14:textFill>
        </w:rPr>
        <w:t>质量现状</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eastAsia" w:ascii="Times New Roman" w:hAnsi="Times New Roman" w:cs="Times New Roman"/>
          <w:bCs/>
          <w:color w:val="000000" w:themeColor="text1"/>
          <w:kern w:val="2"/>
          <w:highlight w:val="none"/>
          <w:lang w:eastAsia="zh-CN"/>
          <w14:textFill>
            <w14:solidFill>
              <w14:schemeClr w14:val="tx1"/>
            </w14:solidFill>
          </w14:textFill>
        </w:rPr>
      </w:pPr>
      <w:r>
        <w:rPr>
          <w:rFonts w:hint="eastAsia" w:ascii="Times New Roman" w:hAnsi="Times New Roman" w:cs="Times New Roman"/>
          <w:bCs/>
          <w:color w:val="000000" w:themeColor="text1"/>
          <w:kern w:val="2"/>
          <w:highlight w:val="none"/>
          <w:lang w:val="en-US" w:eastAsia="zh-CN"/>
          <w14:textFill>
            <w14:solidFill>
              <w14:schemeClr w14:val="tx1"/>
            </w14:solidFill>
          </w14:textFill>
        </w:rPr>
        <w:t>根据</w:t>
      </w:r>
      <w:r>
        <w:rPr>
          <w:rFonts w:hint="default" w:ascii="Times New Roman" w:hAnsi="Times New Roman" w:cs="Times New Roman"/>
          <w:bCs/>
          <w:color w:val="000000" w:themeColor="text1"/>
          <w:kern w:val="2"/>
          <w:highlight w:val="none"/>
          <w:lang w:eastAsia="zh-CN"/>
          <w14:textFill>
            <w14:solidFill>
              <w14:schemeClr w14:val="tx1"/>
            </w14:solidFill>
          </w14:textFill>
        </w:rPr>
        <w:t>达州市生态环境局于2023年9月20日公布了2023年8月达州市地表水水质月报，根据月报可知，2023年8月中河位于</w:t>
      </w:r>
      <w:r>
        <w:rPr>
          <w:rFonts w:hint="default" w:ascii="Times New Roman" w:hAnsi="Times New Roman" w:cs="Times New Roman"/>
          <w:color w:val="000000" w:themeColor="text1"/>
          <w:highlight w:val="none"/>
          <w:lang w:eastAsia="zh-CN"/>
          <w14:textFill>
            <w14:solidFill>
              <w14:schemeClr w14:val="tx1"/>
            </w14:solidFill>
          </w14:textFill>
        </w:rPr>
        <w:t>普光入河口监测断面的省控趋势科研断面地表水水质满足</w:t>
      </w:r>
      <w:r>
        <w:rPr>
          <w:rFonts w:hint="default" w:ascii="Times New Roman" w:hAnsi="Times New Roman" w:cs="Times New Roman"/>
          <w:bCs/>
          <w:color w:val="000000" w:themeColor="text1"/>
          <w:kern w:val="2"/>
          <w:highlight w:val="none"/>
          <w:lang w:eastAsia="zh-CN"/>
          <w14:textFill>
            <w14:solidFill>
              <w14:schemeClr w14:val="tx1"/>
            </w14:solidFill>
          </w14:textFill>
        </w:rPr>
        <w:t>《地表水环境质量标准》（GB3838-2002）中Ⅱ类水质标准限值要求；因此区域地表水满足《地表水环境质量标准》（GB3838-2002）中Ⅲ类水质标准限值要求</w:t>
      </w:r>
      <w:r>
        <w:rPr>
          <w:rFonts w:hint="eastAsia" w:ascii="Times New Roman" w:hAnsi="Times New Roman" w:cs="Times New Roman"/>
          <w:bCs/>
          <w:color w:val="000000" w:themeColor="text1"/>
          <w:kern w:val="2"/>
          <w:highlight w:val="none"/>
          <w:lang w:eastAsia="zh-CN"/>
          <w14:textFill>
            <w14:solidFill>
              <w14:schemeClr w14:val="tx1"/>
            </w14:solidFill>
          </w14:textFill>
        </w:rPr>
        <w:t>。</w:t>
      </w:r>
    </w:p>
    <w:p>
      <w:pPr>
        <w:pageBreakBefore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w:r>
        <w:rPr>
          <w:rFonts w:hint="eastAsia" w:cs="Times New Roman"/>
          <w:bCs/>
          <w:color w:val="000000" w:themeColor="text1"/>
          <w:kern w:val="2"/>
          <w:highlight w:val="none"/>
          <w:lang w:eastAsia="zh-CN"/>
          <w14:textFill>
            <w14:solidFill>
              <w14:schemeClr w14:val="tx1"/>
            </w14:solidFill>
          </w14:textFill>
        </w:rPr>
        <w:t>（</w:t>
      </w:r>
      <w:r>
        <w:rPr>
          <w:rFonts w:hint="eastAsia" w:cs="Times New Roman"/>
          <w:bCs/>
          <w:color w:val="000000" w:themeColor="text1"/>
          <w:kern w:val="2"/>
          <w:highlight w:val="none"/>
          <w:lang w:val="en-US" w:eastAsia="zh-CN"/>
          <w14:textFill>
            <w14:solidFill>
              <w14:schemeClr w14:val="tx1"/>
            </w14:solidFill>
          </w14:textFill>
        </w:rPr>
        <w:t>3）声环境质量现状</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根据本项目环境</w:t>
      </w:r>
      <w:r>
        <w:rPr>
          <w:rFonts w:hint="eastAsia" w:ascii="Times New Roman" w:hAnsi="Times New Roman" w:cs="Times New Roman"/>
          <w:color w:val="000000" w:themeColor="text1"/>
          <w:highlight w:val="none"/>
          <w:lang w:val="en-US" w:eastAsia="zh-CN"/>
          <w14:textFill>
            <w14:solidFill>
              <w14:schemeClr w14:val="tx1"/>
            </w14:solidFill>
          </w14:textFill>
        </w:rPr>
        <w:t>质量现状</w:t>
      </w:r>
      <w:r>
        <w:rPr>
          <w:rFonts w:hint="default" w:ascii="Times New Roman" w:hAnsi="Times New Roman" w:cs="Times New Roman"/>
          <w:color w:val="000000" w:themeColor="text1"/>
          <w:highlight w:val="none"/>
          <w:lang w:eastAsia="zh-CN"/>
          <w14:textFill>
            <w14:solidFill>
              <w14:schemeClr w14:val="tx1"/>
            </w14:solidFill>
          </w14:textFill>
        </w:rPr>
        <w:t>监测结果显示，</w:t>
      </w:r>
      <w:r>
        <w:rPr>
          <w:rFonts w:hint="default" w:ascii="Times New Roman" w:hAnsi="Times New Roman" w:cs="Times New Roman"/>
          <w:color w:val="000000" w:themeColor="text1"/>
          <w:highlight w:val="none"/>
          <w14:textFill>
            <w14:solidFill>
              <w14:schemeClr w14:val="tx1"/>
            </w14:solidFill>
          </w14:textFill>
        </w:rPr>
        <w:t>拟建项目及周边各监测点昼间夜间噪声监测值满足《声环境质量标准》（GB3096-2008）2类功能区标准，项目拟建地声环境质量良好</w:t>
      </w:r>
      <w:r>
        <w:rPr>
          <w:rFonts w:hint="eastAsia" w:ascii="Times New Roman" w:hAnsi="Times New Roman" w:cs="Times New Roman"/>
          <w:color w:val="000000" w:themeColor="text1"/>
          <w:highlight w:val="none"/>
          <w:lang w:eastAsia="zh-CN"/>
          <w14:textFill>
            <w14:solidFill>
              <w14:schemeClr w14:val="tx1"/>
            </w14:solidFill>
          </w14:textFill>
        </w:rPr>
        <w:t>。</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4）地下水质量现状</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eastAsia" w:ascii="Times New Roman" w:hAnsi="Times New Roman" w:cs="Times New Roman"/>
          <w:bCs/>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根据本项目环境</w:t>
      </w:r>
      <w:r>
        <w:rPr>
          <w:rFonts w:hint="eastAsia" w:ascii="Times New Roman" w:hAnsi="Times New Roman" w:cs="Times New Roman"/>
          <w:color w:val="000000" w:themeColor="text1"/>
          <w:highlight w:val="none"/>
          <w:lang w:val="en-US" w:eastAsia="zh-CN"/>
          <w14:textFill>
            <w14:solidFill>
              <w14:schemeClr w14:val="tx1"/>
            </w14:solidFill>
          </w14:textFill>
        </w:rPr>
        <w:t>质量现状</w:t>
      </w:r>
      <w:r>
        <w:rPr>
          <w:rFonts w:hint="default" w:ascii="Times New Roman" w:hAnsi="Times New Roman" w:cs="Times New Roman"/>
          <w:color w:val="000000" w:themeColor="text1"/>
          <w:highlight w:val="none"/>
          <w:lang w:eastAsia="zh-CN"/>
          <w14:textFill>
            <w14:solidFill>
              <w14:schemeClr w14:val="tx1"/>
            </w14:solidFill>
          </w14:textFill>
        </w:rPr>
        <w:t>监测结果显示，</w:t>
      </w:r>
      <w:r>
        <w:rPr>
          <w:rFonts w:hint="default" w:ascii="Times New Roman" w:hAnsi="Times New Roman" w:cs="Times New Roman"/>
          <w:bCs/>
          <w:color w:val="000000" w:themeColor="text1"/>
          <w:highlight w:val="none"/>
          <w14:textFill>
            <w14:solidFill>
              <w14:schemeClr w14:val="tx1"/>
            </w14:solidFill>
          </w14:textFill>
        </w:rPr>
        <w:t>项目区域地下水现状监测指标均未超过《地下水质量标准》（GB/T14848-2017）中的Ⅲ类标准限值要求，本项目所在地区地下水质量总体上良好</w:t>
      </w:r>
      <w:r>
        <w:rPr>
          <w:rFonts w:hint="eastAsia" w:ascii="Times New Roman" w:hAnsi="Times New Roman" w:cs="Times New Roman"/>
          <w:bCs/>
          <w:color w:val="000000" w:themeColor="text1"/>
          <w:highlight w:val="none"/>
          <w:lang w:eastAsia="zh-CN"/>
          <w14:textFill>
            <w14:solidFill>
              <w14:schemeClr w14:val="tx1"/>
            </w14:solidFill>
          </w14:textFill>
        </w:rPr>
        <w:t>。</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5）土壤环境质量现状</w:t>
      </w:r>
    </w:p>
    <w:p>
      <w:pPr>
        <w:pStyle w:val="21"/>
        <w:keepNext w:val="0"/>
        <w:keepLines w:val="0"/>
        <w:pageBreakBefore w:val="0"/>
        <w:kinsoku/>
        <w:wordWrap/>
        <w:overflowPunct/>
        <w:topLinePunct w:val="0"/>
        <w:autoSpaceDE/>
        <w:autoSpaceDN/>
        <w:bidi w:val="0"/>
        <w:adjustRightInd w:val="0"/>
        <w:snapToGrid w:val="0"/>
        <w:spacing w:before="0" w:line="360" w:lineRule="auto"/>
        <w:ind w:left="0" w:firstLine="480"/>
        <w:jc w:val="both"/>
        <w:textAlignment w:val="auto"/>
        <w:rPr>
          <w:rFonts w:hint="eastAsia" w:ascii="Times New Roman" w:hAnsi="Times New Roman" w:cs="Times New Roman"/>
          <w:bCs/>
          <w:color w:val="000000" w:themeColor="text1"/>
          <w:kern w:val="2"/>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项目区域土壤以林地为主，有少量果园地</w:t>
      </w:r>
      <w:r>
        <w:rPr>
          <w:rFonts w:hint="eastAsia" w:ascii="Times New Roman" w:hAnsi="Times New Roman" w:cs="Times New Roman"/>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耕地</w:t>
      </w:r>
      <w:r>
        <w:rPr>
          <w:rFonts w:hint="default" w:ascii="Times New Roman" w:hAnsi="Times New Roman" w:cs="Times New Roman"/>
          <w:color w:val="000000" w:themeColor="text1"/>
          <w:highlight w:val="none"/>
          <w:lang w:eastAsia="zh-CN"/>
          <w14:textFill>
            <w14:solidFill>
              <w14:schemeClr w14:val="tx1"/>
            </w14:solidFill>
          </w14:textFill>
        </w:rPr>
        <w:t>，根据本项目环境</w:t>
      </w:r>
      <w:r>
        <w:rPr>
          <w:rFonts w:hint="eastAsia" w:ascii="Times New Roman" w:hAnsi="Times New Roman" w:cs="Times New Roman"/>
          <w:color w:val="000000" w:themeColor="text1"/>
          <w:highlight w:val="none"/>
          <w:lang w:val="en-US" w:eastAsia="zh-CN"/>
          <w14:textFill>
            <w14:solidFill>
              <w14:schemeClr w14:val="tx1"/>
            </w14:solidFill>
          </w14:textFill>
        </w:rPr>
        <w:t>质量现状</w:t>
      </w:r>
      <w:r>
        <w:rPr>
          <w:rFonts w:hint="default" w:ascii="Times New Roman" w:hAnsi="Times New Roman" w:cs="Times New Roman"/>
          <w:color w:val="000000" w:themeColor="text1"/>
          <w:highlight w:val="none"/>
          <w:lang w:eastAsia="zh-CN"/>
          <w14:textFill>
            <w14:solidFill>
              <w14:schemeClr w14:val="tx1"/>
            </w14:solidFill>
          </w14:textFill>
        </w:rPr>
        <w:t>监测结果显示，</w:t>
      </w:r>
      <w:r>
        <w:rPr>
          <w:rFonts w:hint="default" w:ascii="Times New Roman" w:hAnsi="Times New Roman" w:cs="Times New Roman"/>
          <w:bCs/>
          <w:color w:val="000000" w:themeColor="text1"/>
          <w:szCs w:val="24"/>
          <w:highlight w:val="none"/>
          <w14:textFill>
            <w14:solidFill>
              <w14:schemeClr w14:val="tx1"/>
            </w14:solidFill>
          </w14:textFill>
        </w:rPr>
        <w:t>平台外土壤监测点监测值均低于《土壤环境质量 农用地土壤污染风险管控标准（试行）》（GB15618-2018）风险筛选值；平台内各土壤监测点监测因子均低于《土壤环境质量 建设用地土壤污染风险管控标准（试行）》（GB36600-2018）中的第二类用地筛选值</w:t>
      </w:r>
      <w:r>
        <w:rPr>
          <w:rFonts w:hint="default" w:ascii="Times New Roman" w:hAnsi="Times New Roman" w:cs="Times New Roman"/>
          <w:bCs/>
          <w:color w:val="000000" w:themeColor="text1"/>
          <w:kern w:val="2"/>
          <w:highlight w:val="none"/>
          <w:lang w:eastAsia="zh-CN"/>
          <w14:textFill>
            <w14:solidFill>
              <w14:schemeClr w14:val="tx1"/>
            </w14:solidFill>
          </w14:textFill>
        </w:rPr>
        <w:t>。</w:t>
      </w:r>
      <w:r>
        <w:rPr>
          <w:rFonts w:hint="eastAsia" w:ascii="Times New Roman" w:hAnsi="Times New Roman" w:cs="Times New Roman"/>
          <w:bCs/>
          <w:color w:val="000000" w:themeColor="text1"/>
          <w:kern w:val="2"/>
          <w:highlight w:val="none"/>
          <w:lang w:val="en-US" w:eastAsia="zh-CN"/>
          <w14:textFill>
            <w14:solidFill>
              <w14:schemeClr w14:val="tx1"/>
            </w14:solidFill>
          </w14:textFill>
        </w:rPr>
        <w:t xml:space="preserve">区域土壤环境质量现状良好。  </w:t>
      </w:r>
    </w:p>
    <w:p>
      <w:pPr>
        <w:pStyle w:val="21"/>
        <w:keepNext w:val="0"/>
        <w:keepLines w:val="0"/>
        <w:pageBreakBefore w:val="0"/>
        <w:kinsoku/>
        <w:wordWrap/>
        <w:overflowPunct/>
        <w:topLinePunct w:val="0"/>
        <w:autoSpaceDE/>
        <w:autoSpaceDN/>
        <w:bidi w:val="0"/>
        <w:adjustRightInd w:val="0"/>
        <w:snapToGrid w:val="0"/>
        <w:spacing w:before="0" w:line="360" w:lineRule="auto"/>
        <w:ind w:left="0" w:firstLine="480"/>
        <w:jc w:val="both"/>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6）生态环境质量现状</w:t>
      </w:r>
    </w:p>
    <w:p>
      <w:pPr>
        <w:keepNext w:val="0"/>
        <w:keepLines w:val="0"/>
        <w:pageBreakBefore w:val="0"/>
        <w:kinsoku/>
        <w:wordWrap/>
        <w:overflowPunct/>
        <w:topLinePunct w:val="0"/>
        <w:autoSpaceDE/>
        <w:autoSpaceDN/>
        <w:bidi w:val="0"/>
        <w:adjustRightInd w:val="0"/>
        <w:snapToGrid w:val="0"/>
        <w:spacing w:line="360" w:lineRule="auto"/>
        <w:ind w:right="100" w:firstLine="480" w:firstLineChars="200"/>
        <w:textAlignment w:val="auto"/>
        <w:rPr>
          <w:rFonts w:hint="default" w:ascii="Times New Roman" w:hAnsi="Times New Roman" w:eastAsia="宋体" w:cs="Times New Roman"/>
          <w:bCs/>
          <w:color w:val="000000" w:themeColor="text1"/>
          <w:kern w:val="0"/>
          <w:sz w:val="24"/>
          <w:szCs w:val="24"/>
          <w:highlight w:val="none"/>
          <w:lang w:val="en-US" w:eastAsia="en-US" w:bidi="ar-SA"/>
          <w14:textFill>
            <w14:solidFill>
              <w14:schemeClr w14:val="tx1"/>
            </w14:solidFill>
          </w14:textFill>
        </w:rPr>
      </w:pPr>
      <w:r>
        <w:rPr>
          <w:rFonts w:hint="default" w:ascii="Times New Roman" w:hAnsi="Times New Roman" w:eastAsia="宋体" w:cs="Times New Roman"/>
          <w:bCs/>
          <w:color w:val="000000" w:themeColor="text1"/>
          <w:kern w:val="0"/>
          <w:sz w:val="24"/>
          <w:szCs w:val="24"/>
          <w:highlight w:val="none"/>
          <w:lang w:val="en-US" w:eastAsia="en-US" w:bidi="ar-SA"/>
          <w14:textFill>
            <w14:solidFill>
              <w14:schemeClr w14:val="tx1"/>
            </w14:solidFill>
          </w14:textFill>
        </w:rPr>
        <w:t>项目区属中亚热带湿润季风气候区，植被区划处于亚热带常绿阔叶林区域，水热条件较好，植被总体覆盖度较高。从解译结果看，评价区范围内，高覆盖度植被主要分布在针叶林及阔叶林区，群落多为乔灌草三层，综合覆盖度较高；中高覆盖度植被主要为稀疏乔木林及灌丛植被分布区，群落结构多为灌草两层；中覆盖度多为草丛植被分布区</w:t>
      </w:r>
      <w:r>
        <w:rPr>
          <w:rFonts w:hint="eastAsia" w:ascii="Times New Roman" w:hAnsi="Times New Roman" w:eastAsia="宋体" w:cs="Times New Roman"/>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lang w:val="en-US" w:eastAsia="en-US" w:bidi="ar-SA"/>
          <w14:textFill>
            <w14:solidFill>
              <w14:schemeClr w14:val="tx1"/>
            </w14:solidFill>
          </w14:textFill>
        </w:rPr>
        <w:t>根据现场调查及相关文献资料查阅，本次评价范围内的林地主要为人工林，区域植物种类主要为马尾松、</w:t>
      </w:r>
      <w:r>
        <w:rPr>
          <w:rFonts w:hint="default" w:ascii="Times New Roman" w:hAnsi="Times New Roman" w:eastAsia="宋体" w:cs="Times New Roman"/>
          <w:bCs/>
          <w:color w:val="000000" w:themeColor="text1"/>
          <w:kern w:val="0"/>
          <w:sz w:val="24"/>
          <w:szCs w:val="24"/>
          <w:highlight w:val="none"/>
          <w:lang w:val="en-US" w:eastAsia="zh-CN" w:bidi="ar-SA"/>
          <w14:textFill>
            <w14:solidFill>
              <w14:schemeClr w14:val="tx1"/>
            </w14:solidFill>
          </w14:textFill>
        </w:rPr>
        <w:t>栎类</w:t>
      </w:r>
      <w:r>
        <w:rPr>
          <w:rFonts w:hint="default" w:ascii="Times New Roman" w:hAnsi="Times New Roman" w:eastAsia="宋体" w:cs="Times New Roman"/>
          <w:bCs/>
          <w:color w:val="000000" w:themeColor="text1"/>
          <w:kern w:val="0"/>
          <w:sz w:val="24"/>
          <w:szCs w:val="24"/>
          <w:highlight w:val="none"/>
          <w:lang w:val="en-US" w:eastAsia="en-US" w:bidi="ar-SA"/>
          <w14:textFill>
            <w14:solidFill>
              <w14:schemeClr w14:val="tx1"/>
            </w14:solidFill>
          </w14:textFill>
        </w:rPr>
        <w:t>及其他常见灌草植物和经济林木等。按照现行的《中华人民共和国野生植物保护条例（1999）</w:t>
      </w:r>
      <w:r>
        <w:rPr>
          <w:rFonts w:hint="eastAsia" w:cs="Times New Roman"/>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lang w:val="en-US" w:eastAsia="en-US" w:bidi="ar-SA"/>
          <w14:textFill>
            <w14:solidFill>
              <w14:schemeClr w14:val="tx1"/>
            </w14:solidFill>
          </w14:textFill>
        </w:rPr>
        <w:t>国家重点保护野生植物名录》</w:t>
      </w:r>
      <w:r>
        <w:rPr>
          <w:rFonts w:hint="eastAsia" w:cs="Times New Roman"/>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lang w:val="en-US" w:eastAsia="en-US" w:bidi="ar-SA"/>
          <w14:textFill>
            <w14:solidFill>
              <w14:schemeClr w14:val="tx1"/>
            </w14:solidFill>
          </w14:textFill>
        </w:rPr>
        <w:t>国家林业和草原局农业农村部公告2021年第15号</w:t>
      </w:r>
      <w:r>
        <w:rPr>
          <w:rFonts w:hint="eastAsia" w:cs="Times New Roman"/>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lang w:val="en-US" w:eastAsia="en-US" w:bidi="ar-SA"/>
          <w14:textFill>
            <w14:solidFill>
              <w14:schemeClr w14:val="tx1"/>
            </w14:solidFill>
          </w14:textFill>
        </w:rPr>
        <w:t>、《四川省重点保护野生植物名录</w:t>
      </w:r>
      <w:r>
        <w:rPr>
          <w:rFonts w:hint="eastAsia" w:cs="Times New Roman"/>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lang w:val="en-US" w:eastAsia="en-US" w:bidi="ar-SA"/>
          <w14:textFill>
            <w14:solidFill>
              <w14:schemeClr w14:val="tx1"/>
            </w14:solidFill>
          </w14:textFill>
        </w:rPr>
        <w:t>全国古树名木普查建档技术规定（2001）》以及相关科考资料，评价区无重点保护野生植物和古树名木等重要物种分布。后续应加强评价范围内保护植物的跟踪调查，对及时发现的重点保护植物采取就地保护措施，对发现的名木古树采取挂牌保护。根据实际调查及现场复核，参照《国家重点保护野生动物名录2021</w:t>
      </w:r>
      <w:r>
        <w:rPr>
          <w:rFonts w:hint="eastAsia" w:cs="Times New Roman"/>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lang w:val="en-US" w:eastAsia="en-US" w:bidi="ar-SA"/>
          <w14:textFill>
            <w14:solidFill>
              <w14:schemeClr w14:val="tx1"/>
            </w14:solidFill>
          </w14:textFill>
        </w:rPr>
        <w:t>四川省重点保护野生动物名录</w:t>
      </w:r>
      <w:r>
        <w:rPr>
          <w:rFonts w:hint="eastAsia" w:cs="Times New Roman"/>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lang w:val="en-US" w:eastAsia="en-US" w:bidi="ar-SA"/>
          <w14:textFill>
            <w14:solidFill>
              <w14:schemeClr w14:val="tx1"/>
            </w14:solidFill>
          </w14:textFill>
        </w:rPr>
        <w:t>四川省新增重点保护野生动物名录》及相关科考资料，在项目评价范围，未发现属于国家级保护和四川省级保护的野生动物及栖息地，无分布生境，也无重要野生动物的迁徙通道。</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32" w:name="_bookmark50"/>
      <w:bookmarkEnd w:id="532"/>
      <w:bookmarkStart w:id="533" w:name="10.3项目产业政策符合性分析与选址合理性分析"/>
      <w:bookmarkEnd w:id="533"/>
      <w:bookmarkStart w:id="534" w:name="_Toc12575"/>
      <w:r>
        <w:rPr>
          <w:rFonts w:hint="default" w:ascii="Times New Roman" w:hAnsi="Times New Roman" w:cs="Times New Roman"/>
          <w:color w:val="000000" w:themeColor="text1"/>
          <w:highlight w:val="none"/>
          <w:lang w:eastAsia="zh-CN"/>
          <w14:textFill>
            <w14:solidFill>
              <w14:schemeClr w14:val="tx1"/>
            </w14:solidFill>
          </w14:textFill>
        </w:rPr>
        <w:t>项目产业政策符合性分析与选址合理性分析</w:t>
      </w:r>
      <w:bookmarkEnd w:id="534"/>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bookmarkStart w:id="535" w:name="10.3.1项目产业政策符合性分析"/>
      <w:bookmarkEnd w:id="535"/>
      <w:r>
        <w:rPr>
          <w:rFonts w:hint="default" w:ascii="Times New Roman" w:hAnsi="Times New Roman" w:cs="Times New Roman"/>
          <w:color w:val="000000" w:themeColor="text1"/>
          <w:highlight w:val="none"/>
          <w14:textFill>
            <w14:solidFill>
              <w14:schemeClr w14:val="tx1"/>
            </w14:solidFill>
          </w14:textFill>
        </w:rPr>
        <w:t>（1）项目产业政策符合性分析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产业结构调整指导目录（2024年本）》（中华人民共和国国家发展和改革委员会第7号令，2024年2月1日起施行），本项目属于《产业结构调整指导目录》（2024年本）鼓励类中第七条“石油、天然气”中的第一款：“常规石油、天然气勘探与开采，页岩气、页岩油、致密油（气）、油砂、天然气水合物等非常规资源勘探开”，满足《石油天然气开采业污染防治技术政策》（公告〔2012〕18号）要求；项目实施经中国石油化工股份有限公司中原油田分公司以“中原油分投资〔2023〕126号”文出具了可研批复，因此，本项目符合国家产业政策。</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bookmarkStart w:id="536" w:name="10.3.2项目选址合理性分析"/>
      <w:bookmarkEnd w:id="536"/>
      <w:bookmarkStart w:id="537" w:name="_bookmark51"/>
      <w:bookmarkEnd w:id="537"/>
      <w:r>
        <w:rPr>
          <w:rFonts w:hint="default" w:ascii="Times New Roman" w:hAnsi="Times New Roman" w:cs="Times New Roman"/>
          <w:color w:val="000000" w:themeColor="text1"/>
          <w:highlight w:val="none"/>
          <w14:textFill>
            <w14:solidFill>
              <w14:schemeClr w14:val="tx1"/>
            </w14:solidFill>
          </w14:textFill>
        </w:rPr>
        <w:t>（2）项目选址合理性分析</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建设符合石油天然气开发规划。不在城镇规划区域内，不属于城镇用地，项目所在地为农村地区，主要发展农业。本项目建设不违背普光镇规划要求。本项目不涉及生态红线，符合“三线一单”管控要求，井口周边100m内无农村分散居民，井口500m范围内无医院、学校等敏感目标，总体选址环境不敏感。本项目的平面布置执行《钻前工程及井场技术要求》（SY/T 5466-2013），总体上符合环保要求</w:t>
      </w:r>
      <w:r>
        <w:rPr>
          <w:rFonts w:hint="default" w:ascii="Times New Roman" w:hAnsi="Times New Roman" w:cs="Times New Roman"/>
          <w:bCs/>
          <w:color w:val="000000" w:themeColor="text1"/>
          <w:highlight w:val="none"/>
          <w14:textFill>
            <w14:solidFill>
              <w14:schemeClr w14:val="tx1"/>
            </w14:solidFill>
          </w14:textFill>
        </w:rPr>
        <w:t>。</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38" w:name="_bookmark52"/>
      <w:bookmarkEnd w:id="538"/>
      <w:bookmarkStart w:id="539" w:name="10.4环境影响评价结论"/>
      <w:bookmarkEnd w:id="539"/>
      <w:bookmarkStart w:id="540" w:name="_Toc10538"/>
      <w:r>
        <w:rPr>
          <w:rFonts w:hint="default" w:ascii="Times New Roman" w:hAnsi="Times New Roman" w:cs="Times New Roman"/>
          <w:color w:val="000000" w:themeColor="text1"/>
          <w:highlight w:val="none"/>
          <w:lang w:eastAsia="zh-CN"/>
          <w14:textFill>
            <w14:solidFill>
              <w14:schemeClr w14:val="tx1"/>
            </w14:solidFill>
          </w14:textFill>
        </w:rPr>
        <w:t>环境影响评价结论</w:t>
      </w:r>
      <w:bookmarkEnd w:id="540"/>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（1）大气环境</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和天然气试采期，优先使用网电，废气污染物排放量少，钻井期无组织挥发性有机物排放量小，测试放喷采用放喷管线接至放喷池并经燃烧后放喷，试采期设备检修废气通过下游集气站放空火炬燃烧排放，且排放时间短，对所在地大气环境的影响是可接受的。</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（2）地表水</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钻前工程</w:t>
      </w:r>
      <w:r>
        <w:rPr>
          <w:rFonts w:hint="eastAsia" w:cs="Times New Roman"/>
          <w:color w:val="000000" w:themeColor="text1"/>
          <w:szCs w:val="24"/>
          <w:highlight w:val="none"/>
          <w:lang w:eastAsia="zh-CN"/>
          <w14:textFill>
            <w14:solidFill>
              <w14:schemeClr w14:val="tx1"/>
            </w14:solidFill>
          </w14:textFill>
        </w:rPr>
        <w:t>经隔油池沉淀处理后回用于洒水降尘</w:t>
      </w:r>
      <w:r>
        <w:rPr>
          <w:rFonts w:hint="default" w:ascii="Times New Roman" w:hAnsi="Times New Roman" w:cs="Times New Roman"/>
          <w:color w:val="000000" w:themeColor="text1"/>
          <w:szCs w:val="24"/>
          <w:highlight w:val="none"/>
          <w14:textFill>
            <w14:solidFill>
              <w14:schemeClr w14:val="tx1"/>
            </w14:solidFill>
          </w14:textFill>
        </w:rPr>
        <w:t>，不外排</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钻前工程人员生活污水依托周边农户已建设施处理</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不外排；钻井工程钻井废水与场地初期雨水一并经不落地装置处理后大部分回用于配制钻井液，剩余不能回用部分暂存于清洁生产操作平台的废水罐内，定期装车拉运至赵家坝污水处理站处理达标后经普光11井回注站回注</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钻井期间</w:t>
      </w:r>
      <w:r>
        <w:rPr>
          <w:rFonts w:hint="default" w:ascii="Times New Roman" w:hAnsi="Times New Roman" w:cs="Times New Roman"/>
          <w:color w:val="000000" w:themeColor="text1"/>
          <w:szCs w:val="24"/>
          <w:highlight w:val="none"/>
          <w:lang w:val="en-US" w:eastAsia="zh-CN"/>
          <w14:textFill>
            <w14:solidFill>
              <w14:schemeClr w14:val="tx1"/>
            </w14:solidFill>
          </w14:textFill>
        </w:rPr>
        <w:t>施工人员</w:t>
      </w:r>
      <w:r>
        <w:rPr>
          <w:rFonts w:hint="default" w:ascii="Times New Roman" w:hAnsi="Times New Roman" w:cs="Times New Roman"/>
          <w:bCs/>
          <w:color w:val="000000" w:themeColor="text1"/>
          <w:szCs w:val="24"/>
          <w:highlight w:val="none"/>
          <w14:textFill>
            <w14:solidFill>
              <w14:schemeClr w14:val="tx1"/>
            </w14:solidFill>
          </w14:textFill>
        </w:rPr>
        <w:t>生活污水</w:t>
      </w:r>
      <w:r>
        <w:rPr>
          <w:rFonts w:hint="default" w:ascii="Times New Roman" w:hAnsi="Times New Roman" w:cs="Times New Roman"/>
          <w:color w:val="000000" w:themeColor="text1"/>
          <w:szCs w:val="24"/>
          <w:highlight w:val="none"/>
          <w14:textFill>
            <w14:solidFill>
              <w14:schemeClr w14:val="tx1"/>
            </w14:solidFill>
          </w14:textFill>
        </w:rPr>
        <w:t>经生态厕所</w:t>
      </w:r>
      <w:r>
        <w:rPr>
          <w:rFonts w:hint="default" w:ascii="Times New Roman" w:hAnsi="Times New Roman" w:cs="Times New Roman"/>
          <w:color w:val="000000" w:themeColor="text1"/>
          <w:szCs w:val="24"/>
          <w:highlight w:val="none"/>
          <w:lang w:val="en-US" w:eastAsia="zh-CN"/>
          <w14:textFill>
            <w14:solidFill>
              <w14:schemeClr w14:val="tx1"/>
            </w14:solidFill>
          </w14:textFill>
        </w:rPr>
        <w:t>收集后定期由密闭罐车拉运至周边生活污水处理厂处理；储层改造阶段产生的</w:t>
      </w:r>
      <w:r>
        <w:rPr>
          <w:rFonts w:hint="default" w:ascii="Times New Roman" w:hAnsi="Times New Roman" w:cs="Times New Roman"/>
          <w:color w:val="000000" w:themeColor="text1"/>
          <w:highlight w:val="none"/>
          <w14:textFill>
            <w14:solidFill>
              <w14:schemeClr w14:val="tx1"/>
            </w14:solidFill>
          </w14:textFill>
        </w:rPr>
        <w:t>压裂返排液及洗井</w:t>
      </w:r>
      <w:r>
        <w:rPr>
          <w:rFonts w:hint="default" w:ascii="Times New Roman" w:hAnsi="Times New Roman" w:cs="Times New Roman"/>
          <w:color w:val="000000" w:themeColor="text1"/>
          <w:szCs w:val="24"/>
          <w:highlight w:val="none"/>
          <w:lang w:val="en-US" w:eastAsia="zh-CN"/>
          <w14:textFill>
            <w14:solidFill>
              <w14:schemeClr w14:val="tx1"/>
            </w14:solidFill>
          </w14:textFill>
        </w:rPr>
        <w:t>废水</w:t>
      </w:r>
      <w:r>
        <w:rPr>
          <w:rFonts w:hint="eastAsia" w:ascii="Times New Roman" w:hAnsi="Times New Roman" w:cs="Times New Roman"/>
          <w:color w:val="000000" w:themeColor="text1"/>
          <w:szCs w:val="24"/>
          <w:highlight w:val="none"/>
          <w:lang w:val="en-US" w:eastAsia="zh-CN"/>
          <w14:textFill>
            <w14:solidFill>
              <w14:schemeClr w14:val="tx1"/>
            </w14:solidFill>
          </w14:textFill>
        </w:rPr>
        <w:t>由放喷池、压裂液储罐收集后，</w:t>
      </w:r>
      <w:r>
        <w:rPr>
          <w:rFonts w:hint="default" w:ascii="Times New Roman" w:hAnsi="Times New Roman" w:cs="Times New Roman"/>
          <w:color w:val="000000" w:themeColor="text1"/>
          <w:szCs w:val="24"/>
          <w:highlight w:val="none"/>
          <w:lang w:val="en-US" w:eastAsia="zh-CN"/>
          <w14:textFill>
            <w14:solidFill>
              <w14:schemeClr w14:val="tx1"/>
            </w14:solidFill>
          </w14:textFill>
        </w:rPr>
        <w:t>优先回用于周边其他井场压裂液配置，不能回用</w:t>
      </w:r>
      <w:r>
        <w:rPr>
          <w:rFonts w:hint="default" w:ascii="Times New Roman" w:hAnsi="Times New Roman" w:cs="Times New Roman"/>
          <w:color w:val="000000" w:themeColor="text1"/>
          <w:highlight w:val="none"/>
          <w:lang w:val="en-US" w:eastAsia="zh-CN"/>
          <w14:textFill>
            <w14:solidFill>
              <w14:schemeClr w14:val="tx1"/>
            </w14:solidFill>
          </w14:textFill>
        </w:rPr>
        <w:t>时</w:t>
      </w:r>
      <w:r>
        <w:rPr>
          <w:rFonts w:hint="default" w:ascii="Times New Roman" w:hAnsi="Times New Roman" w:cs="Times New Roman"/>
          <w:color w:val="000000" w:themeColor="text1"/>
          <w:highlight w:val="none"/>
          <w14:textFill>
            <w14:solidFill>
              <w14:schemeClr w14:val="tx1"/>
            </w14:solidFill>
          </w14:textFill>
        </w:rPr>
        <w:t>用罐车拉运至赵家坝污水处理站处理达标后经普光11井回注站回注</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储层改造期间施工人员</w:t>
      </w:r>
      <w:r>
        <w:rPr>
          <w:rFonts w:hint="default" w:ascii="Times New Roman" w:hAnsi="Times New Roman" w:cs="Times New Roman"/>
          <w:bCs/>
          <w:color w:val="000000" w:themeColor="text1"/>
          <w:szCs w:val="24"/>
          <w:highlight w:val="none"/>
          <w14:textFill>
            <w14:solidFill>
              <w14:schemeClr w14:val="tx1"/>
            </w14:solidFill>
          </w14:textFill>
        </w:rPr>
        <w:t>生活污水</w:t>
      </w:r>
      <w:r>
        <w:rPr>
          <w:rFonts w:hint="default" w:ascii="Times New Roman" w:hAnsi="Times New Roman" w:cs="Times New Roman"/>
          <w:color w:val="000000" w:themeColor="text1"/>
          <w:szCs w:val="24"/>
          <w:highlight w:val="none"/>
          <w14:textFill>
            <w14:solidFill>
              <w14:schemeClr w14:val="tx1"/>
            </w14:solidFill>
          </w14:textFill>
        </w:rPr>
        <w:t>经生态厕所</w:t>
      </w:r>
      <w:r>
        <w:rPr>
          <w:rFonts w:hint="default" w:ascii="Times New Roman" w:hAnsi="Times New Roman" w:cs="Times New Roman"/>
          <w:color w:val="000000" w:themeColor="text1"/>
          <w:szCs w:val="24"/>
          <w:highlight w:val="none"/>
          <w:lang w:val="en-US" w:eastAsia="zh-CN"/>
          <w14:textFill>
            <w14:solidFill>
              <w14:schemeClr w14:val="tx1"/>
            </w14:solidFill>
          </w14:textFill>
        </w:rPr>
        <w:t>收集后定期由密闭罐车拉运至周边生活污水处理厂处理；</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油气集输工程在进行井口流程和集气站复建时产生的</w:t>
      </w:r>
      <w:r>
        <w:rPr>
          <w:rFonts w:hint="default" w:ascii="Times New Roman" w:hAnsi="Times New Roman" w:cs="Times New Roman"/>
          <w:color w:val="000000" w:themeColor="text1"/>
          <w:szCs w:val="24"/>
          <w:highlight w:val="none"/>
          <w:lang w:val="en-US" w:eastAsia="zh-CN"/>
          <w14:textFill>
            <w14:solidFill>
              <w14:schemeClr w14:val="tx1"/>
            </w14:solidFill>
          </w14:textFill>
        </w:rPr>
        <w:t>施工人员</w:t>
      </w:r>
      <w:r>
        <w:rPr>
          <w:rFonts w:hint="default" w:ascii="Times New Roman" w:hAnsi="Times New Roman" w:cs="Times New Roman"/>
          <w:color w:val="000000" w:themeColor="text1"/>
          <w:szCs w:val="24"/>
          <w:highlight w:val="none"/>
          <w14:textFill>
            <w14:solidFill>
              <w14:schemeClr w14:val="tx1"/>
            </w14:solidFill>
          </w14:textFill>
        </w:rPr>
        <w:t>生活污水依托周边农户已建设施处理</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不外排；</w:t>
      </w:r>
      <w:r>
        <w:rPr>
          <w:rFonts w:hint="eastAsia" w:cs="Times New Roman"/>
          <w:bCs/>
          <w:color w:val="000000" w:themeColor="text1"/>
          <w:szCs w:val="24"/>
          <w:highlight w:val="none"/>
          <w:lang w:eastAsia="zh-CN"/>
          <w14:textFill>
            <w14:solidFill>
              <w14:schemeClr w14:val="tx1"/>
            </w14:solidFill>
          </w14:textFill>
        </w:rPr>
        <w:t>试采期气液分离均依托P106集气站，产生的气田水（含初期压裂返排液）用密闭罐车拉运至赵家坝污水处理站处理达到《气田水回注方法》（SY/T 6596-2016）中注入水基本要求后管输至普光11井回注站回注处理，不外排。</w:t>
      </w:r>
      <w:r>
        <w:rPr>
          <w:rFonts w:hint="default" w:ascii="Times New Roman" w:hAnsi="Times New Roman" w:cs="Times New Roman"/>
          <w:color w:val="000000" w:themeColor="text1"/>
          <w:highlight w:val="none"/>
          <w14:textFill>
            <w14:solidFill>
              <w14:schemeClr w14:val="tx1"/>
            </w14:solidFill>
          </w14:textFill>
        </w:rPr>
        <w:t>对区域地表水环境影响甚微。</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（3）声环境</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钻井期间噪声对周围环境的影响为短暂影响，采用噪声源合理布局，为产噪大的设备安装消声器和</w:t>
      </w:r>
      <w:r>
        <w:rPr>
          <w:rFonts w:hint="default" w:ascii="Times New Roman" w:hAnsi="Times New Roman" w:cs="Times New Roman"/>
          <w:color w:val="000000" w:themeColor="text1"/>
          <w:highlight w:val="none"/>
          <w:lang w:eastAsia="zh-CN"/>
          <w14:textFill>
            <w14:solidFill>
              <w14:schemeClr w14:val="tx1"/>
            </w14:solidFill>
          </w14:textFill>
        </w:rPr>
        <w:t>减振</w:t>
      </w:r>
      <w:r>
        <w:rPr>
          <w:rFonts w:hint="default" w:ascii="Times New Roman" w:hAnsi="Times New Roman" w:cs="Times New Roman"/>
          <w:color w:val="000000" w:themeColor="text1"/>
          <w:highlight w:val="none"/>
          <w14:textFill>
            <w14:solidFill>
              <w14:schemeClr w14:val="tx1"/>
            </w14:solidFill>
          </w14:textFill>
        </w:rPr>
        <w:t>基础，随着工程的完工，噪声影响消失。通过对井场周围居民的影响预测可知，在采取合理措施后，井场周边居民等敏感目标均能满足《声环境质量标准》（GB3096-2008）中2类标准要求。</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天然气试采期间，厂界噪声能实现达标排放，周边声环境敏感点（均位于井口周边300m范围外）噪声能达到《声环境质量标准》（GB3096-2008）中2类标准要求，不会噪声扰民。</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（4）固体废物</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产生弃土用于生态恢复，生活垃圾交由环卫部门处理，水基钻井固废收集后定期用密闭罐车就近交给依法取得生态环境部门关于利用和处置相关工业固体废物项目环评批复、具有处理处置相应固体废物能力并配套建设有废气、废水、固废等污染物治理设施的单位进行资源化利用，</w:t>
      </w:r>
      <w:r>
        <w:rPr>
          <w:rFonts w:hint="eastAsia" w:ascii="Times New Roman" w:hAnsi="Times New Roman" w:cs="Times New Roman"/>
          <w:color w:val="000000" w:themeColor="text1"/>
          <w:highlight w:val="none"/>
          <w:lang w:val="en-US" w:eastAsia="zh-CN"/>
          <w14:textFill>
            <w14:solidFill>
              <w14:schemeClr w14:val="tx1"/>
            </w14:solidFill>
          </w14:textFill>
        </w:rPr>
        <w:t>通过设置的</w:t>
      </w:r>
      <w:r>
        <w:rPr>
          <w:rFonts w:hint="default" w:ascii="Times New Roman" w:hAnsi="Times New Roman" w:cs="Times New Roman"/>
          <w:color w:val="000000" w:themeColor="text1"/>
          <w:highlight w:val="none"/>
          <w14:textFill>
            <w14:solidFill>
              <w14:schemeClr w14:val="tx1"/>
            </w14:solidFill>
          </w14:textFill>
        </w:rPr>
        <w:t>废油桶</w:t>
      </w:r>
      <w:r>
        <w:rPr>
          <w:rFonts w:hint="eastAsia" w:ascii="Times New Roman" w:hAnsi="Times New Roman" w:cs="Times New Roman"/>
          <w:color w:val="000000" w:themeColor="text1"/>
          <w:highlight w:val="none"/>
          <w:lang w:val="en-US" w:eastAsia="zh-CN"/>
          <w14:textFill>
            <w14:solidFill>
              <w14:schemeClr w14:val="tx1"/>
            </w14:solidFill>
          </w14:textFill>
        </w:rPr>
        <w:t>进行</w:t>
      </w:r>
      <w:r>
        <w:rPr>
          <w:rFonts w:hint="default" w:ascii="Times New Roman" w:hAnsi="Times New Roman" w:cs="Times New Roman"/>
          <w:color w:val="000000" w:themeColor="text1"/>
          <w:highlight w:val="none"/>
          <w14:textFill>
            <w14:solidFill>
              <w14:schemeClr w14:val="tx1"/>
            </w14:solidFill>
          </w14:textFill>
        </w:rPr>
        <w:t>集中收集</w:t>
      </w:r>
      <w:r>
        <w:rPr>
          <w:rFonts w:hint="eastAsia" w:ascii="Times New Roman" w:hAnsi="Times New Roman" w:cs="Times New Roman"/>
          <w:color w:val="000000" w:themeColor="text1"/>
          <w:highlight w:val="none"/>
          <w:lang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并</w:t>
      </w:r>
      <w:r>
        <w:rPr>
          <w:rFonts w:hint="default" w:ascii="Times New Roman" w:hAnsi="Times New Roman" w:cs="Times New Roman"/>
          <w:color w:val="000000" w:themeColor="text1"/>
          <w:highlight w:val="none"/>
          <w14:textFill>
            <w14:solidFill>
              <w14:schemeClr w14:val="tx1"/>
            </w14:solidFill>
          </w14:textFill>
        </w:rPr>
        <w:t>暂存于泥浆不落地装置区临时堆放区内，钻井队综合利用或交由有资质的单位处理。各类固体废物经分类收集，严格做好固体废物的暂存管理，并采取有效的处置措施，使固体废物均得以妥善处置，对环境不会造成污染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（5）地下水</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本项目不涉及浅层钻井，对井场采取分区防渗和加强污染监控后，钻井期间发生污染地下水的可能性较小。若钻井过程中出现废水外溢等事件，将造成井场或井筒周围小范围内的地下</w:t>
      </w:r>
      <w:r>
        <w:rPr>
          <w:rFonts w:hint="default" w:ascii="Times New Roman" w:hAnsi="Times New Roman" w:cs="Times New Roman"/>
          <w:bCs/>
          <w:color w:val="000000" w:themeColor="text1"/>
          <w:highlight w:val="none"/>
          <w14:textFill>
            <w14:solidFill>
              <w14:schemeClr w14:val="tx1"/>
            </w14:solidFill>
          </w14:textFill>
        </w:rPr>
        <w:t>COD</w:t>
      </w:r>
      <w:r>
        <w:rPr>
          <w:rFonts w:hint="default" w:ascii="Times New Roman" w:hAnsi="Times New Roman" w:cs="Times New Roman"/>
          <w:bCs/>
          <w:color w:val="000000" w:themeColor="text1"/>
          <w:highlight w:val="none"/>
          <w:vertAlign w:val="subscript"/>
          <w14:textFill>
            <w14:solidFill>
              <w14:schemeClr w14:val="tx1"/>
            </w14:solidFill>
          </w14:textFill>
        </w:rPr>
        <w:t>Cr</w:t>
      </w:r>
      <w:r>
        <w:rPr>
          <w:rFonts w:hint="default" w:ascii="Times New Roman" w:hAnsi="Times New Roman" w:cs="Times New Roman"/>
          <w:color w:val="000000" w:themeColor="text1"/>
          <w:highlight w:val="none"/>
          <w14:textFill>
            <w14:solidFill>
              <w14:schemeClr w14:val="tx1"/>
            </w14:solidFill>
          </w14:textFill>
        </w:rPr>
        <w:t>、石油类超标，该范围以外的地区，地下水质量维持现状，对周边散居农户泉水取水点的影响较小。天然气试采期间废水集中收集，不会对地下水造成影响。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（6）土壤环境</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本项目采取了清污分流、分区分级防渗等措施，污染物进入土壤环境的可能性很小。根据类比调查，同地区天然气钻采项目均未出现过土壤环境污染现场和投诉，项目不会对土壤环境造成影响。</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（7）生态环境</w:t>
      </w:r>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本项目临时占地在施工结束后进行</w:t>
      </w:r>
      <w:r>
        <w:rPr>
          <w:rFonts w:hint="eastAsia" w:ascii="Times New Roman" w:hAnsi="Times New Roman" w:cs="Times New Roman"/>
          <w:color w:val="000000" w:themeColor="text1"/>
          <w:highlight w:val="none"/>
          <w:lang w:val="en-US" w:eastAsia="zh-CN"/>
          <w14:textFill>
            <w14:solidFill>
              <w14:schemeClr w14:val="tx1"/>
            </w14:solidFill>
          </w14:textFill>
        </w:rPr>
        <w:t>复耕复植</w:t>
      </w:r>
      <w:r>
        <w:rPr>
          <w:rFonts w:hint="default" w:ascii="Times New Roman" w:hAnsi="Times New Roman" w:cs="Times New Roman"/>
          <w:color w:val="000000" w:themeColor="text1"/>
          <w:highlight w:val="none"/>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能有效减小项目</w:t>
      </w:r>
      <w:r>
        <w:rPr>
          <w:rFonts w:hint="default" w:ascii="Times New Roman" w:hAnsi="Times New Roman" w:cs="Times New Roman"/>
          <w:color w:val="000000" w:themeColor="text1"/>
          <w:highlight w:val="none"/>
          <w14:textFill>
            <w14:solidFill>
              <w14:schemeClr w14:val="tx1"/>
            </w14:solidFill>
          </w14:textFill>
        </w:rPr>
        <w:t>对生态环境</w:t>
      </w:r>
      <w:r>
        <w:rPr>
          <w:rFonts w:hint="eastAsia" w:ascii="Times New Roman" w:hAnsi="Times New Roman" w:cs="Times New Roman"/>
          <w:color w:val="000000" w:themeColor="text1"/>
          <w:highlight w:val="none"/>
          <w:lang w:val="en-US" w:eastAsia="zh-CN"/>
          <w14:textFill>
            <w14:solidFill>
              <w14:schemeClr w14:val="tx1"/>
            </w14:solidFill>
          </w14:textFill>
        </w:rPr>
        <w:t>造成</w:t>
      </w:r>
      <w:r>
        <w:rPr>
          <w:rFonts w:hint="default" w:ascii="Times New Roman" w:hAnsi="Times New Roman" w:cs="Times New Roman"/>
          <w:color w:val="000000" w:themeColor="text1"/>
          <w:highlight w:val="none"/>
          <w14:textFill>
            <w14:solidFill>
              <w14:schemeClr w14:val="tx1"/>
            </w14:solidFill>
          </w14:textFill>
        </w:rPr>
        <w:t>的影响。</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41" w:name="_bookmark53"/>
      <w:bookmarkEnd w:id="541"/>
      <w:bookmarkStart w:id="542" w:name="10.5环境风险分析"/>
      <w:bookmarkEnd w:id="542"/>
      <w:bookmarkStart w:id="543" w:name="_Toc8805"/>
      <w:r>
        <w:rPr>
          <w:rFonts w:hint="default" w:ascii="Times New Roman" w:hAnsi="Times New Roman" w:cs="Times New Roman"/>
          <w:color w:val="000000" w:themeColor="text1"/>
          <w:highlight w:val="none"/>
          <w:lang w:eastAsia="zh-CN"/>
          <w14:textFill>
            <w14:solidFill>
              <w14:schemeClr w14:val="tx1"/>
            </w14:solidFill>
          </w14:textFill>
        </w:rPr>
        <w:t>环境风险分析</w:t>
      </w:r>
      <w:bookmarkEnd w:id="543"/>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工程钻井和天然气试采期间存在一定的环境风险，可能对地表水、地下水、生态环境、周围居民人身安全等造成影响。项目通过采取有效的风险防范措施，其发生事故的概率极低；通过建立突发事故应急预案后，事故对环境的影响能降至最低限度。环境风险属可接受水平，项目建设可行</w:t>
      </w:r>
      <w:r>
        <w:rPr>
          <w:rFonts w:hint="default" w:ascii="Times New Roman" w:hAnsi="Times New Roman" w:cs="Times New Roman"/>
          <w:bCs/>
          <w:color w:val="000000" w:themeColor="text1"/>
          <w:highlight w:val="none"/>
          <w14:textFill>
            <w14:solidFill>
              <w14:schemeClr w14:val="tx1"/>
            </w14:solidFill>
          </w14:textFill>
        </w:rPr>
        <w:t>。</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44" w:name="_bookmark54"/>
      <w:bookmarkEnd w:id="544"/>
      <w:bookmarkStart w:id="545" w:name="10.6总量控制"/>
      <w:bookmarkEnd w:id="545"/>
      <w:bookmarkStart w:id="546" w:name="_Toc27408"/>
      <w:r>
        <w:rPr>
          <w:rFonts w:hint="default" w:ascii="Times New Roman" w:hAnsi="Times New Roman" w:cs="Times New Roman"/>
          <w:color w:val="000000" w:themeColor="text1"/>
          <w:highlight w:val="none"/>
          <w:lang w:eastAsia="zh-CN"/>
          <w14:textFill>
            <w14:solidFill>
              <w14:schemeClr w14:val="tx1"/>
            </w14:solidFill>
          </w14:textFill>
        </w:rPr>
        <w:t>清洁生产和总量控制</w:t>
      </w:r>
      <w:bookmarkEnd w:id="546"/>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在原辅材料及资源能源的利用、生产工艺和设备、清洁生产措施、清洁生产技术指标、环境管理等方面基本达到清洁生产国内先进水平。建议主要提高清洁生产水平途径为废弃钻井泥浆的再利用、回收，减少废弃量，建议废弃钻井泥浆经处理后用于周边其他新钻井工程。</w:t>
      </w:r>
    </w:p>
    <w:p>
      <w:pPr>
        <w:pStyle w:val="21"/>
        <w:pageBreakBefore w:val="0"/>
        <w:kinsoku/>
        <w:wordWrap/>
        <w:overflowPunct/>
        <w:topLinePunct w:val="0"/>
        <w:autoSpaceDE/>
        <w:autoSpaceDN/>
        <w:bidi w:val="0"/>
        <w:adjustRightInd w:val="0"/>
        <w:snapToGrid w:val="0"/>
        <w:spacing w:before="0"/>
        <w:ind w:left="0" w:firstLine="480"/>
        <w:jc w:val="both"/>
        <w:textAlignment w:val="auto"/>
        <w:rPr>
          <w:rFonts w:hint="default" w:ascii="Times New Roman" w:hAnsi="Times New Roman" w:cs="Times New Roman"/>
          <w:bCs/>
          <w:color w:val="000000" w:themeColor="text1"/>
          <w:kern w:val="2"/>
          <w:highlight w:val="none"/>
          <w:lang w:eastAsia="zh-CN"/>
          <w14:textFill>
            <w14:solidFill>
              <w14:schemeClr w14:val="tx1"/>
            </w14:solidFill>
          </w14:textFill>
        </w:rPr>
      </w:pPr>
      <w:r>
        <w:rPr>
          <w:rFonts w:hint="default" w:ascii="Times New Roman" w:hAnsi="Times New Roman" w:cs="Times New Roman"/>
          <w:bCs/>
          <w:color w:val="000000" w:themeColor="text1"/>
          <w:kern w:val="2"/>
          <w:highlight w:val="none"/>
          <w:lang w:eastAsia="zh-CN"/>
          <w14:textFill>
            <w14:solidFill>
              <w14:schemeClr w14:val="tx1"/>
            </w14:solidFill>
          </w14:textFill>
        </w:rPr>
        <w:t>由于本项目实行排污许可登记管理，施工期时间短且采用网电，试采期水套加热炉与放空火炬长明灯均能做到达标排放，废水依托污水处理站或回注站</w:t>
      </w:r>
      <w:r>
        <w:rPr>
          <w:rFonts w:hint="eastAsia" w:ascii="Times New Roman" w:hAnsi="Times New Roman" w:cs="Times New Roman"/>
          <w:bCs/>
          <w:color w:val="000000" w:themeColor="text1"/>
          <w:kern w:val="2"/>
          <w:highlight w:val="none"/>
          <w:lang w:val="en-US" w:eastAsia="zh-CN"/>
          <w14:textFill>
            <w14:solidFill>
              <w14:schemeClr w14:val="tx1"/>
            </w14:solidFill>
          </w14:textFill>
        </w:rPr>
        <w:t>进行处理</w:t>
      </w:r>
      <w:r>
        <w:rPr>
          <w:rFonts w:hint="default" w:ascii="Times New Roman" w:hAnsi="Times New Roman" w:cs="Times New Roman"/>
          <w:bCs/>
          <w:color w:val="000000" w:themeColor="text1"/>
          <w:kern w:val="2"/>
          <w:highlight w:val="none"/>
          <w:lang w:eastAsia="zh-CN"/>
          <w14:textFill>
            <w14:solidFill>
              <w14:schemeClr w14:val="tx1"/>
            </w14:solidFill>
          </w14:textFill>
        </w:rPr>
        <w:t>，试采期间无其他常年稳定连续的污染物排放源，在满足</w:t>
      </w:r>
      <w:r>
        <w:rPr>
          <w:rFonts w:hint="default" w:ascii="Times New Roman" w:hAnsi="Times New Roman" w:cs="Times New Roman"/>
          <w:color w:val="000000" w:themeColor="text1"/>
          <w:szCs w:val="22"/>
          <w:highlight w:val="none"/>
          <w:lang w:eastAsia="zh-CN"/>
          <w14:textFill>
            <w14:solidFill>
              <w14:schemeClr w14:val="tx1"/>
            </w14:solidFill>
          </w14:textFill>
        </w:rPr>
        <w:t>达标排放和环境功能区划达标的前提下，建议不核定总量指标</w:t>
      </w:r>
      <w:r>
        <w:rPr>
          <w:rFonts w:hint="default" w:ascii="Times New Roman" w:hAnsi="Times New Roman" w:cs="Times New Roman"/>
          <w:bCs/>
          <w:color w:val="000000" w:themeColor="text1"/>
          <w:kern w:val="2"/>
          <w:highlight w:val="none"/>
          <w:lang w:eastAsia="zh-CN"/>
          <w14:textFill>
            <w14:solidFill>
              <w14:schemeClr w14:val="tx1"/>
            </w14:solidFill>
          </w14:textFill>
        </w:rPr>
        <w:t>。</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47" w:name="_bookmark55"/>
      <w:bookmarkEnd w:id="547"/>
      <w:bookmarkStart w:id="548" w:name="10.7公众参与调查结论"/>
      <w:bookmarkEnd w:id="548"/>
      <w:bookmarkStart w:id="549" w:name="_Toc10918"/>
      <w:r>
        <w:rPr>
          <w:rFonts w:hint="default" w:ascii="Times New Roman" w:hAnsi="Times New Roman" w:cs="Times New Roman"/>
          <w:color w:val="000000" w:themeColor="text1"/>
          <w:highlight w:val="none"/>
          <w:lang w:eastAsia="zh-CN"/>
          <w14:textFill>
            <w14:solidFill>
              <w14:schemeClr w14:val="tx1"/>
            </w14:solidFill>
          </w14:textFill>
        </w:rPr>
        <w:t>环境经济损益分析</w:t>
      </w:r>
      <w:bookmarkEnd w:id="549"/>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的建设具有较好的社会-经济-环境综合效益，只要该项目在各个实施阶段过程中积极做好污染治理、环境保护和安检措施等工作，基本上可以满足当地环境容量要求和环保管理需求，达到可持续发展目标。项目的建成，必将产生显著的经济效益、社会效益和环境效益。</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50" w:name="_Toc15120"/>
      <w:r>
        <w:rPr>
          <w:rFonts w:hint="default" w:ascii="Times New Roman" w:hAnsi="Times New Roman" w:cs="Times New Roman"/>
          <w:color w:val="000000" w:themeColor="text1"/>
          <w:highlight w:val="none"/>
          <w:lang w:eastAsia="zh-CN"/>
          <w14:textFill>
            <w14:solidFill>
              <w14:schemeClr w14:val="tx1"/>
            </w14:solidFill>
          </w14:textFill>
        </w:rPr>
        <w:t>公众参与调查结论</w:t>
      </w:r>
      <w:bookmarkEnd w:id="550"/>
    </w:p>
    <w:p>
      <w:pPr>
        <w:pageBreakBefore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根据建设单位提</w:t>
      </w:r>
      <w:r>
        <w:rPr>
          <w:rFonts w:hint="default" w:ascii="Times New Roman" w:hAnsi="Times New Roman" w:cs="Times New Roman"/>
          <w:color w:val="000000" w:themeColor="text1"/>
          <w:highlight w:val="none"/>
          <w:lang w:eastAsia="zh-CN"/>
          <w14:textFill>
            <w14:solidFill>
              <w14:schemeClr w14:val="tx1"/>
            </w14:solidFill>
          </w14:textFill>
        </w:rPr>
        <w:t>供的</w:t>
      </w:r>
      <w:r>
        <w:rPr>
          <w:rFonts w:hint="default" w:ascii="Times New Roman" w:hAnsi="Times New Roman" w:cs="Times New Roman"/>
          <w:color w:val="000000" w:themeColor="text1"/>
          <w:highlight w:val="none"/>
          <w14:textFill>
            <w14:solidFill>
              <w14:schemeClr w14:val="tx1"/>
            </w14:solidFill>
          </w14:textFill>
        </w:rPr>
        <w:t>公众参与说明，本项目在环境影响评价信息公示平台进行了建设项目首次环评信息公开，在环境影响评价信息公示平台、报纸及张贴公告三种方式同步进行了第二次环境影响评价信息公开，在环境影响评价信息公示平台进行了报批前公示，公示期间未收到任何反对意见，符合《环境影响评价公众参与办法》（生态环境部令第4号）的相关要求。</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51" w:name="_bookmark57"/>
      <w:bookmarkEnd w:id="551"/>
      <w:bookmarkStart w:id="552" w:name="10.9环境管理与监测计划"/>
      <w:bookmarkEnd w:id="552"/>
      <w:bookmarkStart w:id="553" w:name="_bookmark56"/>
      <w:bookmarkEnd w:id="553"/>
      <w:bookmarkStart w:id="554" w:name="_bookmark59"/>
      <w:bookmarkEnd w:id="554"/>
      <w:bookmarkStart w:id="555" w:name="10.8环境经济损益分析"/>
      <w:bookmarkEnd w:id="555"/>
      <w:bookmarkStart w:id="556" w:name="10.11评价总结论"/>
      <w:bookmarkEnd w:id="556"/>
      <w:bookmarkStart w:id="557" w:name="_Toc2171"/>
      <w:r>
        <w:rPr>
          <w:rFonts w:hint="default" w:ascii="Times New Roman" w:hAnsi="Times New Roman" w:cs="Times New Roman"/>
          <w:color w:val="000000" w:themeColor="text1"/>
          <w:highlight w:val="none"/>
          <w:lang w:eastAsia="zh-CN"/>
          <w14:textFill>
            <w14:solidFill>
              <w14:schemeClr w14:val="tx1"/>
            </w14:solidFill>
          </w14:textFill>
        </w:rPr>
        <w:t>评价总结论</w:t>
      </w:r>
      <w:bookmarkEnd w:id="557"/>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该项目的建设符合国家、行业颁布的相关产业政策、法规、规范，项目的建设对增加清洁能源天然气供应量，</w:t>
      </w:r>
      <w:r>
        <w:rPr>
          <w:rFonts w:hint="eastAsia" w:ascii="Times New Roman" w:hAnsi="Times New Roman" w:cs="Times New Roman"/>
          <w:color w:val="000000" w:themeColor="text1"/>
          <w:highlight w:val="none"/>
          <w:lang w:val="en-US" w:eastAsia="zh-CN"/>
          <w14:textFill>
            <w14:solidFill>
              <w14:schemeClr w14:val="tx1"/>
            </w14:solidFill>
          </w14:textFill>
        </w:rPr>
        <w:t>增加</w:t>
      </w:r>
      <w:r>
        <w:rPr>
          <w:rFonts w:hint="default" w:ascii="Times New Roman" w:hAnsi="Times New Roman" w:cs="Times New Roman"/>
          <w:color w:val="000000" w:themeColor="text1"/>
          <w:highlight w:val="none"/>
          <w14:textFill>
            <w14:solidFill>
              <w14:schemeClr w14:val="tx1"/>
            </w14:solidFill>
          </w14:textFill>
        </w:rPr>
        <w:t>地区天然气</w:t>
      </w:r>
      <w:r>
        <w:rPr>
          <w:rFonts w:hint="eastAsia" w:ascii="Times New Roman" w:hAnsi="Times New Roman" w:cs="Times New Roman"/>
          <w:color w:val="000000" w:themeColor="text1"/>
          <w:highlight w:val="none"/>
          <w:lang w:val="en-US" w:eastAsia="zh-CN"/>
          <w14:textFill>
            <w14:solidFill>
              <w14:schemeClr w14:val="tx1"/>
            </w14:solidFill>
          </w14:textFill>
        </w:rPr>
        <w:t>探明储量</w:t>
      </w:r>
      <w:r>
        <w:rPr>
          <w:rFonts w:hint="default" w:ascii="Times New Roman" w:hAnsi="Times New Roman" w:cs="Times New Roman"/>
          <w:color w:val="000000" w:themeColor="text1"/>
          <w:highlight w:val="none"/>
          <w14:textFill>
            <w14:solidFill>
              <w14:schemeClr w14:val="tx1"/>
            </w14:solidFill>
          </w14:textFill>
        </w:rPr>
        <w:t>情况，促进区域社会、经济发展，调整改善区域的环境质量有积极意义，项目建设是必要的。</w:t>
      </w:r>
    </w:p>
    <w:p>
      <w:pPr>
        <w:ind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评价区域环境空气质量、声环境质量、地下水质量现状总体较好；项目建设期间产生的污染物均做到达标排放或妥善处置，对生态环境、地表水、地下水、大气环境影响小</w:t>
      </w:r>
      <w:r>
        <w:rPr>
          <w:rFonts w:hint="default" w:ascii="Times New Roman" w:hAnsi="Times New Roman" w:cs="Times New Roman"/>
          <w:bCs/>
          <w:color w:val="000000" w:themeColor="text1"/>
          <w:szCs w:val="24"/>
          <w:highlight w:val="none"/>
          <w:lang w:eastAsia="zh-CN"/>
          <w14:textFill>
            <w14:solidFill>
              <w14:schemeClr w14:val="tx1"/>
            </w14:solidFill>
          </w14:textFill>
        </w:rPr>
        <w:t>，对</w:t>
      </w:r>
      <w:r>
        <w:rPr>
          <w:rFonts w:hint="default" w:ascii="Times New Roman" w:hAnsi="Times New Roman" w:cs="Times New Roman"/>
          <w:bCs/>
          <w:color w:val="000000" w:themeColor="text1"/>
          <w:szCs w:val="24"/>
          <w:highlight w:val="none"/>
          <w14:textFill>
            <w14:solidFill>
              <w14:schemeClr w14:val="tx1"/>
            </w14:solidFill>
          </w14:textFill>
        </w:rPr>
        <w:t>声环境影响产生短期影响，不改变区域的环境功能；该项目符合清洁生产要求，采用的环保措施可行，社会、经济效益十分显著；建设项目环境可行，选址合理。本项目井喷失控事故天然气</w:t>
      </w:r>
      <w:r>
        <w:rPr>
          <w:rFonts w:hint="default" w:ascii="Times New Roman" w:hAnsi="Times New Roman" w:cs="Times New Roman"/>
          <w:bCs/>
          <w:color w:val="000000" w:themeColor="text1"/>
          <w:szCs w:val="24"/>
          <w:highlight w:val="none"/>
          <w:lang w:eastAsia="zh-CN"/>
          <w14:textFill>
            <w14:solidFill>
              <w14:schemeClr w14:val="tx1"/>
            </w14:solidFill>
          </w14:textFill>
        </w:rPr>
        <w:t>泄漏</w:t>
      </w:r>
      <w:r>
        <w:rPr>
          <w:rFonts w:hint="default" w:ascii="Times New Roman" w:hAnsi="Times New Roman" w:cs="Times New Roman"/>
          <w:bCs/>
          <w:color w:val="000000" w:themeColor="text1"/>
          <w:szCs w:val="24"/>
          <w:highlight w:val="none"/>
          <w14:textFill>
            <w14:solidFill>
              <w14:schemeClr w14:val="tx1"/>
            </w14:solidFill>
          </w14:textFill>
        </w:rPr>
        <w:t>事故对环境的影响较小，且事故</w:t>
      </w:r>
      <w:r>
        <w:rPr>
          <w:rFonts w:hint="default" w:ascii="Times New Roman" w:hAnsi="Times New Roman" w:cs="Times New Roman"/>
          <w:bCs/>
          <w:color w:val="000000" w:themeColor="text1"/>
          <w:szCs w:val="24"/>
          <w:highlight w:val="none"/>
          <w:lang w:eastAsia="zh-CN"/>
          <w14:textFill>
            <w14:solidFill>
              <w14:schemeClr w14:val="tx1"/>
            </w14:solidFill>
          </w14:textFill>
        </w:rPr>
        <w:t>发生概率</w:t>
      </w:r>
      <w:r>
        <w:rPr>
          <w:rFonts w:hint="default" w:ascii="Times New Roman" w:hAnsi="Times New Roman" w:cs="Times New Roman"/>
          <w:bCs/>
          <w:color w:val="000000" w:themeColor="text1"/>
          <w:szCs w:val="24"/>
          <w:highlight w:val="none"/>
          <w14:textFill>
            <w14:solidFill>
              <w14:schemeClr w14:val="tx1"/>
            </w14:solidFill>
          </w14:textFill>
        </w:rPr>
        <w:t>低，通过严格按行业规范和环评要求完善事故防范措施和制定较详尽有效的事故应急方案，环境风险值会大大</w:t>
      </w:r>
      <w:r>
        <w:rPr>
          <w:rFonts w:hint="default" w:ascii="Times New Roman" w:hAnsi="Times New Roman" w:cs="Times New Roman"/>
          <w:bCs/>
          <w:color w:val="000000" w:themeColor="text1"/>
          <w:szCs w:val="24"/>
          <w:highlight w:val="none"/>
          <w:lang w:eastAsia="zh-CN"/>
          <w14:textFill>
            <w14:solidFill>
              <w14:schemeClr w14:val="tx1"/>
            </w14:solidFill>
          </w14:textFill>
        </w:rPr>
        <w:t>地</w:t>
      </w:r>
      <w:r>
        <w:rPr>
          <w:rFonts w:hint="default" w:ascii="Times New Roman" w:hAnsi="Times New Roman" w:cs="Times New Roman"/>
          <w:bCs/>
          <w:color w:val="000000" w:themeColor="text1"/>
          <w:szCs w:val="24"/>
          <w:highlight w:val="none"/>
          <w14:textFill>
            <w14:solidFill>
              <w14:schemeClr w14:val="tx1"/>
            </w14:solidFill>
          </w14:textFill>
        </w:rPr>
        <w:t>降低，环境风险可接受。</w:t>
      </w:r>
    </w:p>
    <w:p>
      <w:pPr>
        <w:ind w:firstLine="480"/>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bCs/>
          <w:color w:val="000000" w:themeColor="text1"/>
          <w:highlight w:val="none"/>
          <w14:textFill>
            <w14:solidFill>
              <w14:schemeClr w14:val="tx1"/>
            </w14:solidFill>
          </w14:textFill>
        </w:rPr>
        <w:t>综上所述，在严格落实本项目钻井设计和本评价提出的各项环保措施和环境风险防范以及应急措施后，从环境保护角度分析，本项目的建设是可行的。</w:t>
      </w:r>
    </w:p>
    <w:p>
      <w:pPr>
        <w:pStyle w:val="3"/>
        <w:keepNext/>
        <w:keepLines/>
        <w:pageBreakBefore w:val="0"/>
        <w:widowControl w:val="0"/>
        <w:kinsoku/>
        <w:wordWrap/>
        <w:overflowPunct/>
        <w:topLinePunct w:val="0"/>
        <w:autoSpaceDE/>
        <w:autoSpaceDN/>
        <w:bidi w:val="0"/>
        <w:adjustRightInd w:val="0"/>
        <w:snapToGrid w:val="0"/>
        <w:ind w:firstLineChars="0"/>
        <w:textAlignment w:val="auto"/>
        <w:rPr>
          <w:rFonts w:hint="default" w:ascii="Times New Roman" w:hAnsi="Times New Roman" w:cs="Times New Roman"/>
          <w:color w:val="000000" w:themeColor="text1"/>
          <w:highlight w:val="none"/>
          <w:lang w:eastAsia="zh-CN"/>
          <w14:textFill>
            <w14:solidFill>
              <w14:schemeClr w14:val="tx1"/>
            </w14:solidFill>
          </w14:textFill>
        </w:rPr>
      </w:pPr>
      <w:bookmarkStart w:id="558" w:name="10.12建议"/>
      <w:bookmarkEnd w:id="558"/>
      <w:bookmarkStart w:id="559" w:name="_bookmark60"/>
      <w:bookmarkEnd w:id="559"/>
      <w:bookmarkStart w:id="560" w:name="_Toc8116"/>
      <w:r>
        <w:rPr>
          <w:rFonts w:hint="default" w:ascii="Times New Roman" w:hAnsi="Times New Roman" w:cs="Times New Roman"/>
          <w:color w:val="000000" w:themeColor="text1"/>
          <w:highlight w:val="none"/>
          <w:lang w:eastAsia="zh-CN"/>
          <w14:textFill>
            <w14:solidFill>
              <w14:schemeClr w14:val="tx1"/>
            </w14:solidFill>
          </w14:textFill>
        </w:rPr>
        <w:t>建议</w:t>
      </w:r>
      <w:bookmarkEnd w:id="560"/>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（1）建设单位在工程实施期间，应加强对各项环保措施的建设、运转进行监理，以确保环保措施的有效性。</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（2）妥善解决好占用土地、作物、植被等所造成的恢复赔偿问题。</w:t>
      </w:r>
    </w:p>
    <w:p>
      <w:pPr>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（3）根据项目试采情况，满足验收条件后对项目进行验收，及时完善环保手续。</w:t>
      </w:r>
    </w:p>
    <w:p>
      <w:pPr>
        <w:ind w:firstLine="480"/>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（4）项目完成后，对周围环境进行跟踪监测。</w:t>
      </w:r>
    </w:p>
    <w:sectPr>
      <w:pgSz w:w="11910" w:h="16840"/>
      <w:pgMar w:top="1440" w:right="1800" w:bottom="1440" w:left="1800" w:header="964" w:footer="964" w:gutter="0"/>
      <w:pgBorders>
        <w:top w:val="none" w:sz="0" w:space="0"/>
        <w:left w:val="none" w:sz="0" w:space="0"/>
        <w:bottom w:val="none" w:sz="0" w:space="0"/>
        <w:right w:val="none" w:sz="0" w:space="0"/>
      </w:pgBorders>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1"/>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等线">
    <w:altName w:val="Arial Unicode MS"/>
    <w:panose1 w:val="02010600030101010101"/>
    <w:charset w:val="86"/>
    <w:family w:val="auto"/>
    <w:pitch w:val="default"/>
    <w:sig w:usb0="00000000" w:usb1="00000000" w:usb2="00000016" w:usb3="00000000" w:csb0="0004000F" w:csb1="00000000"/>
  </w:font>
  <w:font w:name="仿宋体">
    <w:altName w:val="宋体"/>
    <w:panose1 w:val="00000000000000000000"/>
    <w:charset w:val="86"/>
    <w:family w:val="roman"/>
    <w:pitch w:val="default"/>
    <w:sig w:usb0="00000000" w:usb1="00000000" w:usb2="00000010" w:usb3="00000000" w:csb0="00040000" w:csb1="00000000"/>
  </w:font>
  <w:font w:name="仿宋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2FF" w:usb1="400004FF" w:usb2="00000000" w:usb3="00000000" w:csb0="2000019F" w:csb1="00000000"/>
  </w:font>
  <w:font w:name="Arial Unicode MS">
    <w:panose1 w:val="020B0604020202020204"/>
    <w:charset w:val="86"/>
    <w:family w:val="swiss"/>
    <w:pitch w:val="default"/>
    <w:sig w:usb0="FFFFFFFF" w:usb1="E9FFFFFF" w:usb2="0000003F" w:usb3="00000000" w:csb0="603F01FF" w:csb1="FFFF0000"/>
  </w:font>
  <w:font w:name="楷体_GB2312">
    <w:panose1 w:val="02010609030101010101"/>
    <w:charset w:val="86"/>
    <w:family w:val="modern"/>
    <w:pitch w:val="default"/>
    <w:sig w:usb0="00000001" w:usb1="080E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华文仿宋">
    <w:panose1 w:val="02010600040101010101"/>
    <w:charset w:val="86"/>
    <w:family w:val="auto"/>
    <w:pitch w:val="default"/>
    <w:sig w:usb0="00000287" w:usb1="080F0000" w:usb2="00000000" w:usb3="00000000" w:csb0="0004009F" w:csb1="DFD70000"/>
  </w:font>
  <w:font w:name="等线 Light">
    <w:altName w:val="宋体"/>
    <w:panose1 w:val="02010600030101010101"/>
    <w:charset w:val="86"/>
    <w:family w:val="auto"/>
    <w:pitch w:val="default"/>
    <w:sig w:usb0="00000000" w:usb1="00000000"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Tahoma">
    <w:panose1 w:val="020B0604030504040204"/>
    <w:charset w:val="00"/>
    <w:family w:val="swiss"/>
    <w:pitch w:val="default"/>
    <w:sig w:usb0="E1002EFF" w:usb1="C000605B" w:usb2="00000029" w:usb3="00000000" w:csb0="200101FF" w:csb1="20280000"/>
  </w:font>
  <w:font w:name="Arial Narrow">
    <w:panose1 w:val="020B0606020202030204"/>
    <w:charset w:val="00"/>
    <w:family w:val="swiss"/>
    <w:pitch w:val="default"/>
    <w:sig w:usb0="00000287" w:usb1="00000800" w:usb2="00000000" w:usb3="00000000" w:csb0="2000009F" w:csb1="DFD70000"/>
  </w:font>
  <w:font w:name="华文中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10006FF" w:usb1="4000205B" w:usb2="00000010" w:usb3="00000000" w:csb0="2000019F" w:csb1="00000000"/>
  </w:font>
  <w:font w:name="Microsoft YaHei UI">
    <w:altName w:val="宋体"/>
    <w:panose1 w:val="020B0503020204020204"/>
    <w:charset w:val="86"/>
    <w:family w:val="swiss"/>
    <w:pitch w:val="default"/>
    <w:sig w:usb0="00000000" w:usb1="00000000" w:usb2="00000016" w:usb3="00000000" w:csb0="0004001F" w:csb1="00000000"/>
  </w:font>
  <w:font w:name="楷体">
    <w:panose1 w:val="02010609060101010101"/>
    <w:charset w:val="86"/>
    <w:family w:val="modern"/>
    <w:pitch w:val="default"/>
    <w:sig w:usb0="800002BF" w:usb1="38CF7CFA" w:usb2="00000016" w:usb3="00000000" w:csb0="00040001" w:csb1="00000000"/>
  </w:font>
  <w:font w:name="隶书">
    <w:panose1 w:val="0201050906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003" w:usb1="288F0000" w:usb2="00000006" w:usb3="00000000" w:csb0="00040001" w:csb1="00000000"/>
  </w:font>
  <w:font w:name="Cambria Math">
    <w:panose1 w:val="02040503050406030204"/>
    <w:charset w:val="00"/>
    <w:family w:val="roman"/>
    <w:pitch w:val="default"/>
    <w:sig w:usb0="E00002FF" w:usb1="420024FF" w:usb2="00000000" w:usb3="00000000" w:csb0="2000019F" w:csb1="00000000"/>
  </w:font>
  <w:font w:name="等线">
    <w:altName w:val="Arial Unicode MS"/>
    <w:panose1 w:val="00000000000000000000"/>
    <w:charset w:val="00"/>
    <w:family w:val="auto"/>
    <w:pitch w:val="default"/>
    <w:sig w:usb0="00000000" w:usb1="00000000" w:usb2="00000000" w:usb3="00000000" w:csb0="00000000" w:csb1="0000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52923551"/>
      <w:docPartObj>
        <w:docPartGallery w:val="autotext"/>
      </w:docPartObj>
    </w:sdtPr>
    <w:sdtEndPr>
      <w:rPr>
        <w:rFonts w:ascii="Times New Roman" w:hAnsi="Times New Roman"/>
        <w:sz w:val="21"/>
        <w:szCs w:val="21"/>
      </w:rPr>
    </w:sdtEndPr>
    <w:sdtContent>
      <w:p>
        <w:pPr>
          <w:pStyle w:val="32"/>
          <w:jc w:val="center"/>
          <w:rPr>
            <w:rFonts w:ascii="Times New Roman" w:hAnsi="Times New Roman"/>
            <w:sz w:val="21"/>
            <w:szCs w:val="21"/>
          </w:rPr>
        </w:pPr>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eastAsia="zh-CN"/>
          </w:rPr>
          <w:t>2</w:t>
        </w:r>
        <w:r>
          <w:rPr>
            <w:rFonts w:ascii="Times New Roman" w:hAnsi="Times New Roman"/>
            <w:sz w:val="21"/>
            <w:szCs w:val="21"/>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29635369"/>
      <w:docPartObj>
        <w:docPartGallery w:val="autotext"/>
      </w:docPartObj>
    </w:sdtPr>
    <w:sdtEndPr>
      <w:rPr>
        <w:rFonts w:ascii="Times New Roman" w:hAnsi="Times New Roman"/>
        <w:sz w:val="21"/>
        <w:szCs w:val="21"/>
      </w:rPr>
    </w:sdtEndPr>
    <w:sdtContent>
      <w:p>
        <w:pPr>
          <w:pStyle w:val="32"/>
          <w:jc w:val="center"/>
          <w:rPr>
            <w:rFonts w:ascii="Times New Roman" w:hAnsi="Times New Roman"/>
            <w:sz w:val="21"/>
            <w:szCs w:val="21"/>
          </w:rPr>
        </w:pPr>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eastAsia="zh-CN"/>
          </w:rPr>
          <w:t>2</w:t>
        </w:r>
        <w:r>
          <w:rPr>
            <w:rFonts w:ascii="Times New Roman" w:hAnsi="Times New Roman"/>
            <w:sz w:val="21"/>
            <w:szCs w:val="21"/>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jc w:val="right"/>
      <w:rPr>
        <w:rFonts w:ascii="Times New Roman" w:hAnsi="Times New Roman"/>
        <w:sz w:val="21"/>
        <w:szCs w:val="21"/>
      </w:rPr>
    </w:pPr>
    <w:r>
      <w:rPr>
        <w:rFonts w:hint="eastAsia"/>
        <w:sz w:val="21"/>
        <w:szCs w:val="21"/>
        <w:lang w:eastAsia="zh-CN"/>
      </w:rPr>
      <w:t>·</w:t>
    </w:r>
    <w:sdt>
      <w:sdtPr>
        <w:rPr>
          <w:sz w:val="21"/>
          <w:szCs w:val="21"/>
        </w:rPr>
        <w:id w:val="1549178307"/>
        <w:docPartObj>
          <w:docPartGallery w:val="autotext"/>
        </w:docPartObj>
      </w:sdtPr>
      <w:sdtEndPr>
        <w:rPr>
          <w:rFonts w:ascii="Times New Roman" w:hAnsi="Times New Roman"/>
          <w:sz w:val="21"/>
          <w:szCs w:val="21"/>
        </w:rPr>
      </w:sdtEndPr>
      <w:sdtContent>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eastAsia="zh-CN"/>
          </w:rPr>
          <w:t>2</w:t>
        </w:r>
        <w:r>
          <w:rPr>
            <w:rFonts w:ascii="Times New Roman" w:hAnsi="Times New Roman"/>
            <w:sz w:val="21"/>
            <w:szCs w:val="21"/>
          </w:rPr>
          <w:fldChar w:fldCharType="end"/>
        </w:r>
      </w:sdtContent>
    </w:sdt>
    <w:r>
      <w:rPr>
        <w:rFonts w:hint="eastAsia" w:ascii="Times New Roman" w:hAnsi="Times New Roman"/>
        <w:sz w:val="21"/>
        <w:szCs w:val="21"/>
        <w:lang w:eastAsia="zh-CN"/>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rPr>
        <w:rFonts w:ascii="Times New Roman" w:hAnsi="Times New Roman"/>
        <w:sz w:val="21"/>
        <w:szCs w:val="21"/>
      </w:rPr>
    </w:pPr>
    <w:r>
      <w:rPr>
        <w:rFonts w:hint="eastAsia"/>
        <w:sz w:val="21"/>
        <w:szCs w:val="21"/>
        <w:lang w:eastAsia="zh-CN"/>
      </w:rPr>
      <w:t>·</w:t>
    </w:r>
    <w:sdt>
      <w:sdtPr>
        <w:rPr>
          <w:sz w:val="21"/>
          <w:szCs w:val="21"/>
        </w:rPr>
        <w:id w:val="1652940242"/>
        <w:docPartObj>
          <w:docPartGallery w:val="autotext"/>
        </w:docPartObj>
      </w:sdtPr>
      <w:sdtEndPr>
        <w:rPr>
          <w:rFonts w:ascii="Times New Roman" w:hAnsi="Times New Roman"/>
          <w:sz w:val="21"/>
          <w:szCs w:val="21"/>
        </w:rPr>
      </w:sdtEndPr>
      <w:sdtContent>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eastAsia="zh-CN"/>
          </w:rPr>
          <w:t>2</w:t>
        </w:r>
        <w:r>
          <w:rPr>
            <w:rFonts w:ascii="Times New Roman" w:hAnsi="Times New Roman"/>
            <w:sz w:val="21"/>
            <w:szCs w:val="21"/>
          </w:rPr>
          <w:fldChar w:fldCharType="end"/>
        </w:r>
      </w:sdtContent>
    </w:sdt>
    <w:r>
      <w:rPr>
        <w:rFonts w:hint="eastAsia" w:ascii="Times New Roman" w:hAnsi="Times New Roman"/>
        <w:sz w:val="21"/>
        <w:szCs w:val="21"/>
        <w:lang w:eastAsia="zh-CN"/>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spacing w:line="240" w:lineRule="auto"/>
      <w:ind w:firstLine="420"/>
      <w:rPr>
        <w:rFonts w:ascii="Times New Roman" w:hAnsi="Times New Roman"/>
        <w:sz w:val="21"/>
        <w:szCs w:val="21"/>
        <w:lang w:eastAsia="zh-CN"/>
      </w:rPr>
    </w:pPr>
    <w:r>
      <w:rPr>
        <w:rFonts w:hint="eastAsia" w:ascii="Times New Roman" w:hAnsi="Times New Roman"/>
        <w:sz w:val="21"/>
        <w:szCs w:val="21"/>
        <w:lang w:eastAsia="zh-CN"/>
      </w:rPr>
      <w:t>普光</w:t>
    </w:r>
    <w:r>
      <w:rPr>
        <w:rFonts w:hint="eastAsia" w:ascii="Times New Roman" w:hAnsi="Times New Roman"/>
        <w:sz w:val="21"/>
        <w:szCs w:val="21"/>
        <w:lang w:val="en-US" w:eastAsia="zh-CN"/>
      </w:rPr>
      <w:t>气田</w:t>
    </w:r>
    <w:r>
      <w:rPr>
        <w:rFonts w:hint="eastAsia" w:ascii="Times New Roman" w:hAnsi="Times New Roman"/>
        <w:sz w:val="21"/>
        <w:szCs w:val="21"/>
        <w:highlight w:val="none"/>
        <w:lang w:val="en-US" w:eastAsia="zh-CN"/>
      </w:rPr>
      <w:t>P</w:t>
    </w:r>
    <w:r>
      <w:rPr>
        <w:rFonts w:hint="eastAsia" w:ascii="Times New Roman" w:hAnsi="Times New Roman"/>
        <w:sz w:val="21"/>
        <w:szCs w:val="21"/>
        <w:highlight w:val="none"/>
        <w:lang w:eastAsia="zh-CN"/>
      </w:rPr>
      <w:t>106-2</w:t>
    </w:r>
    <w:r>
      <w:rPr>
        <w:rFonts w:hint="eastAsia" w:ascii="Times New Roman" w:hAnsi="Times New Roman"/>
        <w:sz w:val="21"/>
        <w:szCs w:val="21"/>
        <w:lang w:val="en-US" w:eastAsia="zh-CN"/>
      </w:rPr>
      <w:t>H</w:t>
    </w:r>
    <w:r>
      <w:rPr>
        <w:rFonts w:hint="eastAsia" w:ascii="Times New Roman" w:hAnsi="Times New Roman"/>
        <w:sz w:val="21"/>
        <w:szCs w:val="21"/>
        <w:lang w:eastAsia="zh-CN"/>
      </w:rPr>
      <w:t>侧井</w:t>
    </w:r>
    <w:r>
      <w:rPr>
        <w:rFonts w:ascii="Times New Roman" w:hAnsi="Times New Roman"/>
        <w:sz w:val="21"/>
        <w:szCs w:val="21"/>
        <w:lang w:eastAsia="zh-CN"/>
      </w:rPr>
      <w:t>钻井及试采工程环境影响报告书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spacing w:line="240" w:lineRule="auto"/>
      <w:ind w:firstLine="360"/>
    </w:pPr>
    <w:r>
      <w:rPr>
        <w:rFonts w:hint="eastAsia"/>
        <w:lang w:eastAsia="zh-CN"/>
      </w:rPr>
      <w:t>目录</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spacing w:line="240" w:lineRule="auto"/>
      <w:ind w:firstLine="420"/>
    </w:pPr>
    <w:r>
      <w:rPr>
        <w:rFonts w:hint="eastAsia" w:ascii="Times New Roman" w:hAnsi="Times New Roman"/>
        <w:sz w:val="21"/>
        <w:szCs w:val="21"/>
        <w:lang w:eastAsia="zh-CN"/>
      </w:rPr>
      <w:t>普光</w:t>
    </w:r>
    <w:r>
      <w:rPr>
        <w:rFonts w:hint="eastAsia" w:ascii="Times New Roman" w:hAnsi="Times New Roman"/>
        <w:sz w:val="21"/>
        <w:szCs w:val="21"/>
        <w:lang w:val="en-US" w:eastAsia="zh-CN"/>
      </w:rPr>
      <w:t>气</w:t>
    </w:r>
    <w:r>
      <w:rPr>
        <w:rFonts w:hint="eastAsia" w:ascii="Times New Roman" w:hAnsi="Times New Roman"/>
        <w:sz w:val="21"/>
        <w:szCs w:val="21"/>
        <w:highlight w:val="none"/>
        <w:lang w:val="en-US" w:eastAsia="zh-CN"/>
      </w:rPr>
      <w:t>田P</w:t>
    </w:r>
    <w:r>
      <w:rPr>
        <w:rFonts w:hint="eastAsia" w:ascii="Times New Roman" w:hAnsi="Times New Roman"/>
        <w:sz w:val="21"/>
        <w:szCs w:val="21"/>
        <w:highlight w:val="none"/>
        <w:lang w:eastAsia="zh-CN"/>
      </w:rPr>
      <w:t>106-2</w:t>
    </w:r>
    <w:r>
      <w:rPr>
        <w:rFonts w:hint="eastAsia" w:ascii="Times New Roman" w:hAnsi="Times New Roman"/>
        <w:sz w:val="21"/>
        <w:szCs w:val="21"/>
        <w:highlight w:val="none"/>
        <w:lang w:val="en-US" w:eastAsia="zh-CN"/>
      </w:rPr>
      <w:t>H</w:t>
    </w:r>
    <w:r>
      <w:rPr>
        <w:rFonts w:hint="eastAsia" w:ascii="Times New Roman" w:hAnsi="Times New Roman"/>
        <w:sz w:val="21"/>
        <w:szCs w:val="21"/>
        <w:highlight w:val="none"/>
        <w:lang w:eastAsia="zh-CN"/>
      </w:rPr>
      <w:t>侧井</w:t>
    </w:r>
    <w:r>
      <w:rPr>
        <w:rFonts w:ascii="Times New Roman" w:hAnsi="Times New Roman"/>
        <w:sz w:val="21"/>
        <w:szCs w:val="21"/>
        <w:lang w:eastAsia="zh-CN"/>
      </w:rPr>
      <w:t>钻井及试采工程环境影响报告书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25179C"/>
    <w:multiLevelType w:val="singleLevel"/>
    <w:tmpl w:val="9525179C"/>
    <w:lvl w:ilvl="0" w:tentative="0">
      <w:start w:val="1"/>
      <w:numFmt w:val="decimal"/>
      <w:suff w:val="nothing"/>
      <w:lvlText w:val="（%1）"/>
      <w:lvlJc w:val="left"/>
    </w:lvl>
  </w:abstractNum>
  <w:abstractNum w:abstractNumId="1">
    <w:nsid w:val="9842567C"/>
    <w:multiLevelType w:val="singleLevel"/>
    <w:tmpl w:val="9842567C"/>
    <w:lvl w:ilvl="0" w:tentative="0">
      <w:start w:val="1"/>
      <w:numFmt w:val="decimal"/>
      <w:suff w:val="nothing"/>
      <w:lvlText w:val="（%1）"/>
      <w:lvlJc w:val="left"/>
    </w:lvl>
  </w:abstractNum>
  <w:abstractNum w:abstractNumId="2">
    <w:nsid w:val="A4556A85"/>
    <w:multiLevelType w:val="singleLevel"/>
    <w:tmpl w:val="A4556A85"/>
    <w:lvl w:ilvl="0" w:tentative="0">
      <w:start w:val="1"/>
      <w:numFmt w:val="decimal"/>
      <w:suff w:val="nothing"/>
      <w:lvlText w:val="（%1）"/>
      <w:lvlJc w:val="left"/>
    </w:lvl>
  </w:abstractNum>
  <w:abstractNum w:abstractNumId="3">
    <w:nsid w:val="C8F22312"/>
    <w:multiLevelType w:val="singleLevel"/>
    <w:tmpl w:val="C8F22312"/>
    <w:lvl w:ilvl="0" w:tentative="0">
      <w:start w:val="2"/>
      <w:numFmt w:val="decimal"/>
      <w:suff w:val="nothing"/>
      <w:lvlText w:val="（%1）"/>
      <w:lvlJc w:val="left"/>
    </w:lvl>
  </w:abstractNum>
  <w:abstractNum w:abstractNumId="4">
    <w:nsid w:val="DC42DB00"/>
    <w:multiLevelType w:val="singleLevel"/>
    <w:tmpl w:val="DC42DB00"/>
    <w:lvl w:ilvl="0" w:tentative="0">
      <w:start w:val="2"/>
      <w:numFmt w:val="decimal"/>
      <w:suff w:val="nothing"/>
      <w:lvlText w:val="%1、"/>
      <w:lvlJc w:val="left"/>
    </w:lvl>
  </w:abstractNum>
  <w:abstractNum w:abstractNumId="5">
    <w:nsid w:val="DF81E802"/>
    <w:multiLevelType w:val="singleLevel"/>
    <w:tmpl w:val="DF81E802"/>
    <w:lvl w:ilvl="0" w:tentative="0">
      <w:start w:val="1"/>
      <w:numFmt w:val="decimal"/>
      <w:suff w:val="nothing"/>
      <w:lvlText w:val="%1）"/>
      <w:lvlJc w:val="left"/>
    </w:lvl>
  </w:abstractNum>
  <w:abstractNum w:abstractNumId="6">
    <w:nsid w:val="00F6800D"/>
    <w:multiLevelType w:val="singleLevel"/>
    <w:tmpl w:val="00F6800D"/>
    <w:lvl w:ilvl="0" w:tentative="0">
      <w:start w:val="2"/>
      <w:numFmt w:val="decimal"/>
      <w:suff w:val="nothing"/>
      <w:lvlText w:val="%1）"/>
      <w:lvlJc w:val="left"/>
    </w:lvl>
  </w:abstractNum>
  <w:abstractNum w:abstractNumId="7">
    <w:nsid w:val="13D45BD0"/>
    <w:multiLevelType w:val="multilevel"/>
    <w:tmpl w:val="13D45BD0"/>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8">
    <w:nsid w:val="152F5B0A"/>
    <w:multiLevelType w:val="multilevel"/>
    <w:tmpl w:val="152F5B0A"/>
    <w:lvl w:ilvl="0" w:tentative="0">
      <w:start w:val="1"/>
      <w:numFmt w:val="decimal"/>
      <w:pStyle w:val="606"/>
      <w:suff w:val="nothing"/>
      <w:lvlText w:val="（%1）"/>
      <w:lvlJc w:val="left"/>
      <w:pPr>
        <w:ind w:left="1272" w:hanging="420"/>
      </w:pPr>
      <w:rPr>
        <w:rFonts w:hint="default" w:ascii="Times New Roman" w:hAnsi="Times New Roman"/>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2D1B22AA"/>
    <w:multiLevelType w:val="multilevel"/>
    <w:tmpl w:val="2D1B22AA"/>
    <w:lvl w:ilvl="0" w:tentative="0">
      <w:start w:val="1"/>
      <w:numFmt w:val="decimal"/>
      <w:suff w:val="nothing"/>
      <w:lvlText w:val="（%1）"/>
      <w:lvlJc w:val="left"/>
      <w:pPr>
        <w:ind w:left="-170" w:firstLine="595"/>
      </w:pPr>
      <w:rPr>
        <w:rFonts w:hint="default" w:ascii="Times New Roman" w:hAnsi="Times New Roman"/>
        <w:lang w:val="en-US"/>
      </w:rPr>
    </w:lvl>
    <w:lvl w:ilvl="1" w:tentative="0">
      <w:start w:val="1"/>
      <w:numFmt w:val="lowerLetter"/>
      <w:lvlText w:val="%2)"/>
      <w:lvlJc w:val="left"/>
      <w:pPr>
        <w:ind w:left="1266" w:hanging="420"/>
      </w:pPr>
      <w:rPr>
        <w:rFonts w:hint="eastAsia"/>
      </w:rPr>
    </w:lvl>
    <w:lvl w:ilvl="2" w:tentative="0">
      <w:start w:val="1"/>
      <w:numFmt w:val="lowerRoman"/>
      <w:lvlText w:val="%3."/>
      <w:lvlJc w:val="right"/>
      <w:pPr>
        <w:ind w:left="1686" w:hanging="420"/>
      </w:pPr>
      <w:rPr>
        <w:rFonts w:hint="eastAsia"/>
      </w:rPr>
    </w:lvl>
    <w:lvl w:ilvl="3" w:tentative="0">
      <w:start w:val="1"/>
      <w:numFmt w:val="decimal"/>
      <w:lvlText w:val="%4."/>
      <w:lvlJc w:val="left"/>
      <w:pPr>
        <w:ind w:left="2106" w:hanging="420"/>
      </w:pPr>
      <w:rPr>
        <w:rFonts w:hint="eastAsia"/>
      </w:rPr>
    </w:lvl>
    <w:lvl w:ilvl="4" w:tentative="0">
      <w:start w:val="1"/>
      <w:numFmt w:val="lowerLetter"/>
      <w:lvlText w:val="%5)"/>
      <w:lvlJc w:val="left"/>
      <w:pPr>
        <w:ind w:left="2526" w:hanging="420"/>
      </w:pPr>
      <w:rPr>
        <w:rFonts w:hint="eastAsia"/>
      </w:rPr>
    </w:lvl>
    <w:lvl w:ilvl="5" w:tentative="0">
      <w:start w:val="1"/>
      <w:numFmt w:val="lowerRoman"/>
      <w:lvlText w:val="%6."/>
      <w:lvlJc w:val="right"/>
      <w:pPr>
        <w:ind w:left="2946" w:hanging="420"/>
      </w:pPr>
      <w:rPr>
        <w:rFonts w:hint="eastAsia"/>
      </w:rPr>
    </w:lvl>
    <w:lvl w:ilvl="6" w:tentative="0">
      <w:start w:val="1"/>
      <w:numFmt w:val="decimal"/>
      <w:lvlText w:val="%7."/>
      <w:lvlJc w:val="left"/>
      <w:pPr>
        <w:ind w:left="3366" w:hanging="420"/>
      </w:pPr>
      <w:rPr>
        <w:rFonts w:hint="eastAsia"/>
      </w:rPr>
    </w:lvl>
    <w:lvl w:ilvl="7" w:tentative="0">
      <w:start w:val="1"/>
      <w:numFmt w:val="lowerLetter"/>
      <w:lvlText w:val="%8)"/>
      <w:lvlJc w:val="left"/>
      <w:pPr>
        <w:ind w:left="3786" w:hanging="420"/>
      </w:pPr>
      <w:rPr>
        <w:rFonts w:hint="eastAsia"/>
      </w:rPr>
    </w:lvl>
    <w:lvl w:ilvl="8" w:tentative="0">
      <w:start w:val="1"/>
      <w:numFmt w:val="lowerRoman"/>
      <w:lvlText w:val="%9."/>
      <w:lvlJc w:val="right"/>
      <w:pPr>
        <w:ind w:left="4206" w:hanging="420"/>
      </w:pPr>
      <w:rPr>
        <w:rFonts w:hint="eastAsia"/>
      </w:rPr>
    </w:lvl>
  </w:abstractNum>
  <w:abstractNum w:abstractNumId="10">
    <w:nsid w:val="30E570E3"/>
    <w:multiLevelType w:val="multilevel"/>
    <w:tmpl w:val="30E570E3"/>
    <w:lvl w:ilvl="0" w:tentative="0">
      <w:start w:val="1"/>
      <w:numFmt w:val="bullet"/>
      <w:pStyle w:val="36"/>
      <w:lvlText w:val=""/>
      <w:lvlJc w:val="left"/>
      <w:pPr>
        <w:ind w:left="207" w:hanging="181"/>
      </w:pPr>
      <w:rPr>
        <w:rFonts w:hint="default" w:ascii="Symbol" w:hAnsi="Symbol" w:eastAsia="Symbol"/>
        <w:w w:val="102"/>
        <w:sz w:val="24"/>
        <w:szCs w:val="24"/>
      </w:rPr>
    </w:lvl>
    <w:lvl w:ilvl="1" w:tentative="0">
      <w:start w:val="1"/>
      <w:numFmt w:val="bullet"/>
      <w:lvlText w:val="•"/>
      <w:lvlJc w:val="left"/>
      <w:pPr>
        <w:ind w:left="239" w:hanging="181"/>
      </w:pPr>
      <w:rPr>
        <w:rFonts w:hint="default"/>
      </w:rPr>
    </w:lvl>
    <w:lvl w:ilvl="2" w:tentative="0">
      <w:start w:val="1"/>
      <w:numFmt w:val="bullet"/>
      <w:lvlText w:val="•"/>
      <w:lvlJc w:val="left"/>
      <w:pPr>
        <w:ind w:left="279" w:hanging="181"/>
      </w:pPr>
      <w:rPr>
        <w:rFonts w:hint="default"/>
      </w:rPr>
    </w:lvl>
    <w:lvl w:ilvl="3" w:tentative="0">
      <w:start w:val="1"/>
      <w:numFmt w:val="bullet"/>
      <w:lvlText w:val="•"/>
      <w:lvlJc w:val="left"/>
      <w:pPr>
        <w:ind w:left="319" w:hanging="181"/>
      </w:pPr>
      <w:rPr>
        <w:rFonts w:hint="default"/>
      </w:rPr>
    </w:lvl>
    <w:lvl w:ilvl="4" w:tentative="0">
      <w:start w:val="1"/>
      <w:numFmt w:val="bullet"/>
      <w:lvlText w:val="•"/>
      <w:lvlJc w:val="left"/>
      <w:pPr>
        <w:ind w:left="359" w:hanging="181"/>
      </w:pPr>
      <w:rPr>
        <w:rFonts w:hint="default"/>
      </w:rPr>
    </w:lvl>
    <w:lvl w:ilvl="5" w:tentative="0">
      <w:start w:val="1"/>
      <w:numFmt w:val="bullet"/>
      <w:lvlText w:val="•"/>
      <w:lvlJc w:val="left"/>
      <w:pPr>
        <w:ind w:left="398" w:hanging="181"/>
      </w:pPr>
      <w:rPr>
        <w:rFonts w:hint="default"/>
      </w:rPr>
    </w:lvl>
    <w:lvl w:ilvl="6" w:tentative="0">
      <w:start w:val="1"/>
      <w:numFmt w:val="bullet"/>
      <w:lvlText w:val="•"/>
      <w:lvlJc w:val="left"/>
      <w:pPr>
        <w:ind w:left="438" w:hanging="181"/>
      </w:pPr>
      <w:rPr>
        <w:rFonts w:hint="default"/>
      </w:rPr>
    </w:lvl>
    <w:lvl w:ilvl="7" w:tentative="0">
      <w:start w:val="1"/>
      <w:numFmt w:val="bullet"/>
      <w:lvlText w:val="•"/>
      <w:lvlJc w:val="left"/>
      <w:pPr>
        <w:ind w:left="478" w:hanging="181"/>
      </w:pPr>
      <w:rPr>
        <w:rFonts w:hint="default"/>
      </w:rPr>
    </w:lvl>
    <w:lvl w:ilvl="8" w:tentative="0">
      <w:start w:val="1"/>
      <w:numFmt w:val="bullet"/>
      <w:lvlText w:val="•"/>
      <w:lvlJc w:val="left"/>
      <w:pPr>
        <w:ind w:left="518" w:hanging="181"/>
      </w:pPr>
      <w:rPr>
        <w:rFonts w:hint="default"/>
      </w:rPr>
    </w:lvl>
  </w:abstractNum>
  <w:abstractNum w:abstractNumId="11">
    <w:nsid w:val="35197CC4"/>
    <w:multiLevelType w:val="singleLevel"/>
    <w:tmpl w:val="35197CC4"/>
    <w:lvl w:ilvl="0" w:tentative="0">
      <w:start w:val="2"/>
      <w:numFmt w:val="decimal"/>
      <w:suff w:val="nothing"/>
      <w:lvlText w:val="%1、"/>
      <w:lvlJc w:val="left"/>
    </w:lvl>
  </w:abstractNum>
  <w:abstractNum w:abstractNumId="12">
    <w:nsid w:val="43EB5AE6"/>
    <w:multiLevelType w:val="multilevel"/>
    <w:tmpl w:val="43EB5AE6"/>
    <w:lvl w:ilvl="0" w:tentative="0">
      <w:start w:val="1"/>
      <w:numFmt w:val="decimal"/>
      <w:pStyle w:val="2"/>
      <w:suff w:val="nothing"/>
      <w:lvlText w:val="%1、"/>
      <w:lvlJc w:val="left"/>
      <w:pPr>
        <w:ind w:left="5671" w:firstLine="0"/>
      </w:pPr>
      <w:rPr>
        <w:rFonts w:hint="eastAsia"/>
        <w:b w:val="0"/>
        <w:bCs w:val="0"/>
      </w:rPr>
    </w:lvl>
    <w:lvl w:ilvl="1" w:tentative="0">
      <w:start w:val="1"/>
      <w:numFmt w:val="decimal"/>
      <w:pStyle w:val="3"/>
      <w:suff w:val="space"/>
      <w:lvlText w:val="%1.%2"/>
      <w:lvlJc w:val="left"/>
      <w:pPr>
        <w:ind w:left="0" w:firstLine="0"/>
      </w:pPr>
      <w:rPr>
        <w:rFonts w:hint="eastAsia"/>
      </w:rPr>
    </w:lvl>
    <w:lvl w:ilvl="2" w:tentative="0">
      <w:start w:val="1"/>
      <w:numFmt w:val="decimal"/>
      <w:pStyle w:val="4"/>
      <w:suff w:val="space"/>
      <w:lvlText w:val="%1.%2.%3"/>
      <w:lvlJc w:val="left"/>
      <w:pPr>
        <w:ind w:left="5301" w:firstLine="0"/>
      </w:pPr>
      <w:rPr>
        <w:rFonts w:hint="eastAsia"/>
        <w:b w:val="0"/>
        <w:bCs w:val="0"/>
      </w:rPr>
    </w:lvl>
    <w:lvl w:ilvl="3" w:tentative="0">
      <w:start w:val="1"/>
      <w:numFmt w:val="decimal"/>
      <w:pStyle w:val="5"/>
      <w:suff w:val="space"/>
      <w:lvlText w:val="%1.%2.%3.%4"/>
      <w:lvlJc w:val="left"/>
      <w:pPr>
        <w:ind w:left="1135" w:firstLine="0"/>
      </w:p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3">
    <w:nsid w:val="52FD77F4"/>
    <w:multiLevelType w:val="multilevel"/>
    <w:tmpl w:val="52FD77F4"/>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4">
    <w:nsid w:val="60994709"/>
    <w:multiLevelType w:val="singleLevel"/>
    <w:tmpl w:val="60994709"/>
    <w:lvl w:ilvl="0" w:tentative="0">
      <w:start w:val="6"/>
      <w:numFmt w:val="decimal"/>
      <w:suff w:val="nothing"/>
      <w:lvlText w:val="（%1）"/>
      <w:lvlJc w:val="left"/>
    </w:lvl>
  </w:abstractNum>
  <w:abstractNum w:abstractNumId="15">
    <w:nsid w:val="7B6CAF15"/>
    <w:multiLevelType w:val="singleLevel"/>
    <w:tmpl w:val="7B6CAF15"/>
    <w:lvl w:ilvl="0" w:tentative="0">
      <w:start w:val="1"/>
      <w:numFmt w:val="decimal"/>
      <w:suff w:val="nothing"/>
      <w:lvlText w:val="（%1）"/>
      <w:lvlJc w:val="left"/>
    </w:lvl>
  </w:abstractNum>
  <w:num w:numId="1">
    <w:abstractNumId w:val="12"/>
  </w:num>
  <w:num w:numId="2">
    <w:abstractNumId w:val="10"/>
  </w:num>
  <w:num w:numId="3">
    <w:abstractNumId w:val="8"/>
  </w:num>
  <w:num w:numId="4">
    <w:abstractNumId w:val="2"/>
  </w:num>
  <w:num w:numId="5">
    <w:abstractNumId w:val="0"/>
  </w:num>
  <w:num w:numId="6">
    <w:abstractNumId w:val="9"/>
  </w:num>
  <w:num w:numId="7">
    <w:abstractNumId w:val="3"/>
  </w:num>
  <w:num w:numId="8">
    <w:abstractNumId w:val="1"/>
  </w:num>
  <w:num w:numId="9">
    <w:abstractNumId w:val="6"/>
  </w:num>
  <w:num w:numId="10">
    <w:abstractNumId w:val="5"/>
  </w:num>
  <w:num w:numId="11">
    <w:abstractNumId w:val="11"/>
  </w:num>
  <w:num w:numId="12">
    <w:abstractNumId w:val="4"/>
  </w:num>
  <w:num w:numId="13">
    <w:abstractNumId w:val="15"/>
  </w:num>
  <w:num w:numId="14">
    <w:abstractNumId w:val="14"/>
  </w:num>
  <w:num w:numId="15">
    <w:abstractNumId w:val="13"/>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efaultTabStop w:val="720"/>
  <w:evenAndOddHeaders w:val="1"/>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QyMjhkYTYyOTE5MzZkNTk3MjI4ZjVjYWI2MzM3NjkifQ=="/>
  </w:docVars>
  <w:rsids>
    <w:rsidRoot w:val="00B8303D"/>
    <w:rsid w:val="000005C9"/>
    <w:rsid w:val="00000C0A"/>
    <w:rsid w:val="00001291"/>
    <w:rsid w:val="0000129F"/>
    <w:rsid w:val="00001BC1"/>
    <w:rsid w:val="00001E1D"/>
    <w:rsid w:val="00002044"/>
    <w:rsid w:val="00003C78"/>
    <w:rsid w:val="0000422E"/>
    <w:rsid w:val="00004562"/>
    <w:rsid w:val="00005E95"/>
    <w:rsid w:val="00005FE4"/>
    <w:rsid w:val="00006D9D"/>
    <w:rsid w:val="0000719A"/>
    <w:rsid w:val="00007899"/>
    <w:rsid w:val="00007964"/>
    <w:rsid w:val="0001015F"/>
    <w:rsid w:val="00010495"/>
    <w:rsid w:val="000107E1"/>
    <w:rsid w:val="00011F50"/>
    <w:rsid w:val="000126F8"/>
    <w:rsid w:val="00012758"/>
    <w:rsid w:val="00012863"/>
    <w:rsid w:val="0001338D"/>
    <w:rsid w:val="000135BC"/>
    <w:rsid w:val="00013B12"/>
    <w:rsid w:val="000140A5"/>
    <w:rsid w:val="00014CEB"/>
    <w:rsid w:val="00015547"/>
    <w:rsid w:val="00015E0A"/>
    <w:rsid w:val="0001683F"/>
    <w:rsid w:val="000174C7"/>
    <w:rsid w:val="00017E6C"/>
    <w:rsid w:val="00020172"/>
    <w:rsid w:val="000210E0"/>
    <w:rsid w:val="0002110E"/>
    <w:rsid w:val="000211D4"/>
    <w:rsid w:val="0002125A"/>
    <w:rsid w:val="00021604"/>
    <w:rsid w:val="00021785"/>
    <w:rsid w:val="00021A23"/>
    <w:rsid w:val="00022611"/>
    <w:rsid w:val="000226FB"/>
    <w:rsid w:val="00022ED3"/>
    <w:rsid w:val="00023105"/>
    <w:rsid w:val="00023579"/>
    <w:rsid w:val="00025071"/>
    <w:rsid w:val="0002567D"/>
    <w:rsid w:val="000256F3"/>
    <w:rsid w:val="0002590C"/>
    <w:rsid w:val="000259B5"/>
    <w:rsid w:val="000267B3"/>
    <w:rsid w:val="00026C6E"/>
    <w:rsid w:val="000275B9"/>
    <w:rsid w:val="000276EE"/>
    <w:rsid w:val="00027E52"/>
    <w:rsid w:val="0003158D"/>
    <w:rsid w:val="000319AF"/>
    <w:rsid w:val="00032558"/>
    <w:rsid w:val="000325C8"/>
    <w:rsid w:val="00032757"/>
    <w:rsid w:val="00032C16"/>
    <w:rsid w:val="000336CC"/>
    <w:rsid w:val="000340C5"/>
    <w:rsid w:val="00034161"/>
    <w:rsid w:val="000342B9"/>
    <w:rsid w:val="000350D3"/>
    <w:rsid w:val="00035523"/>
    <w:rsid w:val="0003568A"/>
    <w:rsid w:val="000358C4"/>
    <w:rsid w:val="00035B47"/>
    <w:rsid w:val="0003687F"/>
    <w:rsid w:val="00037455"/>
    <w:rsid w:val="0003790B"/>
    <w:rsid w:val="00037B88"/>
    <w:rsid w:val="0004037D"/>
    <w:rsid w:val="00040516"/>
    <w:rsid w:val="0004064A"/>
    <w:rsid w:val="000408D0"/>
    <w:rsid w:val="00040CB2"/>
    <w:rsid w:val="00041340"/>
    <w:rsid w:val="00041519"/>
    <w:rsid w:val="00041E00"/>
    <w:rsid w:val="00041EBC"/>
    <w:rsid w:val="000426CC"/>
    <w:rsid w:val="00042DFF"/>
    <w:rsid w:val="00042F5B"/>
    <w:rsid w:val="000436DC"/>
    <w:rsid w:val="00043A4A"/>
    <w:rsid w:val="0004419B"/>
    <w:rsid w:val="0004421C"/>
    <w:rsid w:val="00044300"/>
    <w:rsid w:val="00044D8D"/>
    <w:rsid w:val="000452D8"/>
    <w:rsid w:val="00045C09"/>
    <w:rsid w:val="00046943"/>
    <w:rsid w:val="00046D6F"/>
    <w:rsid w:val="00047733"/>
    <w:rsid w:val="0004783B"/>
    <w:rsid w:val="00047E3B"/>
    <w:rsid w:val="00050300"/>
    <w:rsid w:val="00050B69"/>
    <w:rsid w:val="00050BE7"/>
    <w:rsid w:val="00051322"/>
    <w:rsid w:val="00051514"/>
    <w:rsid w:val="000519D4"/>
    <w:rsid w:val="00051CAE"/>
    <w:rsid w:val="000521CE"/>
    <w:rsid w:val="00052A1C"/>
    <w:rsid w:val="000532D4"/>
    <w:rsid w:val="0005352E"/>
    <w:rsid w:val="0005395D"/>
    <w:rsid w:val="00053B30"/>
    <w:rsid w:val="00053E3D"/>
    <w:rsid w:val="000541E3"/>
    <w:rsid w:val="00054235"/>
    <w:rsid w:val="00054513"/>
    <w:rsid w:val="00054CE1"/>
    <w:rsid w:val="00054CF1"/>
    <w:rsid w:val="00054F0B"/>
    <w:rsid w:val="00054FBE"/>
    <w:rsid w:val="000557DA"/>
    <w:rsid w:val="00055E45"/>
    <w:rsid w:val="000563A3"/>
    <w:rsid w:val="00056841"/>
    <w:rsid w:val="00057C88"/>
    <w:rsid w:val="00057D34"/>
    <w:rsid w:val="00060556"/>
    <w:rsid w:val="00061D76"/>
    <w:rsid w:val="00062471"/>
    <w:rsid w:val="00062536"/>
    <w:rsid w:val="0006254A"/>
    <w:rsid w:val="00062C5E"/>
    <w:rsid w:val="00064062"/>
    <w:rsid w:val="00064312"/>
    <w:rsid w:val="0006439B"/>
    <w:rsid w:val="00064C78"/>
    <w:rsid w:val="00065039"/>
    <w:rsid w:val="00065998"/>
    <w:rsid w:val="00065A7C"/>
    <w:rsid w:val="000664DD"/>
    <w:rsid w:val="0006685C"/>
    <w:rsid w:val="00067195"/>
    <w:rsid w:val="00067A4D"/>
    <w:rsid w:val="00070786"/>
    <w:rsid w:val="00070A11"/>
    <w:rsid w:val="00071CF9"/>
    <w:rsid w:val="00071EE2"/>
    <w:rsid w:val="000723CB"/>
    <w:rsid w:val="00072752"/>
    <w:rsid w:val="00072FEA"/>
    <w:rsid w:val="000732EC"/>
    <w:rsid w:val="0007350F"/>
    <w:rsid w:val="0007493F"/>
    <w:rsid w:val="00074BFA"/>
    <w:rsid w:val="00074CC3"/>
    <w:rsid w:val="00074E85"/>
    <w:rsid w:val="0007546B"/>
    <w:rsid w:val="0007619E"/>
    <w:rsid w:val="00076223"/>
    <w:rsid w:val="0007644C"/>
    <w:rsid w:val="00076930"/>
    <w:rsid w:val="00077783"/>
    <w:rsid w:val="00077A04"/>
    <w:rsid w:val="00077AF2"/>
    <w:rsid w:val="00077D71"/>
    <w:rsid w:val="00080119"/>
    <w:rsid w:val="00080305"/>
    <w:rsid w:val="00080A6C"/>
    <w:rsid w:val="00081457"/>
    <w:rsid w:val="00081A82"/>
    <w:rsid w:val="00081BC3"/>
    <w:rsid w:val="000827D5"/>
    <w:rsid w:val="00082EA8"/>
    <w:rsid w:val="000831AF"/>
    <w:rsid w:val="00083515"/>
    <w:rsid w:val="00084595"/>
    <w:rsid w:val="000846B2"/>
    <w:rsid w:val="0008482E"/>
    <w:rsid w:val="00084EE1"/>
    <w:rsid w:val="000852FA"/>
    <w:rsid w:val="00085BC2"/>
    <w:rsid w:val="00087418"/>
    <w:rsid w:val="00087DD7"/>
    <w:rsid w:val="00087EB9"/>
    <w:rsid w:val="00090294"/>
    <w:rsid w:val="00090671"/>
    <w:rsid w:val="00090EF2"/>
    <w:rsid w:val="00090FE3"/>
    <w:rsid w:val="00091268"/>
    <w:rsid w:val="000912BD"/>
    <w:rsid w:val="00091EE6"/>
    <w:rsid w:val="00092363"/>
    <w:rsid w:val="000925D8"/>
    <w:rsid w:val="00092862"/>
    <w:rsid w:val="00093B08"/>
    <w:rsid w:val="0009444A"/>
    <w:rsid w:val="00094606"/>
    <w:rsid w:val="00094D19"/>
    <w:rsid w:val="00096D4A"/>
    <w:rsid w:val="000972F8"/>
    <w:rsid w:val="00097EEB"/>
    <w:rsid w:val="000A0EBA"/>
    <w:rsid w:val="000A1900"/>
    <w:rsid w:val="000A1A4C"/>
    <w:rsid w:val="000A2BF3"/>
    <w:rsid w:val="000A2FDE"/>
    <w:rsid w:val="000A4873"/>
    <w:rsid w:val="000A54E6"/>
    <w:rsid w:val="000A5BDB"/>
    <w:rsid w:val="000A5CF8"/>
    <w:rsid w:val="000A6BB1"/>
    <w:rsid w:val="000A6CC7"/>
    <w:rsid w:val="000A7630"/>
    <w:rsid w:val="000A7F05"/>
    <w:rsid w:val="000B034A"/>
    <w:rsid w:val="000B09F7"/>
    <w:rsid w:val="000B1CBB"/>
    <w:rsid w:val="000B1E75"/>
    <w:rsid w:val="000B2927"/>
    <w:rsid w:val="000B2ED1"/>
    <w:rsid w:val="000B3E74"/>
    <w:rsid w:val="000B4282"/>
    <w:rsid w:val="000B4666"/>
    <w:rsid w:val="000B5517"/>
    <w:rsid w:val="000B5DBB"/>
    <w:rsid w:val="000B6679"/>
    <w:rsid w:val="000B6983"/>
    <w:rsid w:val="000B6D55"/>
    <w:rsid w:val="000B736C"/>
    <w:rsid w:val="000B7444"/>
    <w:rsid w:val="000B7D48"/>
    <w:rsid w:val="000C0113"/>
    <w:rsid w:val="000C118C"/>
    <w:rsid w:val="000C19DD"/>
    <w:rsid w:val="000C1A72"/>
    <w:rsid w:val="000C1F81"/>
    <w:rsid w:val="000C273A"/>
    <w:rsid w:val="000C2B47"/>
    <w:rsid w:val="000C2EE6"/>
    <w:rsid w:val="000C313A"/>
    <w:rsid w:val="000C3146"/>
    <w:rsid w:val="000C3512"/>
    <w:rsid w:val="000C3744"/>
    <w:rsid w:val="000C3942"/>
    <w:rsid w:val="000C4084"/>
    <w:rsid w:val="000C41FF"/>
    <w:rsid w:val="000C460A"/>
    <w:rsid w:val="000C4CA7"/>
    <w:rsid w:val="000C55CC"/>
    <w:rsid w:val="000C5AF0"/>
    <w:rsid w:val="000C61B5"/>
    <w:rsid w:val="000C6296"/>
    <w:rsid w:val="000C6CB4"/>
    <w:rsid w:val="000C6D8A"/>
    <w:rsid w:val="000C7123"/>
    <w:rsid w:val="000C72E4"/>
    <w:rsid w:val="000C75C4"/>
    <w:rsid w:val="000C781E"/>
    <w:rsid w:val="000C78D5"/>
    <w:rsid w:val="000D019D"/>
    <w:rsid w:val="000D0860"/>
    <w:rsid w:val="000D0F83"/>
    <w:rsid w:val="000D1065"/>
    <w:rsid w:val="000D120E"/>
    <w:rsid w:val="000D1626"/>
    <w:rsid w:val="000D181B"/>
    <w:rsid w:val="000D1CD4"/>
    <w:rsid w:val="000D205D"/>
    <w:rsid w:val="000D2F87"/>
    <w:rsid w:val="000D401F"/>
    <w:rsid w:val="000D4C87"/>
    <w:rsid w:val="000D5816"/>
    <w:rsid w:val="000D5E3F"/>
    <w:rsid w:val="000D664A"/>
    <w:rsid w:val="000D6753"/>
    <w:rsid w:val="000D6C7E"/>
    <w:rsid w:val="000D737E"/>
    <w:rsid w:val="000D76B8"/>
    <w:rsid w:val="000D76D5"/>
    <w:rsid w:val="000D7B9B"/>
    <w:rsid w:val="000D7E27"/>
    <w:rsid w:val="000E020B"/>
    <w:rsid w:val="000E0D00"/>
    <w:rsid w:val="000E137E"/>
    <w:rsid w:val="000E1747"/>
    <w:rsid w:val="000E1BFD"/>
    <w:rsid w:val="000E24DA"/>
    <w:rsid w:val="000E3DDF"/>
    <w:rsid w:val="000E4284"/>
    <w:rsid w:val="000E42E5"/>
    <w:rsid w:val="000E4933"/>
    <w:rsid w:val="000E4D35"/>
    <w:rsid w:val="000E5198"/>
    <w:rsid w:val="000E5A0D"/>
    <w:rsid w:val="000E5E5A"/>
    <w:rsid w:val="000E6751"/>
    <w:rsid w:val="000E6B19"/>
    <w:rsid w:val="000E6D4E"/>
    <w:rsid w:val="000E7B9A"/>
    <w:rsid w:val="000E7C99"/>
    <w:rsid w:val="000F0A8A"/>
    <w:rsid w:val="000F0CEF"/>
    <w:rsid w:val="000F0E12"/>
    <w:rsid w:val="000F0E25"/>
    <w:rsid w:val="000F151D"/>
    <w:rsid w:val="000F164F"/>
    <w:rsid w:val="000F2AA0"/>
    <w:rsid w:val="000F3B1E"/>
    <w:rsid w:val="000F3E53"/>
    <w:rsid w:val="000F44CB"/>
    <w:rsid w:val="000F4D98"/>
    <w:rsid w:val="000F5015"/>
    <w:rsid w:val="000F535E"/>
    <w:rsid w:val="000F580B"/>
    <w:rsid w:val="000F59EB"/>
    <w:rsid w:val="000F5BDA"/>
    <w:rsid w:val="000F5D3F"/>
    <w:rsid w:val="000F637A"/>
    <w:rsid w:val="000F6507"/>
    <w:rsid w:val="000F6876"/>
    <w:rsid w:val="000F6C0F"/>
    <w:rsid w:val="000F7A1D"/>
    <w:rsid w:val="001001E6"/>
    <w:rsid w:val="00100248"/>
    <w:rsid w:val="001003DC"/>
    <w:rsid w:val="00101D44"/>
    <w:rsid w:val="00101F3A"/>
    <w:rsid w:val="0010287F"/>
    <w:rsid w:val="00102B59"/>
    <w:rsid w:val="00103122"/>
    <w:rsid w:val="0010354C"/>
    <w:rsid w:val="001036F3"/>
    <w:rsid w:val="00104CA4"/>
    <w:rsid w:val="001051D7"/>
    <w:rsid w:val="00105AE9"/>
    <w:rsid w:val="00105EE1"/>
    <w:rsid w:val="00106614"/>
    <w:rsid w:val="00107A36"/>
    <w:rsid w:val="00107DF0"/>
    <w:rsid w:val="00110395"/>
    <w:rsid w:val="00111531"/>
    <w:rsid w:val="00111AB4"/>
    <w:rsid w:val="00111D11"/>
    <w:rsid w:val="001133C3"/>
    <w:rsid w:val="00113A28"/>
    <w:rsid w:val="00113C7C"/>
    <w:rsid w:val="00114158"/>
    <w:rsid w:val="00114874"/>
    <w:rsid w:val="00114A66"/>
    <w:rsid w:val="00115857"/>
    <w:rsid w:val="001159B3"/>
    <w:rsid w:val="001159F8"/>
    <w:rsid w:val="00116123"/>
    <w:rsid w:val="0011655C"/>
    <w:rsid w:val="00116889"/>
    <w:rsid w:val="001172DC"/>
    <w:rsid w:val="001176F1"/>
    <w:rsid w:val="00117D0B"/>
    <w:rsid w:val="00120B88"/>
    <w:rsid w:val="00120BC8"/>
    <w:rsid w:val="00120C33"/>
    <w:rsid w:val="00120E3E"/>
    <w:rsid w:val="001213B6"/>
    <w:rsid w:val="001215B7"/>
    <w:rsid w:val="00121646"/>
    <w:rsid w:val="0012287E"/>
    <w:rsid w:val="00122B31"/>
    <w:rsid w:val="00123427"/>
    <w:rsid w:val="00123D3D"/>
    <w:rsid w:val="00123FCD"/>
    <w:rsid w:val="00123FE1"/>
    <w:rsid w:val="001241CB"/>
    <w:rsid w:val="0012426B"/>
    <w:rsid w:val="00124512"/>
    <w:rsid w:val="00125053"/>
    <w:rsid w:val="0012569E"/>
    <w:rsid w:val="0012594E"/>
    <w:rsid w:val="00125C4D"/>
    <w:rsid w:val="00125FF7"/>
    <w:rsid w:val="00126252"/>
    <w:rsid w:val="00126943"/>
    <w:rsid w:val="00127C52"/>
    <w:rsid w:val="001303DA"/>
    <w:rsid w:val="00130658"/>
    <w:rsid w:val="00130CB8"/>
    <w:rsid w:val="00131614"/>
    <w:rsid w:val="00132548"/>
    <w:rsid w:val="001328D8"/>
    <w:rsid w:val="00132D73"/>
    <w:rsid w:val="001339EE"/>
    <w:rsid w:val="00133FF9"/>
    <w:rsid w:val="001343BC"/>
    <w:rsid w:val="00134672"/>
    <w:rsid w:val="001348A9"/>
    <w:rsid w:val="00134D9C"/>
    <w:rsid w:val="001359F2"/>
    <w:rsid w:val="00135DFE"/>
    <w:rsid w:val="00136063"/>
    <w:rsid w:val="00136C78"/>
    <w:rsid w:val="001377F7"/>
    <w:rsid w:val="00140813"/>
    <w:rsid w:val="00140B13"/>
    <w:rsid w:val="00140BB5"/>
    <w:rsid w:val="00141815"/>
    <w:rsid w:val="00141C4F"/>
    <w:rsid w:val="00141E33"/>
    <w:rsid w:val="001428FE"/>
    <w:rsid w:val="00142B84"/>
    <w:rsid w:val="00143059"/>
    <w:rsid w:val="00143D2B"/>
    <w:rsid w:val="00143DC4"/>
    <w:rsid w:val="00143F3C"/>
    <w:rsid w:val="001444AF"/>
    <w:rsid w:val="0014460E"/>
    <w:rsid w:val="001447AE"/>
    <w:rsid w:val="00145A1C"/>
    <w:rsid w:val="00145B12"/>
    <w:rsid w:val="00145BF6"/>
    <w:rsid w:val="00146BF2"/>
    <w:rsid w:val="0014729F"/>
    <w:rsid w:val="001475DB"/>
    <w:rsid w:val="00147764"/>
    <w:rsid w:val="00147F06"/>
    <w:rsid w:val="001500A8"/>
    <w:rsid w:val="00150BF1"/>
    <w:rsid w:val="00150C8F"/>
    <w:rsid w:val="00150EB0"/>
    <w:rsid w:val="00151B4F"/>
    <w:rsid w:val="00151BE9"/>
    <w:rsid w:val="00151D93"/>
    <w:rsid w:val="00151E1B"/>
    <w:rsid w:val="00152344"/>
    <w:rsid w:val="0015263C"/>
    <w:rsid w:val="0015264B"/>
    <w:rsid w:val="00153A70"/>
    <w:rsid w:val="00153B3F"/>
    <w:rsid w:val="0015441C"/>
    <w:rsid w:val="00154FD3"/>
    <w:rsid w:val="0015504C"/>
    <w:rsid w:val="00155839"/>
    <w:rsid w:val="00155ABE"/>
    <w:rsid w:val="00156192"/>
    <w:rsid w:val="001575C2"/>
    <w:rsid w:val="00157A51"/>
    <w:rsid w:val="00157C6A"/>
    <w:rsid w:val="0016022F"/>
    <w:rsid w:val="00160267"/>
    <w:rsid w:val="0016053B"/>
    <w:rsid w:val="00161622"/>
    <w:rsid w:val="001619C8"/>
    <w:rsid w:val="00161BE2"/>
    <w:rsid w:val="00161DEE"/>
    <w:rsid w:val="00161EE9"/>
    <w:rsid w:val="001636B7"/>
    <w:rsid w:val="00163A62"/>
    <w:rsid w:val="001652CC"/>
    <w:rsid w:val="00166646"/>
    <w:rsid w:val="00166ADB"/>
    <w:rsid w:val="00166BDB"/>
    <w:rsid w:val="0016740E"/>
    <w:rsid w:val="00170AB0"/>
    <w:rsid w:val="00170E67"/>
    <w:rsid w:val="00170F8C"/>
    <w:rsid w:val="00171652"/>
    <w:rsid w:val="00171690"/>
    <w:rsid w:val="001716A6"/>
    <w:rsid w:val="00172F16"/>
    <w:rsid w:val="0017333D"/>
    <w:rsid w:val="00173435"/>
    <w:rsid w:val="00173E0E"/>
    <w:rsid w:val="0017502F"/>
    <w:rsid w:val="001751B1"/>
    <w:rsid w:val="0017532F"/>
    <w:rsid w:val="001758C3"/>
    <w:rsid w:val="001768E3"/>
    <w:rsid w:val="00180259"/>
    <w:rsid w:val="001807E5"/>
    <w:rsid w:val="00180B8C"/>
    <w:rsid w:val="00181498"/>
    <w:rsid w:val="001814C0"/>
    <w:rsid w:val="00181944"/>
    <w:rsid w:val="0018197C"/>
    <w:rsid w:val="00181B1A"/>
    <w:rsid w:val="00182C63"/>
    <w:rsid w:val="00182FE6"/>
    <w:rsid w:val="001836D4"/>
    <w:rsid w:val="0018398D"/>
    <w:rsid w:val="00183D00"/>
    <w:rsid w:val="00183D02"/>
    <w:rsid w:val="00184B18"/>
    <w:rsid w:val="00184C62"/>
    <w:rsid w:val="00184EBC"/>
    <w:rsid w:val="00185AB4"/>
    <w:rsid w:val="0018619C"/>
    <w:rsid w:val="00186251"/>
    <w:rsid w:val="0018681C"/>
    <w:rsid w:val="00187053"/>
    <w:rsid w:val="00187558"/>
    <w:rsid w:val="001879AD"/>
    <w:rsid w:val="00190406"/>
    <w:rsid w:val="0019132C"/>
    <w:rsid w:val="001923C5"/>
    <w:rsid w:val="001924B6"/>
    <w:rsid w:val="001925DC"/>
    <w:rsid w:val="001927D2"/>
    <w:rsid w:val="00192A0E"/>
    <w:rsid w:val="00192DFD"/>
    <w:rsid w:val="00193287"/>
    <w:rsid w:val="00193AC2"/>
    <w:rsid w:val="00194140"/>
    <w:rsid w:val="001945A5"/>
    <w:rsid w:val="00194B21"/>
    <w:rsid w:val="00194B42"/>
    <w:rsid w:val="00194B6D"/>
    <w:rsid w:val="00194E86"/>
    <w:rsid w:val="001954C8"/>
    <w:rsid w:val="001955EC"/>
    <w:rsid w:val="0019648E"/>
    <w:rsid w:val="00196791"/>
    <w:rsid w:val="001978A3"/>
    <w:rsid w:val="00197984"/>
    <w:rsid w:val="00197EC9"/>
    <w:rsid w:val="001A000B"/>
    <w:rsid w:val="001A1EF4"/>
    <w:rsid w:val="001A207A"/>
    <w:rsid w:val="001A26FD"/>
    <w:rsid w:val="001A28BB"/>
    <w:rsid w:val="001A2A08"/>
    <w:rsid w:val="001A2F2B"/>
    <w:rsid w:val="001A338F"/>
    <w:rsid w:val="001A3971"/>
    <w:rsid w:val="001A42D6"/>
    <w:rsid w:val="001A4D08"/>
    <w:rsid w:val="001A5053"/>
    <w:rsid w:val="001A50C3"/>
    <w:rsid w:val="001A53F7"/>
    <w:rsid w:val="001A5CE8"/>
    <w:rsid w:val="001A6854"/>
    <w:rsid w:val="001A6E2A"/>
    <w:rsid w:val="001A78EF"/>
    <w:rsid w:val="001A7C7D"/>
    <w:rsid w:val="001B02D6"/>
    <w:rsid w:val="001B0421"/>
    <w:rsid w:val="001B0600"/>
    <w:rsid w:val="001B1760"/>
    <w:rsid w:val="001B18ED"/>
    <w:rsid w:val="001B23D5"/>
    <w:rsid w:val="001B2891"/>
    <w:rsid w:val="001B3749"/>
    <w:rsid w:val="001B37B0"/>
    <w:rsid w:val="001B3EDB"/>
    <w:rsid w:val="001B45BE"/>
    <w:rsid w:val="001B4764"/>
    <w:rsid w:val="001B5123"/>
    <w:rsid w:val="001B5387"/>
    <w:rsid w:val="001B5B0B"/>
    <w:rsid w:val="001B5D31"/>
    <w:rsid w:val="001B6117"/>
    <w:rsid w:val="001B6FBE"/>
    <w:rsid w:val="001B72FF"/>
    <w:rsid w:val="001B7321"/>
    <w:rsid w:val="001B7497"/>
    <w:rsid w:val="001B7E4B"/>
    <w:rsid w:val="001B7E99"/>
    <w:rsid w:val="001B7F48"/>
    <w:rsid w:val="001C039E"/>
    <w:rsid w:val="001C1A01"/>
    <w:rsid w:val="001C1CB7"/>
    <w:rsid w:val="001C1EAF"/>
    <w:rsid w:val="001C2D2D"/>
    <w:rsid w:val="001C30DA"/>
    <w:rsid w:val="001C32EA"/>
    <w:rsid w:val="001C382A"/>
    <w:rsid w:val="001C4535"/>
    <w:rsid w:val="001C4E9D"/>
    <w:rsid w:val="001C515E"/>
    <w:rsid w:val="001C5B94"/>
    <w:rsid w:val="001C6A2F"/>
    <w:rsid w:val="001C6BD7"/>
    <w:rsid w:val="001C7171"/>
    <w:rsid w:val="001C732D"/>
    <w:rsid w:val="001C7781"/>
    <w:rsid w:val="001C79BD"/>
    <w:rsid w:val="001C7C3D"/>
    <w:rsid w:val="001C7E69"/>
    <w:rsid w:val="001D036E"/>
    <w:rsid w:val="001D0A6F"/>
    <w:rsid w:val="001D0D01"/>
    <w:rsid w:val="001D2631"/>
    <w:rsid w:val="001D2747"/>
    <w:rsid w:val="001D2B3A"/>
    <w:rsid w:val="001D2C95"/>
    <w:rsid w:val="001D306A"/>
    <w:rsid w:val="001D366D"/>
    <w:rsid w:val="001D3EC9"/>
    <w:rsid w:val="001D3F6F"/>
    <w:rsid w:val="001D4437"/>
    <w:rsid w:val="001D48BD"/>
    <w:rsid w:val="001D4AE2"/>
    <w:rsid w:val="001D4E90"/>
    <w:rsid w:val="001D5E51"/>
    <w:rsid w:val="001D629B"/>
    <w:rsid w:val="001D64F1"/>
    <w:rsid w:val="001D6BD4"/>
    <w:rsid w:val="001D7037"/>
    <w:rsid w:val="001D78DB"/>
    <w:rsid w:val="001D7DD7"/>
    <w:rsid w:val="001E017E"/>
    <w:rsid w:val="001E0886"/>
    <w:rsid w:val="001E0F6E"/>
    <w:rsid w:val="001E110C"/>
    <w:rsid w:val="001E1AE8"/>
    <w:rsid w:val="001E1B66"/>
    <w:rsid w:val="001E2759"/>
    <w:rsid w:val="001E2AC3"/>
    <w:rsid w:val="001E32D2"/>
    <w:rsid w:val="001E3362"/>
    <w:rsid w:val="001E348B"/>
    <w:rsid w:val="001E350D"/>
    <w:rsid w:val="001E4151"/>
    <w:rsid w:val="001E4B87"/>
    <w:rsid w:val="001E4D73"/>
    <w:rsid w:val="001E56F9"/>
    <w:rsid w:val="001E5B4B"/>
    <w:rsid w:val="001E5B8F"/>
    <w:rsid w:val="001E5ECF"/>
    <w:rsid w:val="001E6A51"/>
    <w:rsid w:val="001E7B0D"/>
    <w:rsid w:val="001F08C6"/>
    <w:rsid w:val="001F0D0D"/>
    <w:rsid w:val="001F151E"/>
    <w:rsid w:val="001F17BC"/>
    <w:rsid w:val="001F182E"/>
    <w:rsid w:val="001F280F"/>
    <w:rsid w:val="001F2CDF"/>
    <w:rsid w:val="001F2D50"/>
    <w:rsid w:val="001F3B65"/>
    <w:rsid w:val="001F3EF5"/>
    <w:rsid w:val="001F416E"/>
    <w:rsid w:val="001F41E7"/>
    <w:rsid w:val="001F5ACB"/>
    <w:rsid w:val="001F5C63"/>
    <w:rsid w:val="001F6C3E"/>
    <w:rsid w:val="001F6E35"/>
    <w:rsid w:val="001F728D"/>
    <w:rsid w:val="00200560"/>
    <w:rsid w:val="00200906"/>
    <w:rsid w:val="00200F40"/>
    <w:rsid w:val="0020145A"/>
    <w:rsid w:val="00201F25"/>
    <w:rsid w:val="002021ED"/>
    <w:rsid w:val="002036CE"/>
    <w:rsid w:val="00203ECD"/>
    <w:rsid w:val="0020433E"/>
    <w:rsid w:val="00204CB8"/>
    <w:rsid w:val="00204FA6"/>
    <w:rsid w:val="0020503B"/>
    <w:rsid w:val="002052AC"/>
    <w:rsid w:val="002058FC"/>
    <w:rsid w:val="0020644E"/>
    <w:rsid w:val="002070A8"/>
    <w:rsid w:val="0021034A"/>
    <w:rsid w:val="00210876"/>
    <w:rsid w:val="00210DEE"/>
    <w:rsid w:val="00211760"/>
    <w:rsid w:val="0021226B"/>
    <w:rsid w:val="002122A1"/>
    <w:rsid w:val="00213614"/>
    <w:rsid w:val="00214382"/>
    <w:rsid w:val="002147C5"/>
    <w:rsid w:val="00214E84"/>
    <w:rsid w:val="00215953"/>
    <w:rsid w:val="00215E8C"/>
    <w:rsid w:val="00215F80"/>
    <w:rsid w:val="0021632B"/>
    <w:rsid w:val="00216B4F"/>
    <w:rsid w:val="00216E0F"/>
    <w:rsid w:val="002176EB"/>
    <w:rsid w:val="00217FAF"/>
    <w:rsid w:val="00220F4C"/>
    <w:rsid w:val="00221591"/>
    <w:rsid w:val="0022167D"/>
    <w:rsid w:val="002222E8"/>
    <w:rsid w:val="00222326"/>
    <w:rsid w:val="0022391E"/>
    <w:rsid w:val="00224BF1"/>
    <w:rsid w:val="002254A9"/>
    <w:rsid w:val="002256F6"/>
    <w:rsid w:val="002266E7"/>
    <w:rsid w:val="002305D1"/>
    <w:rsid w:val="00230B64"/>
    <w:rsid w:val="00230BEE"/>
    <w:rsid w:val="00231A77"/>
    <w:rsid w:val="00231FE9"/>
    <w:rsid w:val="00233A79"/>
    <w:rsid w:val="00233E0D"/>
    <w:rsid w:val="002341C8"/>
    <w:rsid w:val="00234948"/>
    <w:rsid w:val="00234DC3"/>
    <w:rsid w:val="00235E5C"/>
    <w:rsid w:val="00236492"/>
    <w:rsid w:val="00236DF3"/>
    <w:rsid w:val="002377A8"/>
    <w:rsid w:val="00241923"/>
    <w:rsid w:val="00241BE4"/>
    <w:rsid w:val="00242687"/>
    <w:rsid w:val="00242A50"/>
    <w:rsid w:val="00243285"/>
    <w:rsid w:val="002438F8"/>
    <w:rsid w:val="00243ACF"/>
    <w:rsid w:val="002445D5"/>
    <w:rsid w:val="00244880"/>
    <w:rsid w:val="00244A53"/>
    <w:rsid w:val="00244CB7"/>
    <w:rsid w:val="00244E39"/>
    <w:rsid w:val="00244E4C"/>
    <w:rsid w:val="00246011"/>
    <w:rsid w:val="002466E0"/>
    <w:rsid w:val="00246E41"/>
    <w:rsid w:val="00247409"/>
    <w:rsid w:val="00247F64"/>
    <w:rsid w:val="0025023B"/>
    <w:rsid w:val="00250390"/>
    <w:rsid w:val="00250707"/>
    <w:rsid w:val="002511D0"/>
    <w:rsid w:val="0025149A"/>
    <w:rsid w:val="00251AB3"/>
    <w:rsid w:val="002523FC"/>
    <w:rsid w:val="00252840"/>
    <w:rsid w:val="002528DE"/>
    <w:rsid w:val="00253A79"/>
    <w:rsid w:val="002550ED"/>
    <w:rsid w:val="002557D7"/>
    <w:rsid w:val="00255F20"/>
    <w:rsid w:val="002562A2"/>
    <w:rsid w:val="00256898"/>
    <w:rsid w:val="002568C0"/>
    <w:rsid w:val="00256B28"/>
    <w:rsid w:val="002579C0"/>
    <w:rsid w:val="002603F0"/>
    <w:rsid w:val="00260CB4"/>
    <w:rsid w:val="00260E30"/>
    <w:rsid w:val="0026113C"/>
    <w:rsid w:val="002616A2"/>
    <w:rsid w:val="002618F0"/>
    <w:rsid w:val="00261AB9"/>
    <w:rsid w:val="002621F2"/>
    <w:rsid w:val="002637A7"/>
    <w:rsid w:val="00264208"/>
    <w:rsid w:val="00264C46"/>
    <w:rsid w:val="00265B33"/>
    <w:rsid w:val="00266E52"/>
    <w:rsid w:val="00266E6D"/>
    <w:rsid w:val="002670AB"/>
    <w:rsid w:val="002670EF"/>
    <w:rsid w:val="002670FD"/>
    <w:rsid w:val="0026765B"/>
    <w:rsid w:val="00267ABB"/>
    <w:rsid w:val="00270268"/>
    <w:rsid w:val="00271CF1"/>
    <w:rsid w:val="00271DF7"/>
    <w:rsid w:val="002726D5"/>
    <w:rsid w:val="00272C92"/>
    <w:rsid w:val="00272C9F"/>
    <w:rsid w:val="00272E43"/>
    <w:rsid w:val="00273543"/>
    <w:rsid w:val="002738A7"/>
    <w:rsid w:val="00273994"/>
    <w:rsid w:val="002744E2"/>
    <w:rsid w:val="002753F7"/>
    <w:rsid w:val="00275415"/>
    <w:rsid w:val="0027557B"/>
    <w:rsid w:val="00275666"/>
    <w:rsid w:val="00275F08"/>
    <w:rsid w:val="0027638E"/>
    <w:rsid w:val="0027662A"/>
    <w:rsid w:val="00276CB3"/>
    <w:rsid w:val="00277202"/>
    <w:rsid w:val="00277A98"/>
    <w:rsid w:val="00277C48"/>
    <w:rsid w:val="00280239"/>
    <w:rsid w:val="002807CB"/>
    <w:rsid w:val="00280D55"/>
    <w:rsid w:val="00280DAC"/>
    <w:rsid w:val="00280E0C"/>
    <w:rsid w:val="00280FD6"/>
    <w:rsid w:val="002818DE"/>
    <w:rsid w:val="00281947"/>
    <w:rsid w:val="00282B53"/>
    <w:rsid w:val="00282C2A"/>
    <w:rsid w:val="00283410"/>
    <w:rsid w:val="00283832"/>
    <w:rsid w:val="002838A0"/>
    <w:rsid w:val="00283EB2"/>
    <w:rsid w:val="002847A3"/>
    <w:rsid w:val="00284D91"/>
    <w:rsid w:val="00285424"/>
    <w:rsid w:val="00285B77"/>
    <w:rsid w:val="00285E74"/>
    <w:rsid w:val="00286963"/>
    <w:rsid w:val="00286C64"/>
    <w:rsid w:val="00286C74"/>
    <w:rsid w:val="0028707B"/>
    <w:rsid w:val="0028745C"/>
    <w:rsid w:val="00287B90"/>
    <w:rsid w:val="00287BAA"/>
    <w:rsid w:val="0029087D"/>
    <w:rsid w:val="00290AF2"/>
    <w:rsid w:val="00290FFD"/>
    <w:rsid w:val="0029178F"/>
    <w:rsid w:val="00291F3E"/>
    <w:rsid w:val="0029285E"/>
    <w:rsid w:val="002939CF"/>
    <w:rsid w:val="00293B0E"/>
    <w:rsid w:val="00294522"/>
    <w:rsid w:val="0029492E"/>
    <w:rsid w:val="00295ABD"/>
    <w:rsid w:val="002979DD"/>
    <w:rsid w:val="00297E2D"/>
    <w:rsid w:val="002A09D8"/>
    <w:rsid w:val="002A0BCF"/>
    <w:rsid w:val="002A0C41"/>
    <w:rsid w:val="002A1276"/>
    <w:rsid w:val="002A1518"/>
    <w:rsid w:val="002A17B3"/>
    <w:rsid w:val="002A1C29"/>
    <w:rsid w:val="002A20A7"/>
    <w:rsid w:val="002A22B7"/>
    <w:rsid w:val="002A22C3"/>
    <w:rsid w:val="002A22EA"/>
    <w:rsid w:val="002A2D8C"/>
    <w:rsid w:val="002A2DF5"/>
    <w:rsid w:val="002A34EA"/>
    <w:rsid w:val="002A379E"/>
    <w:rsid w:val="002A4AA3"/>
    <w:rsid w:val="002A794F"/>
    <w:rsid w:val="002B051E"/>
    <w:rsid w:val="002B086B"/>
    <w:rsid w:val="002B1476"/>
    <w:rsid w:val="002B14DB"/>
    <w:rsid w:val="002B18D4"/>
    <w:rsid w:val="002B1AB0"/>
    <w:rsid w:val="002B1BB4"/>
    <w:rsid w:val="002B1C98"/>
    <w:rsid w:val="002B2101"/>
    <w:rsid w:val="002B21E8"/>
    <w:rsid w:val="002B2757"/>
    <w:rsid w:val="002B2E54"/>
    <w:rsid w:val="002B329E"/>
    <w:rsid w:val="002B340E"/>
    <w:rsid w:val="002B3A90"/>
    <w:rsid w:val="002B3BBC"/>
    <w:rsid w:val="002B3F19"/>
    <w:rsid w:val="002B468B"/>
    <w:rsid w:val="002B4D1D"/>
    <w:rsid w:val="002B5835"/>
    <w:rsid w:val="002B62C1"/>
    <w:rsid w:val="002B655A"/>
    <w:rsid w:val="002B6755"/>
    <w:rsid w:val="002B68A8"/>
    <w:rsid w:val="002B7020"/>
    <w:rsid w:val="002B7642"/>
    <w:rsid w:val="002B7777"/>
    <w:rsid w:val="002B7932"/>
    <w:rsid w:val="002C01EE"/>
    <w:rsid w:val="002C0542"/>
    <w:rsid w:val="002C0559"/>
    <w:rsid w:val="002C06F7"/>
    <w:rsid w:val="002C1289"/>
    <w:rsid w:val="002C2A36"/>
    <w:rsid w:val="002C36B5"/>
    <w:rsid w:val="002C40AD"/>
    <w:rsid w:val="002C4161"/>
    <w:rsid w:val="002C478C"/>
    <w:rsid w:val="002C4ABB"/>
    <w:rsid w:val="002C5BCD"/>
    <w:rsid w:val="002C5D0C"/>
    <w:rsid w:val="002C77F6"/>
    <w:rsid w:val="002C7C42"/>
    <w:rsid w:val="002D0C5E"/>
    <w:rsid w:val="002D111E"/>
    <w:rsid w:val="002D264D"/>
    <w:rsid w:val="002D2EBE"/>
    <w:rsid w:val="002D30AC"/>
    <w:rsid w:val="002D3605"/>
    <w:rsid w:val="002D40CD"/>
    <w:rsid w:val="002D4113"/>
    <w:rsid w:val="002D42F7"/>
    <w:rsid w:val="002D52E1"/>
    <w:rsid w:val="002D5451"/>
    <w:rsid w:val="002D58F0"/>
    <w:rsid w:val="002D72B5"/>
    <w:rsid w:val="002D7594"/>
    <w:rsid w:val="002D763F"/>
    <w:rsid w:val="002D7B33"/>
    <w:rsid w:val="002E08DF"/>
    <w:rsid w:val="002E0C20"/>
    <w:rsid w:val="002E192E"/>
    <w:rsid w:val="002E1A1D"/>
    <w:rsid w:val="002E1D20"/>
    <w:rsid w:val="002E2486"/>
    <w:rsid w:val="002E2DF0"/>
    <w:rsid w:val="002E3750"/>
    <w:rsid w:val="002E4525"/>
    <w:rsid w:val="002E4ED6"/>
    <w:rsid w:val="002E516D"/>
    <w:rsid w:val="002E554A"/>
    <w:rsid w:val="002E56B5"/>
    <w:rsid w:val="002E5817"/>
    <w:rsid w:val="002E646E"/>
    <w:rsid w:val="002E6AF6"/>
    <w:rsid w:val="002E6CC4"/>
    <w:rsid w:val="002E7799"/>
    <w:rsid w:val="002F0533"/>
    <w:rsid w:val="002F0B29"/>
    <w:rsid w:val="002F0FBC"/>
    <w:rsid w:val="002F128D"/>
    <w:rsid w:val="002F12C9"/>
    <w:rsid w:val="002F1C79"/>
    <w:rsid w:val="002F26E5"/>
    <w:rsid w:val="002F285F"/>
    <w:rsid w:val="002F2B3F"/>
    <w:rsid w:val="002F3E59"/>
    <w:rsid w:val="002F51A0"/>
    <w:rsid w:val="002F5871"/>
    <w:rsid w:val="002F61FB"/>
    <w:rsid w:val="002F6EEA"/>
    <w:rsid w:val="002F733C"/>
    <w:rsid w:val="00300522"/>
    <w:rsid w:val="0030083C"/>
    <w:rsid w:val="00300AB9"/>
    <w:rsid w:val="00300E09"/>
    <w:rsid w:val="00301732"/>
    <w:rsid w:val="003027E4"/>
    <w:rsid w:val="00302AAA"/>
    <w:rsid w:val="0030310A"/>
    <w:rsid w:val="00303433"/>
    <w:rsid w:val="00303BF8"/>
    <w:rsid w:val="00303C3E"/>
    <w:rsid w:val="00303E47"/>
    <w:rsid w:val="00304489"/>
    <w:rsid w:val="003044CD"/>
    <w:rsid w:val="0030523E"/>
    <w:rsid w:val="00305CDB"/>
    <w:rsid w:val="00306847"/>
    <w:rsid w:val="003069E8"/>
    <w:rsid w:val="00306D45"/>
    <w:rsid w:val="0030712C"/>
    <w:rsid w:val="003073C2"/>
    <w:rsid w:val="0030793F"/>
    <w:rsid w:val="00310975"/>
    <w:rsid w:val="00310E7E"/>
    <w:rsid w:val="003121FB"/>
    <w:rsid w:val="0031230B"/>
    <w:rsid w:val="00312ED1"/>
    <w:rsid w:val="00313350"/>
    <w:rsid w:val="00313593"/>
    <w:rsid w:val="00313701"/>
    <w:rsid w:val="00313A08"/>
    <w:rsid w:val="003157C0"/>
    <w:rsid w:val="0031616C"/>
    <w:rsid w:val="00316C1E"/>
    <w:rsid w:val="00316CBA"/>
    <w:rsid w:val="00316FBC"/>
    <w:rsid w:val="00317C1D"/>
    <w:rsid w:val="00317F32"/>
    <w:rsid w:val="003201A2"/>
    <w:rsid w:val="00320609"/>
    <w:rsid w:val="00320942"/>
    <w:rsid w:val="0032155F"/>
    <w:rsid w:val="0032317E"/>
    <w:rsid w:val="00323293"/>
    <w:rsid w:val="00324571"/>
    <w:rsid w:val="0032468C"/>
    <w:rsid w:val="003246A6"/>
    <w:rsid w:val="00324758"/>
    <w:rsid w:val="00324FE5"/>
    <w:rsid w:val="003250F9"/>
    <w:rsid w:val="0032569C"/>
    <w:rsid w:val="00327080"/>
    <w:rsid w:val="00327414"/>
    <w:rsid w:val="003274CF"/>
    <w:rsid w:val="00327903"/>
    <w:rsid w:val="00327CD1"/>
    <w:rsid w:val="00331456"/>
    <w:rsid w:val="003323C5"/>
    <w:rsid w:val="003328B3"/>
    <w:rsid w:val="00332D65"/>
    <w:rsid w:val="003349F5"/>
    <w:rsid w:val="00334A4F"/>
    <w:rsid w:val="003351C2"/>
    <w:rsid w:val="003354C0"/>
    <w:rsid w:val="003358CF"/>
    <w:rsid w:val="0033604C"/>
    <w:rsid w:val="00336873"/>
    <w:rsid w:val="003369D4"/>
    <w:rsid w:val="00336E6A"/>
    <w:rsid w:val="003374A0"/>
    <w:rsid w:val="0033753A"/>
    <w:rsid w:val="00337E65"/>
    <w:rsid w:val="00341D2B"/>
    <w:rsid w:val="00342274"/>
    <w:rsid w:val="0034235D"/>
    <w:rsid w:val="00342552"/>
    <w:rsid w:val="003427E7"/>
    <w:rsid w:val="00343BA6"/>
    <w:rsid w:val="00343BCC"/>
    <w:rsid w:val="003442F7"/>
    <w:rsid w:val="00344F4F"/>
    <w:rsid w:val="00345196"/>
    <w:rsid w:val="00345259"/>
    <w:rsid w:val="0034575F"/>
    <w:rsid w:val="00345A15"/>
    <w:rsid w:val="00345E93"/>
    <w:rsid w:val="00345FFF"/>
    <w:rsid w:val="003464C6"/>
    <w:rsid w:val="00347229"/>
    <w:rsid w:val="00347B65"/>
    <w:rsid w:val="00347F82"/>
    <w:rsid w:val="00350CF0"/>
    <w:rsid w:val="00351393"/>
    <w:rsid w:val="00352A2C"/>
    <w:rsid w:val="00352F46"/>
    <w:rsid w:val="003533E1"/>
    <w:rsid w:val="0035419C"/>
    <w:rsid w:val="0035419D"/>
    <w:rsid w:val="0035420B"/>
    <w:rsid w:val="0035466A"/>
    <w:rsid w:val="00354E3C"/>
    <w:rsid w:val="00354FD3"/>
    <w:rsid w:val="00355F20"/>
    <w:rsid w:val="00356032"/>
    <w:rsid w:val="003560E3"/>
    <w:rsid w:val="00356508"/>
    <w:rsid w:val="003566E8"/>
    <w:rsid w:val="00357B4F"/>
    <w:rsid w:val="00357C7B"/>
    <w:rsid w:val="00357FF6"/>
    <w:rsid w:val="00360A49"/>
    <w:rsid w:val="0036199E"/>
    <w:rsid w:val="0036249F"/>
    <w:rsid w:val="003626F4"/>
    <w:rsid w:val="0036288B"/>
    <w:rsid w:val="00362A1A"/>
    <w:rsid w:val="0036381B"/>
    <w:rsid w:val="00363A96"/>
    <w:rsid w:val="00363BF0"/>
    <w:rsid w:val="00364F47"/>
    <w:rsid w:val="003651DD"/>
    <w:rsid w:val="00365F51"/>
    <w:rsid w:val="00366463"/>
    <w:rsid w:val="0036682F"/>
    <w:rsid w:val="00366A77"/>
    <w:rsid w:val="00367545"/>
    <w:rsid w:val="00367893"/>
    <w:rsid w:val="00370432"/>
    <w:rsid w:val="0037092C"/>
    <w:rsid w:val="00370D1F"/>
    <w:rsid w:val="003712D5"/>
    <w:rsid w:val="00371318"/>
    <w:rsid w:val="00371B9E"/>
    <w:rsid w:val="0037232B"/>
    <w:rsid w:val="00372DB3"/>
    <w:rsid w:val="00372E2A"/>
    <w:rsid w:val="00374603"/>
    <w:rsid w:val="003747E9"/>
    <w:rsid w:val="00374C17"/>
    <w:rsid w:val="003752A4"/>
    <w:rsid w:val="00376080"/>
    <w:rsid w:val="0037695C"/>
    <w:rsid w:val="003775A0"/>
    <w:rsid w:val="0037785D"/>
    <w:rsid w:val="00380786"/>
    <w:rsid w:val="00380896"/>
    <w:rsid w:val="00380D42"/>
    <w:rsid w:val="00381A40"/>
    <w:rsid w:val="00382577"/>
    <w:rsid w:val="00382750"/>
    <w:rsid w:val="0038379B"/>
    <w:rsid w:val="00384698"/>
    <w:rsid w:val="003848BE"/>
    <w:rsid w:val="00385555"/>
    <w:rsid w:val="00386178"/>
    <w:rsid w:val="00387420"/>
    <w:rsid w:val="00387689"/>
    <w:rsid w:val="00387B0B"/>
    <w:rsid w:val="00387DF7"/>
    <w:rsid w:val="003906B6"/>
    <w:rsid w:val="00390774"/>
    <w:rsid w:val="003909FC"/>
    <w:rsid w:val="00390CDE"/>
    <w:rsid w:val="00391274"/>
    <w:rsid w:val="003916F9"/>
    <w:rsid w:val="003918D1"/>
    <w:rsid w:val="003929FC"/>
    <w:rsid w:val="00392B99"/>
    <w:rsid w:val="00392DEC"/>
    <w:rsid w:val="003931EE"/>
    <w:rsid w:val="00393372"/>
    <w:rsid w:val="0039401D"/>
    <w:rsid w:val="00394209"/>
    <w:rsid w:val="00394EDB"/>
    <w:rsid w:val="003960FF"/>
    <w:rsid w:val="0039680A"/>
    <w:rsid w:val="00397A46"/>
    <w:rsid w:val="003A01A8"/>
    <w:rsid w:val="003A1C90"/>
    <w:rsid w:val="003A1EA7"/>
    <w:rsid w:val="003A20A4"/>
    <w:rsid w:val="003A24EA"/>
    <w:rsid w:val="003A3D25"/>
    <w:rsid w:val="003A42A8"/>
    <w:rsid w:val="003A4FEF"/>
    <w:rsid w:val="003A5165"/>
    <w:rsid w:val="003A5271"/>
    <w:rsid w:val="003A5D13"/>
    <w:rsid w:val="003A5D35"/>
    <w:rsid w:val="003A5FD0"/>
    <w:rsid w:val="003A60D9"/>
    <w:rsid w:val="003A698A"/>
    <w:rsid w:val="003A7540"/>
    <w:rsid w:val="003A75F4"/>
    <w:rsid w:val="003A764F"/>
    <w:rsid w:val="003A7A77"/>
    <w:rsid w:val="003A7D22"/>
    <w:rsid w:val="003B039B"/>
    <w:rsid w:val="003B079A"/>
    <w:rsid w:val="003B07DA"/>
    <w:rsid w:val="003B08DF"/>
    <w:rsid w:val="003B0CCB"/>
    <w:rsid w:val="003B125E"/>
    <w:rsid w:val="003B1968"/>
    <w:rsid w:val="003B1FB3"/>
    <w:rsid w:val="003B2659"/>
    <w:rsid w:val="003B3EEE"/>
    <w:rsid w:val="003B412F"/>
    <w:rsid w:val="003B4632"/>
    <w:rsid w:val="003B48C3"/>
    <w:rsid w:val="003B49A8"/>
    <w:rsid w:val="003B5668"/>
    <w:rsid w:val="003B59FD"/>
    <w:rsid w:val="003B63DE"/>
    <w:rsid w:val="003B6869"/>
    <w:rsid w:val="003B761C"/>
    <w:rsid w:val="003B7839"/>
    <w:rsid w:val="003C0038"/>
    <w:rsid w:val="003C06A9"/>
    <w:rsid w:val="003C0713"/>
    <w:rsid w:val="003C0850"/>
    <w:rsid w:val="003C25FE"/>
    <w:rsid w:val="003C2BBD"/>
    <w:rsid w:val="003C3238"/>
    <w:rsid w:val="003C3642"/>
    <w:rsid w:val="003C3813"/>
    <w:rsid w:val="003C386A"/>
    <w:rsid w:val="003C4443"/>
    <w:rsid w:val="003C48FE"/>
    <w:rsid w:val="003C4B4E"/>
    <w:rsid w:val="003C4F1A"/>
    <w:rsid w:val="003C5675"/>
    <w:rsid w:val="003C5C22"/>
    <w:rsid w:val="003C65AE"/>
    <w:rsid w:val="003C6A7E"/>
    <w:rsid w:val="003C6CB7"/>
    <w:rsid w:val="003C702D"/>
    <w:rsid w:val="003C77D6"/>
    <w:rsid w:val="003C7B37"/>
    <w:rsid w:val="003D0256"/>
    <w:rsid w:val="003D0C3E"/>
    <w:rsid w:val="003D1758"/>
    <w:rsid w:val="003D1DCD"/>
    <w:rsid w:val="003D23F4"/>
    <w:rsid w:val="003D2959"/>
    <w:rsid w:val="003D2C8D"/>
    <w:rsid w:val="003D2EEB"/>
    <w:rsid w:val="003D3086"/>
    <w:rsid w:val="003D32FE"/>
    <w:rsid w:val="003D3904"/>
    <w:rsid w:val="003D41E0"/>
    <w:rsid w:val="003D450D"/>
    <w:rsid w:val="003D4A9F"/>
    <w:rsid w:val="003D4DAB"/>
    <w:rsid w:val="003D50E4"/>
    <w:rsid w:val="003D56BC"/>
    <w:rsid w:val="003D6713"/>
    <w:rsid w:val="003D70E6"/>
    <w:rsid w:val="003D77EF"/>
    <w:rsid w:val="003D7B61"/>
    <w:rsid w:val="003E0BB3"/>
    <w:rsid w:val="003E0C74"/>
    <w:rsid w:val="003E0DF7"/>
    <w:rsid w:val="003E0EE6"/>
    <w:rsid w:val="003E2431"/>
    <w:rsid w:val="003E2C07"/>
    <w:rsid w:val="003E2F24"/>
    <w:rsid w:val="003E3333"/>
    <w:rsid w:val="003E3BC8"/>
    <w:rsid w:val="003E487D"/>
    <w:rsid w:val="003E4D90"/>
    <w:rsid w:val="003E59EC"/>
    <w:rsid w:val="003E5DED"/>
    <w:rsid w:val="003E5E6C"/>
    <w:rsid w:val="003E7661"/>
    <w:rsid w:val="003E796D"/>
    <w:rsid w:val="003F06F5"/>
    <w:rsid w:val="003F0D60"/>
    <w:rsid w:val="003F15CD"/>
    <w:rsid w:val="003F1837"/>
    <w:rsid w:val="003F18E6"/>
    <w:rsid w:val="003F2E8B"/>
    <w:rsid w:val="003F3073"/>
    <w:rsid w:val="003F3E17"/>
    <w:rsid w:val="003F40DC"/>
    <w:rsid w:val="003F449B"/>
    <w:rsid w:val="003F4515"/>
    <w:rsid w:val="003F50F1"/>
    <w:rsid w:val="003F5110"/>
    <w:rsid w:val="003F5780"/>
    <w:rsid w:val="003F58E8"/>
    <w:rsid w:val="003F5C9F"/>
    <w:rsid w:val="003F714E"/>
    <w:rsid w:val="003F7692"/>
    <w:rsid w:val="003F7A0D"/>
    <w:rsid w:val="003F7ABE"/>
    <w:rsid w:val="00400A6A"/>
    <w:rsid w:val="00401883"/>
    <w:rsid w:val="00402F3D"/>
    <w:rsid w:val="004035B9"/>
    <w:rsid w:val="00403CE0"/>
    <w:rsid w:val="00403F45"/>
    <w:rsid w:val="004041CA"/>
    <w:rsid w:val="00404248"/>
    <w:rsid w:val="004044B8"/>
    <w:rsid w:val="00404795"/>
    <w:rsid w:val="00405A6D"/>
    <w:rsid w:val="00405F6C"/>
    <w:rsid w:val="00405FBC"/>
    <w:rsid w:val="00406110"/>
    <w:rsid w:val="00406C67"/>
    <w:rsid w:val="004074CB"/>
    <w:rsid w:val="00407A2D"/>
    <w:rsid w:val="00410014"/>
    <w:rsid w:val="0041004A"/>
    <w:rsid w:val="004122FC"/>
    <w:rsid w:val="0041289C"/>
    <w:rsid w:val="004128BE"/>
    <w:rsid w:val="00412931"/>
    <w:rsid w:val="00413457"/>
    <w:rsid w:val="004136E3"/>
    <w:rsid w:val="00413E07"/>
    <w:rsid w:val="00414455"/>
    <w:rsid w:val="00414603"/>
    <w:rsid w:val="00414DDD"/>
    <w:rsid w:val="004158E5"/>
    <w:rsid w:val="00415CA4"/>
    <w:rsid w:val="0041611B"/>
    <w:rsid w:val="00416354"/>
    <w:rsid w:val="004166DE"/>
    <w:rsid w:val="00416CDD"/>
    <w:rsid w:val="00417851"/>
    <w:rsid w:val="0042046F"/>
    <w:rsid w:val="00420541"/>
    <w:rsid w:val="00420711"/>
    <w:rsid w:val="0042164E"/>
    <w:rsid w:val="0042191C"/>
    <w:rsid w:val="004219D2"/>
    <w:rsid w:val="00421AB7"/>
    <w:rsid w:val="00421CD8"/>
    <w:rsid w:val="00422EE2"/>
    <w:rsid w:val="00423340"/>
    <w:rsid w:val="00423536"/>
    <w:rsid w:val="004238CC"/>
    <w:rsid w:val="00423D41"/>
    <w:rsid w:val="00424302"/>
    <w:rsid w:val="0042456F"/>
    <w:rsid w:val="00424933"/>
    <w:rsid w:val="00424DC5"/>
    <w:rsid w:val="00425E5E"/>
    <w:rsid w:val="00426656"/>
    <w:rsid w:val="00427052"/>
    <w:rsid w:val="00427F8D"/>
    <w:rsid w:val="004307BE"/>
    <w:rsid w:val="0043083F"/>
    <w:rsid w:val="00432457"/>
    <w:rsid w:val="00432775"/>
    <w:rsid w:val="004330CB"/>
    <w:rsid w:val="004332C2"/>
    <w:rsid w:val="00433538"/>
    <w:rsid w:val="00433B25"/>
    <w:rsid w:val="004343F7"/>
    <w:rsid w:val="00434998"/>
    <w:rsid w:val="00434D9D"/>
    <w:rsid w:val="00434E1F"/>
    <w:rsid w:val="00434E7C"/>
    <w:rsid w:val="0043655F"/>
    <w:rsid w:val="00437F48"/>
    <w:rsid w:val="00437F5F"/>
    <w:rsid w:val="004411C8"/>
    <w:rsid w:val="004412AA"/>
    <w:rsid w:val="0044133D"/>
    <w:rsid w:val="00443FB9"/>
    <w:rsid w:val="00444405"/>
    <w:rsid w:val="00444493"/>
    <w:rsid w:val="004445DE"/>
    <w:rsid w:val="004449A9"/>
    <w:rsid w:val="00444B1E"/>
    <w:rsid w:val="00444DC7"/>
    <w:rsid w:val="00445107"/>
    <w:rsid w:val="0044514F"/>
    <w:rsid w:val="0044580B"/>
    <w:rsid w:val="0044592B"/>
    <w:rsid w:val="00445DAF"/>
    <w:rsid w:val="00445EC1"/>
    <w:rsid w:val="004464D2"/>
    <w:rsid w:val="0044673E"/>
    <w:rsid w:val="004470EF"/>
    <w:rsid w:val="00447D3C"/>
    <w:rsid w:val="00450025"/>
    <w:rsid w:val="0045023A"/>
    <w:rsid w:val="0045071E"/>
    <w:rsid w:val="00450ECF"/>
    <w:rsid w:val="00451387"/>
    <w:rsid w:val="00451411"/>
    <w:rsid w:val="004522ED"/>
    <w:rsid w:val="00452EFA"/>
    <w:rsid w:val="00453494"/>
    <w:rsid w:val="00453DE7"/>
    <w:rsid w:val="004541D3"/>
    <w:rsid w:val="004551FB"/>
    <w:rsid w:val="00455421"/>
    <w:rsid w:val="0045552F"/>
    <w:rsid w:val="00455AE5"/>
    <w:rsid w:val="0045640C"/>
    <w:rsid w:val="004568E5"/>
    <w:rsid w:val="0045691E"/>
    <w:rsid w:val="00456A58"/>
    <w:rsid w:val="00456CFD"/>
    <w:rsid w:val="00456DA3"/>
    <w:rsid w:val="004570D7"/>
    <w:rsid w:val="004575FF"/>
    <w:rsid w:val="0045775A"/>
    <w:rsid w:val="00457AF4"/>
    <w:rsid w:val="0046183A"/>
    <w:rsid w:val="00462324"/>
    <w:rsid w:val="00462385"/>
    <w:rsid w:val="004629A9"/>
    <w:rsid w:val="00463124"/>
    <w:rsid w:val="004633EE"/>
    <w:rsid w:val="00463B06"/>
    <w:rsid w:val="00463BF0"/>
    <w:rsid w:val="0046428A"/>
    <w:rsid w:val="0046463A"/>
    <w:rsid w:val="00464AFF"/>
    <w:rsid w:val="00465174"/>
    <w:rsid w:val="00465DE1"/>
    <w:rsid w:val="00466138"/>
    <w:rsid w:val="004661B4"/>
    <w:rsid w:val="00466415"/>
    <w:rsid w:val="00466A30"/>
    <w:rsid w:val="00466A40"/>
    <w:rsid w:val="00467606"/>
    <w:rsid w:val="00467DB4"/>
    <w:rsid w:val="00470F7F"/>
    <w:rsid w:val="00470FC1"/>
    <w:rsid w:val="0047167E"/>
    <w:rsid w:val="004719FE"/>
    <w:rsid w:val="00471E87"/>
    <w:rsid w:val="0047238D"/>
    <w:rsid w:val="004724E9"/>
    <w:rsid w:val="0047306D"/>
    <w:rsid w:val="004737AC"/>
    <w:rsid w:val="00473D80"/>
    <w:rsid w:val="004740F3"/>
    <w:rsid w:val="004741C6"/>
    <w:rsid w:val="004743D9"/>
    <w:rsid w:val="0047441D"/>
    <w:rsid w:val="004750E4"/>
    <w:rsid w:val="0047510E"/>
    <w:rsid w:val="00476778"/>
    <w:rsid w:val="00476F15"/>
    <w:rsid w:val="00477C46"/>
    <w:rsid w:val="00480727"/>
    <w:rsid w:val="00480CC0"/>
    <w:rsid w:val="00480F23"/>
    <w:rsid w:val="00481578"/>
    <w:rsid w:val="00482476"/>
    <w:rsid w:val="00482ACF"/>
    <w:rsid w:val="0048346D"/>
    <w:rsid w:val="004836C1"/>
    <w:rsid w:val="00483751"/>
    <w:rsid w:val="00483A96"/>
    <w:rsid w:val="00483C50"/>
    <w:rsid w:val="00484096"/>
    <w:rsid w:val="004840B9"/>
    <w:rsid w:val="0048465F"/>
    <w:rsid w:val="00484AEA"/>
    <w:rsid w:val="00484F5E"/>
    <w:rsid w:val="0048503F"/>
    <w:rsid w:val="004850E0"/>
    <w:rsid w:val="00485151"/>
    <w:rsid w:val="00485439"/>
    <w:rsid w:val="00485B35"/>
    <w:rsid w:val="004860E4"/>
    <w:rsid w:val="00486736"/>
    <w:rsid w:val="00486A97"/>
    <w:rsid w:val="004875AE"/>
    <w:rsid w:val="0049005E"/>
    <w:rsid w:val="00490063"/>
    <w:rsid w:val="004909EC"/>
    <w:rsid w:val="00490D90"/>
    <w:rsid w:val="00491212"/>
    <w:rsid w:val="00491B86"/>
    <w:rsid w:val="00491C54"/>
    <w:rsid w:val="004924FC"/>
    <w:rsid w:val="0049380B"/>
    <w:rsid w:val="004950F9"/>
    <w:rsid w:val="00495A1D"/>
    <w:rsid w:val="00495CF7"/>
    <w:rsid w:val="00495F28"/>
    <w:rsid w:val="0049603A"/>
    <w:rsid w:val="00496F53"/>
    <w:rsid w:val="00497313"/>
    <w:rsid w:val="00497868"/>
    <w:rsid w:val="004978AD"/>
    <w:rsid w:val="004A0102"/>
    <w:rsid w:val="004A013D"/>
    <w:rsid w:val="004A029F"/>
    <w:rsid w:val="004A1815"/>
    <w:rsid w:val="004A1E69"/>
    <w:rsid w:val="004A317C"/>
    <w:rsid w:val="004A31B2"/>
    <w:rsid w:val="004A332D"/>
    <w:rsid w:val="004A392A"/>
    <w:rsid w:val="004A4059"/>
    <w:rsid w:val="004A4AB3"/>
    <w:rsid w:val="004A5690"/>
    <w:rsid w:val="004A588C"/>
    <w:rsid w:val="004A5E8F"/>
    <w:rsid w:val="004A5F70"/>
    <w:rsid w:val="004A6114"/>
    <w:rsid w:val="004A62AC"/>
    <w:rsid w:val="004A658B"/>
    <w:rsid w:val="004A6AB9"/>
    <w:rsid w:val="004A6D52"/>
    <w:rsid w:val="004A71B6"/>
    <w:rsid w:val="004B0808"/>
    <w:rsid w:val="004B09F7"/>
    <w:rsid w:val="004B0BF1"/>
    <w:rsid w:val="004B1377"/>
    <w:rsid w:val="004B1673"/>
    <w:rsid w:val="004B1D31"/>
    <w:rsid w:val="004B1DEA"/>
    <w:rsid w:val="004B23B6"/>
    <w:rsid w:val="004B2F77"/>
    <w:rsid w:val="004B3162"/>
    <w:rsid w:val="004B3325"/>
    <w:rsid w:val="004B382D"/>
    <w:rsid w:val="004B3AC6"/>
    <w:rsid w:val="004B3D0D"/>
    <w:rsid w:val="004B42F8"/>
    <w:rsid w:val="004B492F"/>
    <w:rsid w:val="004B4D44"/>
    <w:rsid w:val="004B4FA7"/>
    <w:rsid w:val="004B5DBF"/>
    <w:rsid w:val="004B5FCC"/>
    <w:rsid w:val="004B6A4F"/>
    <w:rsid w:val="004B70A6"/>
    <w:rsid w:val="004B7A12"/>
    <w:rsid w:val="004B7D01"/>
    <w:rsid w:val="004C028F"/>
    <w:rsid w:val="004C0F95"/>
    <w:rsid w:val="004C15D9"/>
    <w:rsid w:val="004C2DF1"/>
    <w:rsid w:val="004C2E9D"/>
    <w:rsid w:val="004C317E"/>
    <w:rsid w:val="004C56F1"/>
    <w:rsid w:val="004C58D1"/>
    <w:rsid w:val="004C5A3C"/>
    <w:rsid w:val="004C5B39"/>
    <w:rsid w:val="004C5BD7"/>
    <w:rsid w:val="004C5C09"/>
    <w:rsid w:val="004C5D63"/>
    <w:rsid w:val="004C645C"/>
    <w:rsid w:val="004C6F8E"/>
    <w:rsid w:val="004C7059"/>
    <w:rsid w:val="004C7300"/>
    <w:rsid w:val="004C730C"/>
    <w:rsid w:val="004C7408"/>
    <w:rsid w:val="004C7CC8"/>
    <w:rsid w:val="004D07D0"/>
    <w:rsid w:val="004D26DC"/>
    <w:rsid w:val="004D2A67"/>
    <w:rsid w:val="004D35DD"/>
    <w:rsid w:val="004D3790"/>
    <w:rsid w:val="004D3835"/>
    <w:rsid w:val="004D389A"/>
    <w:rsid w:val="004D393F"/>
    <w:rsid w:val="004D3EC5"/>
    <w:rsid w:val="004D4774"/>
    <w:rsid w:val="004D4E49"/>
    <w:rsid w:val="004D4F75"/>
    <w:rsid w:val="004D5014"/>
    <w:rsid w:val="004D535B"/>
    <w:rsid w:val="004D5F27"/>
    <w:rsid w:val="004D61E5"/>
    <w:rsid w:val="004D6606"/>
    <w:rsid w:val="004D668F"/>
    <w:rsid w:val="004D6A0D"/>
    <w:rsid w:val="004D6E22"/>
    <w:rsid w:val="004D7AB0"/>
    <w:rsid w:val="004D7D7D"/>
    <w:rsid w:val="004E0066"/>
    <w:rsid w:val="004E02EB"/>
    <w:rsid w:val="004E065F"/>
    <w:rsid w:val="004E0FA2"/>
    <w:rsid w:val="004E196C"/>
    <w:rsid w:val="004E1CD5"/>
    <w:rsid w:val="004E28C8"/>
    <w:rsid w:val="004E2B17"/>
    <w:rsid w:val="004E2CE7"/>
    <w:rsid w:val="004E2F58"/>
    <w:rsid w:val="004E30E4"/>
    <w:rsid w:val="004E461D"/>
    <w:rsid w:val="004E588E"/>
    <w:rsid w:val="004E63E3"/>
    <w:rsid w:val="004E6933"/>
    <w:rsid w:val="004E6E31"/>
    <w:rsid w:val="004F063C"/>
    <w:rsid w:val="004F0865"/>
    <w:rsid w:val="004F0878"/>
    <w:rsid w:val="004F2110"/>
    <w:rsid w:val="004F2FC7"/>
    <w:rsid w:val="004F427D"/>
    <w:rsid w:val="004F4953"/>
    <w:rsid w:val="004F5F6B"/>
    <w:rsid w:val="004F62EC"/>
    <w:rsid w:val="004F6FB7"/>
    <w:rsid w:val="004F7035"/>
    <w:rsid w:val="004F7165"/>
    <w:rsid w:val="004F771F"/>
    <w:rsid w:val="004F7F3A"/>
    <w:rsid w:val="005025B2"/>
    <w:rsid w:val="0050312F"/>
    <w:rsid w:val="005036A4"/>
    <w:rsid w:val="00503794"/>
    <w:rsid w:val="005037BF"/>
    <w:rsid w:val="00503DE4"/>
    <w:rsid w:val="00504BE8"/>
    <w:rsid w:val="0050517B"/>
    <w:rsid w:val="005056B1"/>
    <w:rsid w:val="005063D9"/>
    <w:rsid w:val="0050686C"/>
    <w:rsid w:val="00506C99"/>
    <w:rsid w:val="00507027"/>
    <w:rsid w:val="005070EB"/>
    <w:rsid w:val="00507602"/>
    <w:rsid w:val="00507764"/>
    <w:rsid w:val="00507AC2"/>
    <w:rsid w:val="00507C3D"/>
    <w:rsid w:val="00511010"/>
    <w:rsid w:val="00511026"/>
    <w:rsid w:val="005112CE"/>
    <w:rsid w:val="005119C1"/>
    <w:rsid w:val="005119EE"/>
    <w:rsid w:val="00511C61"/>
    <w:rsid w:val="00512C26"/>
    <w:rsid w:val="005130C6"/>
    <w:rsid w:val="0051312F"/>
    <w:rsid w:val="00513868"/>
    <w:rsid w:val="00513C62"/>
    <w:rsid w:val="00513E1B"/>
    <w:rsid w:val="00513FCE"/>
    <w:rsid w:val="005141B0"/>
    <w:rsid w:val="00515A3B"/>
    <w:rsid w:val="00515ACA"/>
    <w:rsid w:val="00516151"/>
    <w:rsid w:val="005163B4"/>
    <w:rsid w:val="00516928"/>
    <w:rsid w:val="00516D85"/>
    <w:rsid w:val="00517505"/>
    <w:rsid w:val="0051761F"/>
    <w:rsid w:val="00520439"/>
    <w:rsid w:val="0052065E"/>
    <w:rsid w:val="005211C5"/>
    <w:rsid w:val="00521779"/>
    <w:rsid w:val="00522647"/>
    <w:rsid w:val="00522E21"/>
    <w:rsid w:val="00522FDD"/>
    <w:rsid w:val="00523B37"/>
    <w:rsid w:val="00523B8E"/>
    <w:rsid w:val="00523D32"/>
    <w:rsid w:val="00524139"/>
    <w:rsid w:val="00524A53"/>
    <w:rsid w:val="005253FD"/>
    <w:rsid w:val="00525BE3"/>
    <w:rsid w:val="005266EC"/>
    <w:rsid w:val="00526CC1"/>
    <w:rsid w:val="00526F49"/>
    <w:rsid w:val="005270CE"/>
    <w:rsid w:val="005278CD"/>
    <w:rsid w:val="005304B7"/>
    <w:rsid w:val="00530846"/>
    <w:rsid w:val="00530979"/>
    <w:rsid w:val="00530BD1"/>
    <w:rsid w:val="005313B0"/>
    <w:rsid w:val="00531A83"/>
    <w:rsid w:val="0053227B"/>
    <w:rsid w:val="00532685"/>
    <w:rsid w:val="00532C97"/>
    <w:rsid w:val="00532E38"/>
    <w:rsid w:val="0053326E"/>
    <w:rsid w:val="005346AF"/>
    <w:rsid w:val="00534E66"/>
    <w:rsid w:val="00535B91"/>
    <w:rsid w:val="00535DAD"/>
    <w:rsid w:val="00536C50"/>
    <w:rsid w:val="00536E40"/>
    <w:rsid w:val="00536FD9"/>
    <w:rsid w:val="0053718B"/>
    <w:rsid w:val="00537DEE"/>
    <w:rsid w:val="00540182"/>
    <w:rsid w:val="00540655"/>
    <w:rsid w:val="00540AF7"/>
    <w:rsid w:val="00540F3F"/>
    <w:rsid w:val="0054279F"/>
    <w:rsid w:val="005428C8"/>
    <w:rsid w:val="00542D3A"/>
    <w:rsid w:val="00543655"/>
    <w:rsid w:val="00543E8D"/>
    <w:rsid w:val="00543FEF"/>
    <w:rsid w:val="00544546"/>
    <w:rsid w:val="0054512B"/>
    <w:rsid w:val="00545325"/>
    <w:rsid w:val="0054570A"/>
    <w:rsid w:val="005457F4"/>
    <w:rsid w:val="00545AB5"/>
    <w:rsid w:val="00545DD6"/>
    <w:rsid w:val="00546286"/>
    <w:rsid w:val="00546A4C"/>
    <w:rsid w:val="00546D8B"/>
    <w:rsid w:val="005474F3"/>
    <w:rsid w:val="0054783A"/>
    <w:rsid w:val="00550685"/>
    <w:rsid w:val="00551238"/>
    <w:rsid w:val="005514AD"/>
    <w:rsid w:val="00551F26"/>
    <w:rsid w:val="00552368"/>
    <w:rsid w:val="00552F3C"/>
    <w:rsid w:val="0055302D"/>
    <w:rsid w:val="005533ED"/>
    <w:rsid w:val="00554597"/>
    <w:rsid w:val="005550F6"/>
    <w:rsid w:val="00555AFB"/>
    <w:rsid w:val="00556348"/>
    <w:rsid w:val="00556951"/>
    <w:rsid w:val="00556F7D"/>
    <w:rsid w:val="0055750C"/>
    <w:rsid w:val="00557A00"/>
    <w:rsid w:val="00560A7F"/>
    <w:rsid w:val="0056129D"/>
    <w:rsid w:val="005619B5"/>
    <w:rsid w:val="00561DFB"/>
    <w:rsid w:val="00562AA3"/>
    <w:rsid w:val="00562B12"/>
    <w:rsid w:val="00562FFA"/>
    <w:rsid w:val="00563722"/>
    <w:rsid w:val="0056381D"/>
    <w:rsid w:val="00563834"/>
    <w:rsid w:val="00564353"/>
    <w:rsid w:val="00564365"/>
    <w:rsid w:val="0056482F"/>
    <w:rsid w:val="00564C11"/>
    <w:rsid w:val="00564CD6"/>
    <w:rsid w:val="00564D67"/>
    <w:rsid w:val="00564DC0"/>
    <w:rsid w:val="00565099"/>
    <w:rsid w:val="005651B2"/>
    <w:rsid w:val="0056606D"/>
    <w:rsid w:val="00566751"/>
    <w:rsid w:val="00566A95"/>
    <w:rsid w:val="00566C48"/>
    <w:rsid w:val="00567408"/>
    <w:rsid w:val="005674B0"/>
    <w:rsid w:val="005679E7"/>
    <w:rsid w:val="005709D7"/>
    <w:rsid w:val="00570A7C"/>
    <w:rsid w:val="00570CD2"/>
    <w:rsid w:val="0057125C"/>
    <w:rsid w:val="005726E2"/>
    <w:rsid w:val="005735C7"/>
    <w:rsid w:val="0057367D"/>
    <w:rsid w:val="00573AD3"/>
    <w:rsid w:val="00573FA1"/>
    <w:rsid w:val="005744F1"/>
    <w:rsid w:val="005745AD"/>
    <w:rsid w:val="00574E5E"/>
    <w:rsid w:val="005759CD"/>
    <w:rsid w:val="00575F56"/>
    <w:rsid w:val="0057622F"/>
    <w:rsid w:val="00576DE4"/>
    <w:rsid w:val="005770F2"/>
    <w:rsid w:val="00577FAB"/>
    <w:rsid w:val="00580873"/>
    <w:rsid w:val="0058092B"/>
    <w:rsid w:val="005810B5"/>
    <w:rsid w:val="0058123D"/>
    <w:rsid w:val="0058176B"/>
    <w:rsid w:val="005817ED"/>
    <w:rsid w:val="00581D13"/>
    <w:rsid w:val="005825CB"/>
    <w:rsid w:val="00583413"/>
    <w:rsid w:val="005841BE"/>
    <w:rsid w:val="00584279"/>
    <w:rsid w:val="005846ED"/>
    <w:rsid w:val="005848DC"/>
    <w:rsid w:val="005850BD"/>
    <w:rsid w:val="005850CD"/>
    <w:rsid w:val="00585292"/>
    <w:rsid w:val="00585ADE"/>
    <w:rsid w:val="00586442"/>
    <w:rsid w:val="005869B4"/>
    <w:rsid w:val="00586BC5"/>
    <w:rsid w:val="005872BD"/>
    <w:rsid w:val="005873D7"/>
    <w:rsid w:val="0059008B"/>
    <w:rsid w:val="00590A46"/>
    <w:rsid w:val="00590B79"/>
    <w:rsid w:val="00590EAA"/>
    <w:rsid w:val="005920FB"/>
    <w:rsid w:val="00592A33"/>
    <w:rsid w:val="00592C28"/>
    <w:rsid w:val="00592DCD"/>
    <w:rsid w:val="00592FC5"/>
    <w:rsid w:val="00593248"/>
    <w:rsid w:val="005938E7"/>
    <w:rsid w:val="00593ED4"/>
    <w:rsid w:val="0059464E"/>
    <w:rsid w:val="00594DA3"/>
    <w:rsid w:val="00595A3C"/>
    <w:rsid w:val="00596C91"/>
    <w:rsid w:val="0059731A"/>
    <w:rsid w:val="00597A25"/>
    <w:rsid w:val="00597B0E"/>
    <w:rsid w:val="00597B63"/>
    <w:rsid w:val="00597C88"/>
    <w:rsid w:val="005A0017"/>
    <w:rsid w:val="005A090F"/>
    <w:rsid w:val="005A0D50"/>
    <w:rsid w:val="005A1173"/>
    <w:rsid w:val="005A11AE"/>
    <w:rsid w:val="005A1425"/>
    <w:rsid w:val="005A148F"/>
    <w:rsid w:val="005A1D18"/>
    <w:rsid w:val="005A1D4A"/>
    <w:rsid w:val="005A2577"/>
    <w:rsid w:val="005A3A45"/>
    <w:rsid w:val="005A3B78"/>
    <w:rsid w:val="005A3FF4"/>
    <w:rsid w:val="005A46FA"/>
    <w:rsid w:val="005A4AD4"/>
    <w:rsid w:val="005A5423"/>
    <w:rsid w:val="005A569E"/>
    <w:rsid w:val="005A624C"/>
    <w:rsid w:val="005A6C46"/>
    <w:rsid w:val="005A7985"/>
    <w:rsid w:val="005A7E66"/>
    <w:rsid w:val="005B0031"/>
    <w:rsid w:val="005B09AC"/>
    <w:rsid w:val="005B1C07"/>
    <w:rsid w:val="005B1DBE"/>
    <w:rsid w:val="005B1E27"/>
    <w:rsid w:val="005B23DE"/>
    <w:rsid w:val="005B302A"/>
    <w:rsid w:val="005B3CA0"/>
    <w:rsid w:val="005B448F"/>
    <w:rsid w:val="005B4BB6"/>
    <w:rsid w:val="005B5760"/>
    <w:rsid w:val="005B5783"/>
    <w:rsid w:val="005B604E"/>
    <w:rsid w:val="005B6777"/>
    <w:rsid w:val="005B6F3E"/>
    <w:rsid w:val="005B7050"/>
    <w:rsid w:val="005C009F"/>
    <w:rsid w:val="005C01E6"/>
    <w:rsid w:val="005C10ED"/>
    <w:rsid w:val="005C132F"/>
    <w:rsid w:val="005C17E9"/>
    <w:rsid w:val="005C20E8"/>
    <w:rsid w:val="005C2166"/>
    <w:rsid w:val="005C24A6"/>
    <w:rsid w:val="005C26F6"/>
    <w:rsid w:val="005C2F92"/>
    <w:rsid w:val="005C36CF"/>
    <w:rsid w:val="005C41DC"/>
    <w:rsid w:val="005C43FA"/>
    <w:rsid w:val="005C49ED"/>
    <w:rsid w:val="005C599D"/>
    <w:rsid w:val="005C5A67"/>
    <w:rsid w:val="005C5D91"/>
    <w:rsid w:val="005C61A6"/>
    <w:rsid w:val="005C6C03"/>
    <w:rsid w:val="005C7985"/>
    <w:rsid w:val="005D0B23"/>
    <w:rsid w:val="005D19B8"/>
    <w:rsid w:val="005D1FB9"/>
    <w:rsid w:val="005D2464"/>
    <w:rsid w:val="005D24D2"/>
    <w:rsid w:val="005D2791"/>
    <w:rsid w:val="005D29B6"/>
    <w:rsid w:val="005D328E"/>
    <w:rsid w:val="005D33F9"/>
    <w:rsid w:val="005D3A6F"/>
    <w:rsid w:val="005D42F8"/>
    <w:rsid w:val="005D463C"/>
    <w:rsid w:val="005D49C5"/>
    <w:rsid w:val="005D4C5B"/>
    <w:rsid w:val="005D4F96"/>
    <w:rsid w:val="005D5139"/>
    <w:rsid w:val="005D586F"/>
    <w:rsid w:val="005D5A22"/>
    <w:rsid w:val="005D5D29"/>
    <w:rsid w:val="005D61D2"/>
    <w:rsid w:val="005D64EB"/>
    <w:rsid w:val="005D7725"/>
    <w:rsid w:val="005D7E81"/>
    <w:rsid w:val="005E004D"/>
    <w:rsid w:val="005E0588"/>
    <w:rsid w:val="005E06C1"/>
    <w:rsid w:val="005E1D52"/>
    <w:rsid w:val="005E317C"/>
    <w:rsid w:val="005E3182"/>
    <w:rsid w:val="005E34E6"/>
    <w:rsid w:val="005E3C60"/>
    <w:rsid w:val="005E436C"/>
    <w:rsid w:val="005E47DF"/>
    <w:rsid w:val="005E4C48"/>
    <w:rsid w:val="005E55D6"/>
    <w:rsid w:val="005E5674"/>
    <w:rsid w:val="005E5BF7"/>
    <w:rsid w:val="005E5CAD"/>
    <w:rsid w:val="005E5D43"/>
    <w:rsid w:val="005E5D91"/>
    <w:rsid w:val="005E600F"/>
    <w:rsid w:val="005E618A"/>
    <w:rsid w:val="005E6219"/>
    <w:rsid w:val="005E6B78"/>
    <w:rsid w:val="005F0388"/>
    <w:rsid w:val="005F0B8B"/>
    <w:rsid w:val="005F1352"/>
    <w:rsid w:val="005F22D2"/>
    <w:rsid w:val="005F2567"/>
    <w:rsid w:val="005F28D0"/>
    <w:rsid w:val="005F2E29"/>
    <w:rsid w:val="005F316B"/>
    <w:rsid w:val="005F3388"/>
    <w:rsid w:val="005F3BCA"/>
    <w:rsid w:val="005F3C24"/>
    <w:rsid w:val="005F4321"/>
    <w:rsid w:val="005F453E"/>
    <w:rsid w:val="005F4A9D"/>
    <w:rsid w:val="005F5142"/>
    <w:rsid w:val="005F5F35"/>
    <w:rsid w:val="005F5FBE"/>
    <w:rsid w:val="005F62B6"/>
    <w:rsid w:val="005F63CA"/>
    <w:rsid w:val="005F63FD"/>
    <w:rsid w:val="005F6647"/>
    <w:rsid w:val="005F7F44"/>
    <w:rsid w:val="00600BA7"/>
    <w:rsid w:val="00601637"/>
    <w:rsid w:val="006018A6"/>
    <w:rsid w:val="00602709"/>
    <w:rsid w:val="00602761"/>
    <w:rsid w:val="00602C47"/>
    <w:rsid w:val="00602C6A"/>
    <w:rsid w:val="006039C9"/>
    <w:rsid w:val="006047F5"/>
    <w:rsid w:val="0060562C"/>
    <w:rsid w:val="00605804"/>
    <w:rsid w:val="006059E5"/>
    <w:rsid w:val="00606020"/>
    <w:rsid w:val="0060647D"/>
    <w:rsid w:val="00606A85"/>
    <w:rsid w:val="00607A59"/>
    <w:rsid w:val="0061000A"/>
    <w:rsid w:val="006100AF"/>
    <w:rsid w:val="00610916"/>
    <w:rsid w:val="00611D18"/>
    <w:rsid w:val="006127E3"/>
    <w:rsid w:val="00612CCF"/>
    <w:rsid w:val="00612E32"/>
    <w:rsid w:val="006138F7"/>
    <w:rsid w:val="00614088"/>
    <w:rsid w:val="006142B6"/>
    <w:rsid w:val="00614860"/>
    <w:rsid w:val="00614BB3"/>
    <w:rsid w:val="006156F6"/>
    <w:rsid w:val="0061587C"/>
    <w:rsid w:val="006159DE"/>
    <w:rsid w:val="00615BFD"/>
    <w:rsid w:val="00615C1F"/>
    <w:rsid w:val="006172CA"/>
    <w:rsid w:val="00617B21"/>
    <w:rsid w:val="00620958"/>
    <w:rsid w:val="00620D14"/>
    <w:rsid w:val="00620F05"/>
    <w:rsid w:val="00621277"/>
    <w:rsid w:val="006215ED"/>
    <w:rsid w:val="00621E86"/>
    <w:rsid w:val="0062206C"/>
    <w:rsid w:val="0062209B"/>
    <w:rsid w:val="00624E43"/>
    <w:rsid w:val="0062503B"/>
    <w:rsid w:val="006250BC"/>
    <w:rsid w:val="0062538B"/>
    <w:rsid w:val="00625782"/>
    <w:rsid w:val="0062597D"/>
    <w:rsid w:val="00625D3A"/>
    <w:rsid w:val="00625FF3"/>
    <w:rsid w:val="006262F3"/>
    <w:rsid w:val="00626D88"/>
    <w:rsid w:val="00627966"/>
    <w:rsid w:val="00627D22"/>
    <w:rsid w:val="00627DAF"/>
    <w:rsid w:val="0063005D"/>
    <w:rsid w:val="006309B8"/>
    <w:rsid w:val="00630E3A"/>
    <w:rsid w:val="00630EC7"/>
    <w:rsid w:val="00630FE7"/>
    <w:rsid w:val="006317F1"/>
    <w:rsid w:val="0063223D"/>
    <w:rsid w:val="006324AC"/>
    <w:rsid w:val="006327C8"/>
    <w:rsid w:val="00632D65"/>
    <w:rsid w:val="006339C4"/>
    <w:rsid w:val="00634079"/>
    <w:rsid w:val="006349BC"/>
    <w:rsid w:val="0063564C"/>
    <w:rsid w:val="00635899"/>
    <w:rsid w:val="00635CF6"/>
    <w:rsid w:val="00636033"/>
    <w:rsid w:val="006361A7"/>
    <w:rsid w:val="00636868"/>
    <w:rsid w:val="00636FFF"/>
    <w:rsid w:val="0063742A"/>
    <w:rsid w:val="00637522"/>
    <w:rsid w:val="006375C5"/>
    <w:rsid w:val="00637A97"/>
    <w:rsid w:val="00637E05"/>
    <w:rsid w:val="00640C19"/>
    <w:rsid w:val="006413FF"/>
    <w:rsid w:val="0064169A"/>
    <w:rsid w:val="00641753"/>
    <w:rsid w:val="00641AEC"/>
    <w:rsid w:val="00642261"/>
    <w:rsid w:val="00642543"/>
    <w:rsid w:val="00642C3F"/>
    <w:rsid w:val="00642CF4"/>
    <w:rsid w:val="00643095"/>
    <w:rsid w:val="0064344D"/>
    <w:rsid w:val="00643884"/>
    <w:rsid w:val="00644389"/>
    <w:rsid w:val="00644979"/>
    <w:rsid w:val="00644F03"/>
    <w:rsid w:val="00646892"/>
    <w:rsid w:val="006469A2"/>
    <w:rsid w:val="00646C10"/>
    <w:rsid w:val="00646D58"/>
    <w:rsid w:val="006472D4"/>
    <w:rsid w:val="0064738B"/>
    <w:rsid w:val="006477E8"/>
    <w:rsid w:val="00647825"/>
    <w:rsid w:val="006478DC"/>
    <w:rsid w:val="00647FAA"/>
    <w:rsid w:val="00650216"/>
    <w:rsid w:val="006504C3"/>
    <w:rsid w:val="0065076B"/>
    <w:rsid w:val="00650EEE"/>
    <w:rsid w:val="0065130E"/>
    <w:rsid w:val="006513A1"/>
    <w:rsid w:val="00651E67"/>
    <w:rsid w:val="006525D5"/>
    <w:rsid w:val="00652DE1"/>
    <w:rsid w:val="00653111"/>
    <w:rsid w:val="006532C2"/>
    <w:rsid w:val="006535C4"/>
    <w:rsid w:val="00653910"/>
    <w:rsid w:val="00653D68"/>
    <w:rsid w:val="00654AF5"/>
    <w:rsid w:val="00654BEE"/>
    <w:rsid w:val="00655393"/>
    <w:rsid w:val="00655645"/>
    <w:rsid w:val="00655743"/>
    <w:rsid w:val="00655A69"/>
    <w:rsid w:val="00656684"/>
    <w:rsid w:val="006568D9"/>
    <w:rsid w:val="00656AEB"/>
    <w:rsid w:val="006570A2"/>
    <w:rsid w:val="00660026"/>
    <w:rsid w:val="006602D8"/>
    <w:rsid w:val="00660507"/>
    <w:rsid w:val="00660660"/>
    <w:rsid w:val="006617A7"/>
    <w:rsid w:val="00661B79"/>
    <w:rsid w:val="00661FE7"/>
    <w:rsid w:val="00662F71"/>
    <w:rsid w:val="006635AB"/>
    <w:rsid w:val="00663761"/>
    <w:rsid w:val="00663F78"/>
    <w:rsid w:val="006640C1"/>
    <w:rsid w:val="006646E7"/>
    <w:rsid w:val="00665422"/>
    <w:rsid w:val="00665B87"/>
    <w:rsid w:val="0066686A"/>
    <w:rsid w:val="00667C21"/>
    <w:rsid w:val="0067024F"/>
    <w:rsid w:val="00670E78"/>
    <w:rsid w:val="006719CD"/>
    <w:rsid w:val="00671E82"/>
    <w:rsid w:val="00672A45"/>
    <w:rsid w:val="00672A9F"/>
    <w:rsid w:val="00672D50"/>
    <w:rsid w:val="00672F3F"/>
    <w:rsid w:val="00673337"/>
    <w:rsid w:val="006733A7"/>
    <w:rsid w:val="00674D26"/>
    <w:rsid w:val="00675000"/>
    <w:rsid w:val="006759C2"/>
    <w:rsid w:val="00676047"/>
    <w:rsid w:val="0067692B"/>
    <w:rsid w:val="00676CBE"/>
    <w:rsid w:val="00677072"/>
    <w:rsid w:val="00677ADC"/>
    <w:rsid w:val="00677F14"/>
    <w:rsid w:val="00680601"/>
    <w:rsid w:val="0068066B"/>
    <w:rsid w:val="0068135C"/>
    <w:rsid w:val="006815BC"/>
    <w:rsid w:val="0068174E"/>
    <w:rsid w:val="00681B3D"/>
    <w:rsid w:val="006820D6"/>
    <w:rsid w:val="00682A25"/>
    <w:rsid w:val="00682CE2"/>
    <w:rsid w:val="00683312"/>
    <w:rsid w:val="00683D3A"/>
    <w:rsid w:val="006850C8"/>
    <w:rsid w:val="0068555E"/>
    <w:rsid w:val="00685DF9"/>
    <w:rsid w:val="0068664D"/>
    <w:rsid w:val="00687264"/>
    <w:rsid w:val="006874D0"/>
    <w:rsid w:val="00687D8D"/>
    <w:rsid w:val="0069282E"/>
    <w:rsid w:val="0069295E"/>
    <w:rsid w:val="00693296"/>
    <w:rsid w:val="00693628"/>
    <w:rsid w:val="006938DF"/>
    <w:rsid w:val="00693C1C"/>
    <w:rsid w:val="00693EC8"/>
    <w:rsid w:val="00694120"/>
    <w:rsid w:val="00694492"/>
    <w:rsid w:val="00694C62"/>
    <w:rsid w:val="00694DE4"/>
    <w:rsid w:val="00694F6B"/>
    <w:rsid w:val="00694FF5"/>
    <w:rsid w:val="006954E8"/>
    <w:rsid w:val="006960A6"/>
    <w:rsid w:val="0069617C"/>
    <w:rsid w:val="006965AC"/>
    <w:rsid w:val="00696641"/>
    <w:rsid w:val="006968FD"/>
    <w:rsid w:val="00697117"/>
    <w:rsid w:val="006971ED"/>
    <w:rsid w:val="00697429"/>
    <w:rsid w:val="0069759B"/>
    <w:rsid w:val="006978D7"/>
    <w:rsid w:val="00697975"/>
    <w:rsid w:val="00697AAB"/>
    <w:rsid w:val="006A0583"/>
    <w:rsid w:val="006A0F40"/>
    <w:rsid w:val="006A0FF4"/>
    <w:rsid w:val="006A112D"/>
    <w:rsid w:val="006A158F"/>
    <w:rsid w:val="006A1D72"/>
    <w:rsid w:val="006A1FDA"/>
    <w:rsid w:val="006A203F"/>
    <w:rsid w:val="006A23C5"/>
    <w:rsid w:val="006A28B2"/>
    <w:rsid w:val="006A361D"/>
    <w:rsid w:val="006A36C2"/>
    <w:rsid w:val="006A3C6A"/>
    <w:rsid w:val="006A3DDC"/>
    <w:rsid w:val="006A466E"/>
    <w:rsid w:val="006A4BAD"/>
    <w:rsid w:val="006A4FFC"/>
    <w:rsid w:val="006A50B9"/>
    <w:rsid w:val="006A5E6D"/>
    <w:rsid w:val="006A63DD"/>
    <w:rsid w:val="006A67B4"/>
    <w:rsid w:val="006A6917"/>
    <w:rsid w:val="006A6E79"/>
    <w:rsid w:val="006A75DD"/>
    <w:rsid w:val="006A77BA"/>
    <w:rsid w:val="006B034D"/>
    <w:rsid w:val="006B0624"/>
    <w:rsid w:val="006B0E03"/>
    <w:rsid w:val="006B1E6A"/>
    <w:rsid w:val="006B24A4"/>
    <w:rsid w:val="006B255A"/>
    <w:rsid w:val="006B303C"/>
    <w:rsid w:val="006B32E5"/>
    <w:rsid w:val="006B335A"/>
    <w:rsid w:val="006B457D"/>
    <w:rsid w:val="006B4B65"/>
    <w:rsid w:val="006B4BA2"/>
    <w:rsid w:val="006B4F69"/>
    <w:rsid w:val="006B5116"/>
    <w:rsid w:val="006B5382"/>
    <w:rsid w:val="006B58DA"/>
    <w:rsid w:val="006B5A7D"/>
    <w:rsid w:val="006B6155"/>
    <w:rsid w:val="006B61EE"/>
    <w:rsid w:val="006B66B7"/>
    <w:rsid w:val="006B6B3B"/>
    <w:rsid w:val="006B6D9E"/>
    <w:rsid w:val="006B75AD"/>
    <w:rsid w:val="006B7807"/>
    <w:rsid w:val="006B7992"/>
    <w:rsid w:val="006C0158"/>
    <w:rsid w:val="006C03A1"/>
    <w:rsid w:val="006C0707"/>
    <w:rsid w:val="006C085C"/>
    <w:rsid w:val="006C0AF4"/>
    <w:rsid w:val="006C1161"/>
    <w:rsid w:val="006C1E5A"/>
    <w:rsid w:val="006C2819"/>
    <w:rsid w:val="006C28EA"/>
    <w:rsid w:val="006C2E73"/>
    <w:rsid w:val="006C3020"/>
    <w:rsid w:val="006C3420"/>
    <w:rsid w:val="006C3F99"/>
    <w:rsid w:val="006C4D33"/>
    <w:rsid w:val="006C4F64"/>
    <w:rsid w:val="006C4F9A"/>
    <w:rsid w:val="006C5025"/>
    <w:rsid w:val="006C516D"/>
    <w:rsid w:val="006C5718"/>
    <w:rsid w:val="006C57CC"/>
    <w:rsid w:val="006C5C5F"/>
    <w:rsid w:val="006C7495"/>
    <w:rsid w:val="006C7846"/>
    <w:rsid w:val="006C7F0F"/>
    <w:rsid w:val="006D00E4"/>
    <w:rsid w:val="006D09BB"/>
    <w:rsid w:val="006D1660"/>
    <w:rsid w:val="006D1F98"/>
    <w:rsid w:val="006D2328"/>
    <w:rsid w:val="006D25F3"/>
    <w:rsid w:val="006D3047"/>
    <w:rsid w:val="006D4425"/>
    <w:rsid w:val="006D46BA"/>
    <w:rsid w:val="006D5290"/>
    <w:rsid w:val="006D5B5C"/>
    <w:rsid w:val="006D6261"/>
    <w:rsid w:val="006D6FAB"/>
    <w:rsid w:val="006D7869"/>
    <w:rsid w:val="006D7990"/>
    <w:rsid w:val="006E0BB1"/>
    <w:rsid w:val="006E1210"/>
    <w:rsid w:val="006E1532"/>
    <w:rsid w:val="006E1A9B"/>
    <w:rsid w:val="006E247D"/>
    <w:rsid w:val="006E269F"/>
    <w:rsid w:val="006E277E"/>
    <w:rsid w:val="006E2CF6"/>
    <w:rsid w:val="006E2E0B"/>
    <w:rsid w:val="006E307D"/>
    <w:rsid w:val="006E3559"/>
    <w:rsid w:val="006E38A8"/>
    <w:rsid w:val="006E3B41"/>
    <w:rsid w:val="006E46D0"/>
    <w:rsid w:val="006E47A6"/>
    <w:rsid w:val="006E484C"/>
    <w:rsid w:val="006E4A00"/>
    <w:rsid w:val="006E4A50"/>
    <w:rsid w:val="006E4CEF"/>
    <w:rsid w:val="006E4D52"/>
    <w:rsid w:val="006E53D9"/>
    <w:rsid w:val="006E5969"/>
    <w:rsid w:val="006E5F7C"/>
    <w:rsid w:val="006E6007"/>
    <w:rsid w:val="006E6050"/>
    <w:rsid w:val="006E6449"/>
    <w:rsid w:val="006E676A"/>
    <w:rsid w:val="006E69E1"/>
    <w:rsid w:val="006E70A7"/>
    <w:rsid w:val="006E7969"/>
    <w:rsid w:val="006F002F"/>
    <w:rsid w:val="006F04B6"/>
    <w:rsid w:val="006F0FA5"/>
    <w:rsid w:val="006F1AC7"/>
    <w:rsid w:val="006F2167"/>
    <w:rsid w:val="006F235B"/>
    <w:rsid w:val="006F279F"/>
    <w:rsid w:val="006F2FF9"/>
    <w:rsid w:val="006F58D5"/>
    <w:rsid w:val="006F5B71"/>
    <w:rsid w:val="006F609F"/>
    <w:rsid w:val="006F6FDD"/>
    <w:rsid w:val="006F71AE"/>
    <w:rsid w:val="006F7CA2"/>
    <w:rsid w:val="0070001C"/>
    <w:rsid w:val="00700700"/>
    <w:rsid w:val="00700936"/>
    <w:rsid w:val="007009E6"/>
    <w:rsid w:val="00700E11"/>
    <w:rsid w:val="00700F02"/>
    <w:rsid w:val="0070153C"/>
    <w:rsid w:val="007022AC"/>
    <w:rsid w:val="007029B3"/>
    <w:rsid w:val="00702B23"/>
    <w:rsid w:val="007030FD"/>
    <w:rsid w:val="007032A1"/>
    <w:rsid w:val="00703841"/>
    <w:rsid w:val="007039E2"/>
    <w:rsid w:val="0070431F"/>
    <w:rsid w:val="00704BC1"/>
    <w:rsid w:val="00704F23"/>
    <w:rsid w:val="007051DD"/>
    <w:rsid w:val="0070520B"/>
    <w:rsid w:val="00705E0E"/>
    <w:rsid w:val="00706BEC"/>
    <w:rsid w:val="00706D96"/>
    <w:rsid w:val="007103FC"/>
    <w:rsid w:val="00710491"/>
    <w:rsid w:val="00710AE7"/>
    <w:rsid w:val="00711004"/>
    <w:rsid w:val="007112D1"/>
    <w:rsid w:val="007113C3"/>
    <w:rsid w:val="00711992"/>
    <w:rsid w:val="0071233A"/>
    <w:rsid w:val="0071270C"/>
    <w:rsid w:val="00712B3F"/>
    <w:rsid w:val="00713676"/>
    <w:rsid w:val="0071395D"/>
    <w:rsid w:val="00713AAE"/>
    <w:rsid w:val="00713CE1"/>
    <w:rsid w:val="00714263"/>
    <w:rsid w:val="0071457E"/>
    <w:rsid w:val="00715552"/>
    <w:rsid w:val="007159EF"/>
    <w:rsid w:val="00715A75"/>
    <w:rsid w:val="00715C15"/>
    <w:rsid w:val="00715EFB"/>
    <w:rsid w:val="007162B5"/>
    <w:rsid w:val="00716E30"/>
    <w:rsid w:val="007175BF"/>
    <w:rsid w:val="0071764F"/>
    <w:rsid w:val="00717A49"/>
    <w:rsid w:val="00720E84"/>
    <w:rsid w:val="007227FC"/>
    <w:rsid w:val="00722B75"/>
    <w:rsid w:val="00722E3E"/>
    <w:rsid w:val="0072373B"/>
    <w:rsid w:val="00723C79"/>
    <w:rsid w:val="007242B7"/>
    <w:rsid w:val="0072438A"/>
    <w:rsid w:val="0072464E"/>
    <w:rsid w:val="007249F0"/>
    <w:rsid w:val="00724EF0"/>
    <w:rsid w:val="0072517D"/>
    <w:rsid w:val="00725A8C"/>
    <w:rsid w:val="00725CA8"/>
    <w:rsid w:val="007269CC"/>
    <w:rsid w:val="00727476"/>
    <w:rsid w:val="0072749E"/>
    <w:rsid w:val="007274B4"/>
    <w:rsid w:val="00727A1A"/>
    <w:rsid w:val="00727B37"/>
    <w:rsid w:val="00727BE5"/>
    <w:rsid w:val="00730280"/>
    <w:rsid w:val="007306B9"/>
    <w:rsid w:val="007306F9"/>
    <w:rsid w:val="00730CC9"/>
    <w:rsid w:val="00732C4B"/>
    <w:rsid w:val="00733220"/>
    <w:rsid w:val="00733350"/>
    <w:rsid w:val="00733575"/>
    <w:rsid w:val="00733C28"/>
    <w:rsid w:val="00734593"/>
    <w:rsid w:val="00734883"/>
    <w:rsid w:val="00734889"/>
    <w:rsid w:val="0073507D"/>
    <w:rsid w:val="007362E1"/>
    <w:rsid w:val="00736480"/>
    <w:rsid w:val="00736D4B"/>
    <w:rsid w:val="007402D2"/>
    <w:rsid w:val="007406F6"/>
    <w:rsid w:val="007410A8"/>
    <w:rsid w:val="00741A82"/>
    <w:rsid w:val="00741CFE"/>
    <w:rsid w:val="007427E4"/>
    <w:rsid w:val="00742A6C"/>
    <w:rsid w:val="00742E1A"/>
    <w:rsid w:val="00742E86"/>
    <w:rsid w:val="00743A4C"/>
    <w:rsid w:val="00743B0D"/>
    <w:rsid w:val="00743C86"/>
    <w:rsid w:val="007440B9"/>
    <w:rsid w:val="0074438A"/>
    <w:rsid w:val="0074450A"/>
    <w:rsid w:val="00744E7B"/>
    <w:rsid w:val="00745CAF"/>
    <w:rsid w:val="007473E0"/>
    <w:rsid w:val="00747E31"/>
    <w:rsid w:val="007505EE"/>
    <w:rsid w:val="00750A6F"/>
    <w:rsid w:val="00750A79"/>
    <w:rsid w:val="0075160A"/>
    <w:rsid w:val="00751AC9"/>
    <w:rsid w:val="00751B66"/>
    <w:rsid w:val="007523C6"/>
    <w:rsid w:val="00753EB7"/>
    <w:rsid w:val="0075446A"/>
    <w:rsid w:val="00754770"/>
    <w:rsid w:val="00754C59"/>
    <w:rsid w:val="0075523D"/>
    <w:rsid w:val="007552D4"/>
    <w:rsid w:val="00757287"/>
    <w:rsid w:val="00757C47"/>
    <w:rsid w:val="0076146F"/>
    <w:rsid w:val="007614E0"/>
    <w:rsid w:val="0076177C"/>
    <w:rsid w:val="00761CE4"/>
    <w:rsid w:val="00762DC7"/>
    <w:rsid w:val="0076366E"/>
    <w:rsid w:val="0076373B"/>
    <w:rsid w:val="00763898"/>
    <w:rsid w:val="00763A8D"/>
    <w:rsid w:val="00763A93"/>
    <w:rsid w:val="00764247"/>
    <w:rsid w:val="00764411"/>
    <w:rsid w:val="00764C8F"/>
    <w:rsid w:val="00764F33"/>
    <w:rsid w:val="0076593F"/>
    <w:rsid w:val="00765B0D"/>
    <w:rsid w:val="00770582"/>
    <w:rsid w:val="00771428"/>
    <w:rsid w:val="00771A28"/>
    <w:rsid w:val="00771A75"/>
    <w:rsid w:val="00772EF9"/>
    <w:rsid w:val="0077374D"/>
    <w:rsid w:val="0077376F"/>
    <w:rsid w:val="00773B50"/>
    <w:rsid w:val="00773B62"/>
    <w:rsid w:val="00773D77"/>
    <w:rsid w:val="007740FA"/>
    <w:rsid w:val="0077481C"/>
    <w:rsid w:val="00774C3B"/>
    <w:rsid w:val="00775057"/>
    <w:rsid w:val="007753ED"/>
    <w:rsid w:val="00775740"/>
    <w:rsid w:val="00775BC5"/>
    <w:rsid w:val="00775F3F"/>
    <w:rsid w:val="00776EF9"/>
    <w:rsid w:val="0077729A"/>
    <w:rsid w:val="00777BCB"/>
    <w:rsid w:val="00777DEA"/>
    <w:rsid w:val="00777E69"/>
    <w:rsid w:val="00777F16"/>
    <w:rsid w:val="00780178"/>
    <w:rsid w:val="00780EFC"/>
    <w:rsid w:val="00781497"/>
    <w:rsid w:val="007818E8"/>
    <w:rsid w:val="00782DBF"/>
    <w:rsid w:val="00782EA6"/>
    <w:rsid w:val="007830E9"/>
    <w:rsid w:val="0078389F"/>
    <w:rsid w:val="0078456C"/>
    <w:rsid w:val="00784887"/>
    <w:rsid w:val="00784CD2"/>
    <w:rsid w:val="00785021"/>
    <w:rsid w:val="007856EF"/>
    <w:rsid w:val="00785A62"/>
    <w:rsid w:val="007862C0"/>
    <w:rsid w:val="007868F0"/>
    <w:rsid w:val="00786DEF"/>
    <w:rsid w:val="007878FB"/>
    <w:rsid w:val="00787A02"/>
    <w:rsid w:val="00790976"/>
    <w:rsid w:val="007910F4"/>
    <w:rsid w:val="00791516"/>
    <w:rsid w:val="00791602"/>
    <w:rsid w:val="0079163E"/>
    <w:rsid w:val="00791919"/>
    <w:rsid w:val="00791FB5"/>
    <w:rsid w:val="00792092"/>
    <w:rsid w:val="0079308B"/>
    <w:rsid w:val="007930B9"/>
    <w:rsid w:val="00793A46"/>
    <w:rsid w:val="00793CB1"/>
    <w:rsid w:val="007942F3"/>
    <w:rsid w:val="00795A4F"/>
    <w:rsid w:val="00795CAD"/>
    <w:rsid w:val="00795FD8"/>
    <w:rsid w:val="0079604B"/>
    <w:rsid w:val="00797614"/>
    <w:rsid w:val="00797842"/>
    <w:rsid w:val="0079788D"/>
    <w:rsid w:val="007A002E"/>
    <w:rsid w:val="007A0AC7"/>
    <w:rsid w:val="007A0B4C"/>
    <w:rsid w:val="007A0C73"/>
    <w:rsid w:val="007A1530"/>
    <w:rsid w:val="007A1BE3"/>
    <w:rsid w:val="007A1E11"/>
    <w:rsid w:val="007A22B9"/>
    <w:rsid w:val="007A2700"/>
    <w:rsid w:val="007A2B32"/>
    <w:rsid w:val="007A352E"/>
    <w:rsid w:val="007A3B3E"/>
    <w:rsid w:val="007A45EB"/>
    <w:rsid w:val="007A483A"/>
    <w:rsid w:val="007A4B69"/>
    <w:rsid w:val="007A4E96"/>
    <w:rsid w:val="007A5027"/>
    <w:rsid w:val="007A614F"/>
    <w:rsid w:val="007A6261"/>
    <w:rsid w:val="007A64F7"/>
    <w:rsid w:val="007A6924"/>
    <w:rsid w:val="007A6C35"/>
    <w:rsid w:val="007A6F25"/>
    <w:rsid w:val="007A7266"/>
    <w:rsid w:val="007B0218"/>
    <w:rsid w:val="007B192D"/>
    <w:rsid w:val="007B1993"/>
    <w:rsid w:val="007B1ADB"/>
    <w:rsid w:val="007B24F7"/>
    <w:rsid w:val="007B2841"/>
    <w:rsid w:val="007B2FA4"/>
    <w:rsid w:val="007B425B"/>
    <w:rsid w:val="007B469E"/>
    <w:rsid w:val="007B497F"/>
    <w:rsid w:val="007B52EE"/>
    <w:rsid w:val="007B532A"/>
    <w:rsid w:val="007B672A"/>
    <w:rsid w:val="007B6E64"/>
    <w:rsid w:val="007B7044"/>
    <w:rsid w:val="007B7150"/>
    <w:rsid w:val="007B725D"/>
    <w:rsid w:val="007B72B8"/>
    <w:rsid w:val="007B7454"/>
    <w:rsid w:val="007C01C4"/>
    <w:rsid w:val="007C03BD"/>
    <w:rsid w:val="007C06FB"/>
    <w:rsid w:val="007C0F44"/>
    <w:rsid w:val="007C10B1"/>
    <w:rsid w:val="007C1C37"/>
    <w:rsid w:val="007C24A6"/>
    <w:rsid w:val="007C2776"/>
    <w:rsid w:val="007C2D34"/>
    <w:rsid w:val="007C3307"/>
    <w:rsid w:val="007C360D"/>
    <w:rsid w:val="007C377C"/>
    <w:rsid w:val="007C3E7D"/>
    <w:rsid w:val="007C4838"/>
    <w:rsid w:val="007C4A72"/>
    <w:rsid w:val="007C52BF"/>
    <w:rsid w:val="007C568D"/>
    <w:rsid w:val="007C6120"/>
    <w:rsid w:val="007C6226"/>
    <w:rsid w:val="007C6571"/>
    <w:rsid w:val="007C6BFF"/>
    <w:rsid w:val="007C6D00"/>
    <w:rsid w:val="007C756E"/>
    <w:rsid w:val="007C7927"/>
    <w:rsid w:val="007D01F2"/>
    <w:rsid w:val="007D05A2"/>
    <w:rsid w:val="007D069E"/>
    <w:rsid w:val="007D1848"/>
    <w:rsid w:val="007D19EA"/>
    <w:rsid w:val="007D1ADD"/>
    <w:rsid w:val="007D1E23"/>
    <w:rsid w:val="007D215F"/>
    <w:rsid w:val="007D2449"/>
    <w:rsid w:val="007D2BCF"/>
    <w:rsid w:val="007D2D7C"/>
    <w:rsid w:val="007D2DAB"/>
    <w:rsid w:val="007D3428"/>
    <w:rsid w:val="007D3EE6"/>
    <w:rsid w:val="007D43EF"/>
    <w:rsid w:val="007D4628"/>
    <w:rsid w:val="007D4668"/>
    <w:rsid w:val="007D49DB"/>
    <w:rsid w:val="007D4DBE"/>
    <w:rsid w:val="007D4DE8"/>
    <w:rsid w:val="007D5836"/>
    <w:rsid w:val="007D5BC5"/>
    <w:rsid w:val="007D641E"/>
    <w:rsid w:val="007D6D50"/>
    <w:rsid w:val="007D6F6F"/>
    <w:rsid w:val="007D7009"/>
    <w:rsid w:val="007D7102"/>
    <w:rsid w:val="007D741E"/>
    <w:rsid w:val="007D7938"/>
    <w:rsid w:val="007D7D0E"/>
    <w:rsid w:val="007E05CE"/>
    <w:rsid w:val="007E098D"/>
    <w:rsid w:val="007E09BF"/>
    <w:rsid w:val="007E0D82"/>
    <w:rsid w:val="007E1744"/>
    <w:rsid w:val="007E1ED2"/>
    <w:rsid w:val="007E28FD"/>
    <w:rsid w:val="007E302D"/>
    <w:rsid w:val="007E30B5"/>
    <w:rsid w:val="007E3512"/>
    <w:rsid w:val="007E41AC"/>
    <w:rsid w:val="007E561D"/>
    <w:rsid w:val="007E564D"/>
    <w:rsid w:val="007E57B9"/>
    <w:rsid w:val="007E5CE4"/>
    <w:rsid w:val="007E5DB8"/>
    <w:rsid w:val="007E691A"/>
    <w:rsid w:val="007E6A05"/>
    <w:rsid w:val="007E6DB4"/>
    <w:rsid w:val="007E6F77"/>
    <w:rsid w:val="007F02DC"/>
    <w:rsid w:val="007F03A2"/>
    <w:rsid w:val="007F0727"/>
    <w:rsid w:val="007F0E85"/>
    <w:rsid w:val="007F1787"/>
    <w:rsid w:val="007F209A"/>
    <w:rsid w:val="007F2122"/>
    <w:rsid w:val="007F2747"/>
    <w:rsid w:val="007F2BCE"/>
    <w:rsid w:val="007F2F9F"/>
    <w:rsid w:val="007F3005"/>
    <w:rsid w:val="007F3036"/>
    <w:rsid w:val="007F3127"/>
    <w:rsid w:val="007F35F0"/>
    <w:rsid w:val="007F36E8"/>
    <w:rsid w:val="007F38C5"/>
    <w:rsid w:val="007F3B46"/>
    <w:rsid w:val="007F3D52"/>
    <w:rsid w:val="007F4CED"/>
    <w:rsid w:val="007F5310"/>
    <w:rsid w:val="007F54BC"/>
    <w:rsid w:val="007F5573"/>
    <w:rsid w:val="007F5B33"/>
    <w:rsid w:val="007F6237"/>
    <w:rsid w:val="007F7902"/>
    <w:rsid w:val="008000C3"/>
    <w:rsid w:val="00800790"/>
    <w:rsid w:val="00800D23"/>
    <w:rsid w:val="0080113F"/>
    <w:rsid w:val="00801901"/>
    <w:rsid w:val="00801AF5"/>
    <w:rsid w:val="008023B8"/>
    <w:rsid w:val="00802755"/>
    <w:rsid w:val="0080285C"/>
    <w:rsid w:val="008037D2"/>
    <w:rsid w:val="00803BB7"/>
    <w:rsid w:val="00803F6D"/>
    <w:rsid w:val="00804740"/>
    <w:rsid w:val="00805217"/>
    <w:rsid w:val="00805646"/>
    <w:rsid w:val="008064BC"/>
    <w:rsid w:val="00806627"/>
    <w:rsid w:val="0080674B"/>
    <w:rsid w:val="00807328"/>
    <w:rsid w:val="008077B5"/>
    <w:rsid w:val="00807DBF"/>
    <w:rsid w:val="00810533"/>
    <w:rsid w:val="0081055E"/>
    <w:rsid w:val="008109ED"/>
    <w:rsid w:val="0081102E"/>
    <w:rsid w:val="00811039"/>
    <w:rsid w:val="008114E6"/>
    <w:rsid w:val="00811A55"/>
    <w:rsid w:val="00811DDF"/>
    <w:rsid w:val="008124DF"/>
    <w:rsid w:val="008128B8"/>
    <w:rsid w:val="00812B76"/>
    <w:rsid w:val="00812C9C"/>
    <w:rsid w:val="00812D4F"/>
    <w:rsid w:val="00813B2A"/>
    <w:rsid w:val="00813CA5"/>
    <w:rsid w:val="00814D23"/>
    <w:rsid w:val="00815781"/>
    <w:rsid w:val="00816E4C"/>
    <w:rsid w:val="00816F0C"/>
    <w:rsid w:val="00817190"/>
    <w:rsid w:val="00820403"/>
    <w:rsid w:val="00822F22"/>
    <w:rsid w:val="0082301F"/>
    <w:rsid w:val="008238C9"/>
    <w:rsid w:val="008239EA"/>
    <w:rsid w:val="00823A9F"/>
    <w:rsid w:val="0082425F"/>
    <w:rsid w:val="00825131"/>
    <w:rsid w:val="008261D9"/>
    <w:rsid w:val="008261E3"/>
    <w:rsid w:val="008265D6"/>
    <w:rsid w:val="00826F01"/>
    <w:rsid w:val="00827440"/>
    <w:rsid w:val="00827500"/>
    <w:rsid w:val="00827D3E"/>
    <w:rsid w:val="00827F40"/>
    <w:rsid w:val="00830738"/>
    <w:rsid w:val="00831252"/>
    <w:rsid w:val="0083163B"/>
    <w:rsid w:val="00831B27"/>
    <w:rsid w:val="00831F72"/>
    <w:rsid w:val="008326E8"/>
    <w:rsid w:val="00832703"/>
    <w:rsid w:val="0083271E"/>
    <w:rsid w:val="00832748"/>
    <w:rsid w:val="008331F9"/>
    <w:rsid w:val="008335AB"/>
    <w:rsid w:val="00833F45"/>
    <w:rsid w:val="008342C1"/>
    <w:rsid w:val="00834927"/>
    <w:rsid w:val="00834BB8"/>
    <w:rsid w:val="00834EBF"/>
    <w:rsid w:val="0083505E"/>
    <w:rsid w:val="0083509C"/>
    <w:rsid w:val="008350AF"/>
    <w:rsid w:val="0083528C"/>
    <w:rsid w:val="0083531A"/>
    <w:rsid w:val="0083746A"/>
    <w:rsid w:val="00837C2A"/>
    <w:rsid w:val="00840579"/>
    <w:rsid w:val="008408C1"/>
    <w:rsid w:val="00840AB8"/>
    <w:rsid w:val="00840FA7"/>
    <w:rsid w:val="00841E45"/>
    <w:rsid w:val="00842B5E"/>
    <w:rsid w:val="008437E4"/>
    <w:rsid w:val="008439D2"/>
    <w:rsid w:val="00843CA7"/>
    <w:rsid w:val="00843CAF"/>
    <w:rsid w:val="008449E8"/>
    <w:rsid w:val="00844AF0"/>
    <w:rsid w:val="00844ED2"/>
    <w:rsid w:val="00845498"/>
    <w:rsid w:val="00845D7A"/>
    <w:rsid w:val="00846944"/>
    <w:rsid w:val="00846C61"/>
    <w:rsid w:val="00846E9B"/>
    <w:rsid w:val="00847C56"/>
    <w:rsid w:val="0085013D"/>
    <w:rsid w:val="00850242"/>
    <w:rsid w:val="0085047B"/>
    <w:rsid w:val="00850907"/>
    <w:rsid w:val="00850D78"/>
    <w:rsid w:val="00851FCE"/>
    <w:rsid w:val="00852062"/>
    <w:rsid w:val="00852A79"/>
    <w:rsid w:val="00852BFE"/>
    <w:rsid w:val="0085342E"/>
    <w:rsid w:val="008538D3"/>
    <w:rsid w:val="00853A0F"/>
    <w:rsid w:val="00854B7F"/>
    <w:rsid w:val="00854CAC"/>
    <w:rsid w:val="008550A6"/>
    <w:rsid w:val="008554F7"/>
    <w:rsid w:val="00855797"/>
    <w:rsid w:val="0085696F"/>
    <w:rsid w:val="00856A18"/>
    <w:rsid w:val="00856B7A"/>
    <w:rsid w:val="00856D37"/>
    <w:rsid w:val="00857126"/>
    <w:rsid w:val="00857368"/>
    <w:rsid w:val="0085754D"/>
    <w:rsid w:val="0085757E"/>
    <w:rsid w:val="00857810"/>
    <w:rsid w:val="00857AA1"/>
    <w:rsid w:val="00857F0B"/>
    <w:rsid w:val="00860002"/>
    <w:rsid w:val="008618E4"/>
    <w:rsid w:val="00861B12"/>
    <w:rsid w:val="0086223B"/>
    <w:rsid w:val="008632E7"/>
    <w:rsid w:val="00863694"/>
    <w:rsid w:val="00863B50"/>
    <w:rsid w:val="00863BCC"/>
    <w:rsid w:val="00864C84"/>
    <w:rsid w:val="00865197"/>
    <w:rsid w:val="00865342"/>
    <w:rsid w:val="00865ADE"/>
    <w:rsid w:val="00865FB1"/>
    <w:rsid w:val="00866144"/>
    <w:rsid w:val="008669C1"/>
    <w:rsid w:val="00866B8C"/>
    <w:rsid w:val="008672A4"/>
    <w:rsid w:val="00870783"/>
    <w:rsid w:val="00870A55"/>
    <w:rsid w:val="00870ABD"/>
    <w:rsid w:val="00870AD9"/>
    <w:rsid w:val="0087110E"/>
    <w:rsid w:val="0087116B"/>
    <w:rsid w:val="0087311E"/>
    <w:rsid w:val="00874662"/>
    <w:rsid w:val="008747A3"/>
    <w:rsid w:val="00874DC9"/>
    <w:rsid w:val="008754F6"/>
    <w:rsid w:val="00875906"/>
    <w:rsid w:val="00875C85"/>
    <w:rsid w:val="00875D0C"/>
    <w:rsid w:val="00876457"/>
    <w:rsid w:val="0087682F"/>
    <w:rsid w:val="00877173"/>
    <w:rsid w:val="008775DE"/>
    <w:rsid w:val="008804D3"/>
    <w:rsid w:val="00880A09"/>
    <w:rsid w:val="00880CFC"/>
    <w:rsid w:val="008813D8"/>
    <w:rsid w:val="00881F5B"/>
    <w:rsid w:val="00882428"/>
    <w:rsid w:val="00882797"/>
    <w:rsid w:val="00883032"/>
    <w:rsid w:val="00883C6E"/>
    <w:rsid w:val="00884376"/>
    <w:rsid w:val="00884C03"/>
    <w:rsid w:val="00884FF2"/>
    <w:rsid w:val="00885B4D"/>
    <w:rsid w:val="00886FE1"/>
    <w:rsid w:val="00887083"/>
    <w:rsid w:val="008870B6"/>
    <w:rsid w:val="00887889"/>
    <w:rsid w:val="00887BBE"/>
    <w:rsid w:val="00890AB1"/>
    <w:rsid w:val="0089119C"/>
    <w:rsid w:val="008911C4"/>
    <w:rsid w:val="00891298"/>
    <w:rsid w:val="0089205A"/>
    <w:rsid w:val="008925C9"/>
    <w:rsid w:val="00892952"/>
    <w:rsid w:val="00892D2F"/>
    <w:rsid w:val="008935EA"/>
    <w:rsid w:val="00893738"/>
    <w:rsid w:val="00893B47"/>
    <w:rsid w:val="00893E90"/>
    <w:rsid w:val="008941BD"/>
    <w:rsid w:val="00894F20"/>
    <w:rsid w:val="0089521D"/>
    <w:rsid w:val="00895478"/>
    <w:rsid w:val="00895A4A"/>
    <w:rsid w:val="00895A98"/>
    <w:rsid w:val="00896400"/>
    <w:rsid w:val="0089697C"/>
    <w:rsid w:val="00896CC0"/>
    <w:rsid w:val="00896EE2"/>
    <w:rsid w:val="00896F49"/>
    <w:rsid w:val="00897806"/>
    <w:rsid w:val="00897DB1"/>
    <w:rsid w:val="008A00EA"/>
    <w:rsid w:val="008A020D"/>
    <w:rsid w:val="008A052A"/>
    <w:rsid w:val="008A0870"/>
    <w:rsid w:val="008A0A57"/>
    <w:rsid w:val="008A1381"/>
    <w:rsid w:val="008A186A"/>
    <w:rsid w:val="008A188D"/>
    <w:rsid w:val="008A1EDF"/>
    <w:rsid w:val="008A2028"/>
    <w:rsid w:val="008A210C"/>
    <w:rsid w:val="008A21BE"/>
    <w:rsid w:val="008A21D2"/>
    <w:rsid w:val="008A2772"/>
    <w:rsid w:val="008A2799"/>
    <w:rsid w:val="008A3076"/>
    <w:rsid w:val="008A3329"/>
    <w:rsid w:val="008A361A"/>
    <w:rsid w:val="008A4038"/>
    <w:rsid w:val="008A5221"/>
    <w:rsid w:val="008A61C5"/>
    <w:rsid w:val="008A6440"/>
    <w:rsid w:val="008A6501"/>
    <w:rsid w:val="008A6771"/>
    <w:rsid w:val="008A6850"/>
    <w:rsid w:val="008A6F8F"/>
    <w:rsid w:val="008A7A52"/>
    <w:rsid w:val="008A7FA3"/>
    <w:rsid w:val="008A7FCD"/>
    <w:rsid w:val="008B0193"/>
    <w:rsid w:val="008B0F9E"/>
    <w:rsid w:val="008B102C"/>
    <w:rsid w:val="008B1626"/>
    <w:rsid w:val="008B16BB"/>
    <w:rsid w:val="008B20D0"/>
    <w:rsid w:val="008B2AC9"/>
    <w:rsid w:val="008B37BB"/>
    <w:rsid w:val="008B3CBF"/>
    <w:rsid w:val="008B40CC"/>
    <w:rsid w:val="008B442C"/>
    <w:rsid w:val="008B51C5"/>
    <w:rsid w:val="008B55AD"/>
    <w:rsid w:val="008B5F3B"/>
    <w:rsid w:val="008B61B5"/>
    <w:rsid w:val="008B65CA"/>
    <w:rsid w:val="008B69F4"/>
    <w:rsid w:val="008B732E"/>
    <w:rsid w:val="008B76DE"/>
    <w:rsid w:val="008C0065"/>
    <w:rsid w:val="008C00B1"/>
    <w:rsid w:val="008C05FD"/>
    <w:rsid w:val="008C15CE"/>
    <w:rsid w:val="008C28E1"/>
    <w:rsid w:val="008C2B39"/>
    <w:rsid w:val="008C2F82"/>
    <w:rsid w:val="008C36F7"/>
    <w:rsid w:val="008C3987"/>
    <w:rsid w:val="008C3CCA"/>
    <w:rsid w:val="008C400D"/>
    <w:rsid w:val="008C5718"/>
    <w:rsid w:val="008C5AB0"/>
    <w:rsid w:val="008C5DC6"/>
    <w:rsid w:val="008C6C32"/>
    <w:rsid w:val="008C6DFA"/>
    <w:rsid w:val="008C735C"/>
    <w:rsid w:val="008C73CE"/>
    <w:rsid w:val="008D0C76"/>
    <w:rsid w:val="008D1A91"/>
    <w:rsid w:val="008D2E61"/>
    <w:rsid w:val="008D310C"/>
    <w:rsid w:val="008D31D5"/>
    <w:rsid w:val="008D3476"/>
    <w:rsid w:val="008D3A89"/>
    <w:rsid w:val="008D3D3D"/>
    <w:rsid w:val="008D4387"/>
    <w:rsid w:val="008D439B"/>
    <w:rsid w:val="008D4635"/>
    <w:rsid w:val="008D47A7"/>
    <w:rsid w:val="008D4BD3"/>
    <w:rsid w:val="008D65C6"/>
    <w:rsid w:val="008D6D38"/>
    <w:rsid w:val="008D6FEB"/>
    <w:rsid w:val="008D73CA"/>
    <w:rsid w:val="008D74A8"/>
    <w:rsid w:val="008D78B4"/>
    <w:rsid w:val="008E02F3"/>
    <w:rsid w:val="008E05BF"/>
    <w:rsid w:val="008E0CFF"/>
    <w:rsid w:val="008E1AD5"/>
    <w:rsid w:val="008E1BBD"/>
    <w:rsid w:val="008E1CA1"/>
    <w:rsid w:val="008E2643"/>
    <w:rsid w:val="008E2B77"/>
    <w:rsid w:val="008E354F"/>
    <w:rsid w:val="008E4753"/>
    <w:rsid w:val="008E59F7"/>
    <w:rsid w:val="008E5D42"/>
    <w:rsid w:val="008E6E82"/>
    <w:rsid w:val="008E6F13"/>
    <w:rsid w:val="008E78EB"/>
    <w:rsid w:val="008E7B30"/>
    <w:rsid w:val="008F0613"/>
    <w:rsid w:val="008F1BF2"/>
    <w:rsid w:val="008F2556"/>
    <w:rsid w:val="008F51E3"/>
    <w:rsid w:val="008F5AFD"/>
    <w:rsid w:val="008F5DBF"/>
    <w:rsid w:val="008F6821"/>
    <w:rsid w:val="008F6AE4"/>
    <w:rsid w:val="008F6E52"/>
    <w:rsid w:val="008F7640"/>
    <w:rsid w:val="008F76F1"/>
    <w:rsid w:val="008F79C1"/>
    <w:rsid w:val="00900C3C"/>
    <w:rsid w:val="00900D38"/>
    <w:rsid w:val="00903150"/>
    <w:rsid w:val="009035A3"/>
    <w:rsid w:val="00903E7D"/>
    <w:rsid w:val="009045D9"/>
    <w:rsid w:val="00904B0E"/>
    <w:rsid w:val="00905090"/>
    <w:rsid w:val="00905402"/>
    <w:rsid w:val="00905A28"/>
    <w:rsid w:val="00906C0D"/>
    <w:rsid w:val="00906FEA"/>
    <w:rsid w:val="0090766E"/>
    <w:rsid w:val="00907B85"/>
    <w:rsid w:val="009108ED"/>
    <w:rsid w:val="0091098D"/>
    <w:rsid w:val="00910B69"/>
    <w:rsid w:val="00910E09"/>
    <w:rsid w:val="0091105E"/>
    <w:rsid w:val="00912620"/>
    <w:rsid w:val="00913DD6"/>
    <w:rsid w:val="0091423C"/>
    <w:rsid w:val="00914E6F"/>
    <w:rsid w:val="00915DF5"/>
    <w:rsid w:val="00916013"/>
    <w:rsid w:val="00916BFE"/>
    <w:rsid w:val="0091755D"/>
    <w:rsid w:val="00917831"/>
    <w:rsid w:val="00920350"/>
    <w:rsid w:val="00921089"/>
    <w:rsid w:val="009212EC"/>
    <w:rsid w:val="0092134C"/>
    <w:rsid w:val="0092144B"/>
    <w:rsid w:val="00921461"/>
    <w:rsid w:val="00921648"/>
    <w:rsid w:val="00921B96"/>
    <w:rsid w:val="009226AE"/>
    <w:rsid w:val="0092378D"/>
    <w:rsid w:val="00923B1E"/>
    <w:rsid w:val="00923B26"/>
    <w:rsid w:val="00923F6A"/>
    <w:rsid w:val="009243B8"/>
    <w:rsid w:val="009244B1"/>
    <w:rsid w:val="009252F8"/>
    <w:rsid w:val="0092592E"/>
    <w:rsid w:val="00926944"/>
    <w:rsid w:val="00927D27"/>
    <w:rsid w:val="00927D6B"/>
    <w:rsid w:val="009307C3"/>
    <w:rsid w:val="00930C31"/>
    <w:rsid w:val="00931284"/>
    <w:rsid w:val="009315E6"/>
    <w:rsid w:val="00932303"/>
    <w:rsid w:val="00932459"/>
    <w:rsid w:val="00932772"/>
    <w:rsid w:val="00932B71"/>
    <w:rsid w:val="00935E91"/>
    <w:rsid w:val="009360A0"/>
    <w:rsid w:val="009372DF"/>
    <w:rsid w:val="009374E6"/>
    <w:rsid w:val="009377B0"/>
    <w:rsid w:val="00937AD8"/>
    <w:rsid w:val="00937F5D"/>
    <w:rsid w:val="00937FFA"/>
    <w:rsid w:val="009400EE"/>
    <w:rsid w:val="0094040D"/>
    <w:rsid w:val="00940761"/>
    <w:rsid w:val="0094270F"/>
    <w:rsid w:val="00943794"/>
    <w:rsid w:val="00943A6A"/>
    <w:rsid w:val="00943DA9"/>
    <w:rsid w:val="0094447D"/>
    <w:rsid w:val="0094644D"/>
    <w:rsid w:val="009466D3"/>
    <w:rsid w:val="00946A49"/>
    <w:rsid w:val="00946B43"/>
    <w:rsid w:val="00946ECD"/>
    <w:rsid w:val="00947D53"/>
    <w:rsid w:val="00947F4C"/>
    <w:rsid w:val="00950DE7"/>
    <w:rsid w:val="00950EFB"/>
    <w:rsid w:val="009510D5"/>
    <w:rsid w:val="0095148F"/>
    <w:rsid w:val="00951610"/>
    <w:rsid w:val="00951718"/>
    <w:rsid w:val="00951EE7"/>
    <w:rsid w:val="009524E5"/>
    <w:rsid w:val="009526BE"/>
    <w:rsid w:val="00954222"/>
    <w:rsid w:val="00954671"/>
    <w:rsid w:val="009546E4"/>
    <w:rsid w:val="00954824"/>
    <w:rsid w:val="00955002"/>
    <w:rsid w:val="00955053"/>
    <w:rsid w:val="00955793"/>
    <w:rsid w:val="00955983"/>
    <w:rsid w:val="009561F0"/>
    <w:rsid w:val="00956D21"/>
    <w:rsid w:val="00960F11"/>
    <w:rsid w:val="00961F6A"/>
    <w:rsid w:val="00962372"/>
    <w:rsid w:val="0096295B"/>
    <w:rsid w:val="00962B1C"/>
    <w:rsid w:val="009634BD"/>
    <w:rsid w:val="00963B72"/>
    <w:rsid w:val="0096420C"/>
    <w:rsid w:val="00964A71"/>
    <w:rsid w:val="00964EDB"/>
    <w:rsid w:val="00965545"/>
    <w:rsid w:val="00965A02"/>
    <w:rsid w:val="009666CF"/>
    <w:rsid w:val="00966BE7"/>
    <w:rsid w:val="009670A8"/>
    <w:rsid w:val="0096724B"/>
    <w:rsid w:val="009674AF"/>
    <w:rsid w:val="009674B2"/>
    <w:rsid w:val="00967DD6"/>
    <w:rsid w:val="009709FA"/>
    <w:rsid w:val="00970D31"/>
    <w:rsid w:val="009712F8"/>
    <w:rsid w:val="009715D2"/>
    <w:rsid w:val="009722F2"/>
    <w:rsid w:val="00972EC6"/>
    <w:rsid w:val="009731E7"/>
    <w:rsid w:val="00973234"/>
    <w:rsid w:val="00973B92"/>
    <w:rsid w:val="00974711"/>
    <w:rsid w:val="009748F7"/>
    <w:rsid w:val="00975B6C"/>
    <w:rsid w:val="00975CB6"/>
    <w:rsid w:val="0097641A"/>
    <w:rsid w:val="0097644C"/>
    <w:rsid w:val="009765E6"/>
    <w:rsid w:val="009771EF"/>
    <w:rsid w:val="009776F4"/>
    <w:rsid w:val="00977BBE"/>
    <w:rsid w:val="009804A9"/>
    <w:rsid w:val="009805C5"/>
    <w:rsid w:val="009814F0"/>
    <w:rsid w:val="00981BD1"/>
    <w:rsid w:val="00982307"/>
    <w:rsid w:val="00982DD7"/>
    <w:rsid w:val="0098328F"/>
    <w:rsid w:val="00983BEB"/>
    <w:rsid w:val="00984446"/>
    <w:rsid w:val="00984E1D"/>
    <w:rsid w:val="00984F5C"/>
    <w:rsid w:val="0098593D"/>
    <w:rsid w:val="00985E16"/>
    <w:rsid w:val="0098631F"/>
    <w:rsid w:val="00986FBD"/>
    <w:rsid w:val="00986FCC"/>
    <w:rsid w:val="009873E6"/>
    <w:rsid w:val="009876A9"/>
    <w:rsid w:val="009879B7"/>
    <w:rsid w:val="009879F1"/>
    <w:rsid w:val="00987B54"/>
    <w:rsid w:val="009904D6"/>
    <w:rsid w:val="0099051A"/>
    <w:rsid w:val="00990992"/>
    <w:rsid w:val="00991E36"/>
    <w:rsid w:val="009926F0"/>
    <w:rsid w:val="00993F06"/>
    <w:rsid w:val="0099481D"/>
    <w:rsid w:val="00994A6F"/>
    <w:rsid w:val="00996889"/>
    <w:rsid w:val="00996DC8"/>
    <w:rsid w:val="0099745F"/>
    <w:rsid w:val="00997C2E"/>
    <w:rsid w:val="00997CBA"/>
    <w:rsid w:val="00997F9A"/>
    <w:rsid w:val="009A0147"/>
    <w:rsid w:val="009A08B1"/>
    <w:rsid w:val="009A0A46"/>
    <w:rsid w:val="009A197C"/>
    <w:rsid w:val="009A1D37"/>
    <w:rsid w:val="009A1DDF"/>
    <w:rsid w:val="009A1E3A"/>
    <w:rsid w:val="009A3067"/>
    <w:rsid w:val="009A399D"/>
    <w:rsid w:val="009A416A"/>
    <w:rsid w:val="009A4180"/>
    <w:rsid w:val="009A4C03"/>
    <w:rsid w:val="009A4ECA"/>
    <w:rsid w:val="009A51A6"/>
    <w:rsid w:val="009A69AC"/>
    <w:rsid w:val="009A6C81"/>
    <w:rsid w:val="009A6E78"/>
    <w:rsid w:val="009A7390"/>
    <w:rsid w:val="009A795F"/>
    <w:rsid w:val="009A7AD5"/>
    <w:rsid w:val="009A7C46"/>
    <w:rsid w:val="009B05B5"/>
    <w:rsid w:val="009B0D13"/>
    <w:rsid w:val="009B10B6"/>
    <w:rsid w:val="009B14B6"/>
    <w:rsid w:val="009B15BC"/>
    <w:rsid w:val="009B16AF"/>
    <w:rsid w:val="009B18A4"/>
    <w:rsid w:val="009B1DA9"/>
    <w:rsid w:val="009B26F9"/>
    <w:rsid w:val="009B2F31"/>
    <w:rsid w:val="009B45C9"/>
    <w:rsid w:val="009B5062"/>
    <w:rsid w:val="009B57EB"/>
    <w:rsid w:val="009B7006"/>
    <w:rsid w:val="009B71E8"/>
    <w:rsid w:val="009B7B20"/>
    <w:rsid w:val="009C03D5"/>
    <w:rsid w:val="009C0A80"/>
    <w:rsid w:val="009C0BED"/>
    <w:rsid w:val="009C1664"/>
    <w:rsid w:val="009C286D"/>
    <w:rsid w:val="009C2F7C"/>
    <w:rsid w:val="009C3488"/>
    <w:rsid w:val="009C3ED0"/>
    <w:rsid w:val="009C42B3"/>
    <w:rsid w:val="009C457A"/>
    <w:rsid w:val="009C4926"/>
    <w:rsid w:val="009C4CA7"/>
    <w:rsid w:val="009C4EC6"/>
    <w:rsid w:val="009C5245"/>
    <w:rsid w:val="009C55B8"/>
    <w:rsid w:val="009C5B8E"/>
    <w:rsid w:val="009C6617"/>
    <w:rsid w:val="009C690B"/>
    <w:rsid w:val="009C6FEA"/>
    <w:rsid w:val="009C708C"/>
    <w:rsid w:val="009C7136"/>
    <w:rsid w:val="009C77FD"/>
    <w:rsid w:val="009D049E"/>
    <w:rsid w:val="009D083C"/>
    <w:rsid w:val="009D0D1F"/>
    <w:rsid w:val="009D15CE"/>
    <w:rsid w:val="009D18CF"/>
    <w:rsid w:val="009D278E"/>
    <w:rsid w:val="009D38CE"/>
    <w:rsid w:val="009D4465"/>
    <w:rsid w:val="009D47FF"/>
    <w:rsid w:val="009D4A54"/>
    <w:rsid w:val="009D4D68"/>
    <w:rsid w:val="009D5051"/>
    <w:rsid w:val="009D587F"/>
    <w:rsid w:val="009D647D"/>
    <w:rsid w:val="009D6570"/>
    <w:rsid w:val="009D690E"/>
    <w:rsid w:val="009D6E6A"/>
    <w:rsid w:val="009D6F8F"/>
    <w:rsid w:val="009D714C"/>
    <w:rsid w:val="009D7326"/>
    <w:rsid w:val="009D7555"/>
    <w:rsid w:val="009D7BA8"/>
    <w:rsid w:val="009D7EC8"/>
    <w:rsid w:val="009D7FE7"/>
    <w:rsid w:val="009E05C8"/>
    <w:rsid w:val="009E0792"/>
    <w:rsid w:val="009E0CAC"/>
    <w:rsid w:val="009E13C2"/>
    <w:rsid w:val="009E1AC2"/>
    <w:rsid w:val="009E1D42"/>
    <w:rsid w:val="009E1F3C"/>
    <w:rsid w:val="009E22D1"/>
    <w:rsid w:val="009E271F"/>
    <w:rsid w:val="009E3260"/>
    <w:rsid w:val="009E45F3"/>
    <w:rsid w:val="009E4715"/>
    <w:rsid w:val="009E4B5C"/>
    <w:rsid w:val="009E4D67"/>
    <w:rsid w:val="009E5EFE"/>
    <w:rsid w:val="009E6599"/>
    <w:rsid w:val="009E6A4E"/>
    <w:rsid w:val="009E71B6"/>
    <w:rsid w:val="009E732F"/>
    <w:rsid w:val="009E78EA"/>
    <w:rsid w:val="009F00FF"/>
    <w:rsid w:val="009F0309"/>
    <w:rsid w:val="009F0543"/>
    <w:rsid w:val="009F05D9"/>
    <w:rsid w:val="009F0DE4"/>
    <w:rsid w:val="009F1AC4"/>
    <w:rsid w:val="009F2FB7"/>
    <w:rsid w:val="009F423B"/>
    <w:rsid w:val="009F43D7"/>
    <w:rsid w:val="009F445D"/>
    <w:rsid w:val="009F4E51"/>
    <w:rsid w:val="009F5621"/>
    <w:rsid w:val="009F587F"/>
    <w:rsid w:val="009F5F39"/>
    <w:rsid w:val="009F614C"/>
    <w:rsid w:val="009F6FA7"/>
    <w:rsid w:val="009F7234"/>
    <w:rsid w:val="009F7962"/>
    <w:rsid w:val="009F7A7B"/>
    <w:rsid w:val="00A00128"/>
    <w:rsid w:val="00A007F0"/>
    <w:rsid w:val="00A008F3"/>
    <w:rsid w:val="00A01C4F"/>
    <w:rsid w:val="00A02003"/>
    <w:rsid w:val="00A02F80"/>
    <w:rsid w:val="00A03638"/>
    <w:rsid w:val="00A0419B"/>
    <w:rsid w:val="00A042A9"/>
    <w:rsid w:val="00A0487F"/>
    <w:rsid w:val="00A051D5"/>
    <w:rsid w:val="00A05273"/>
    <w:rsid w:val="00A0558D"/>
    <w:rsid w:val="00A057B4"/>
    <w:rsid w:val="00A058C6"/>
    <w:rsid w:val="00A06384"/>
    <w:rsid w:val="00A06A85"/>
    <w:rsid w:val="00A06AF3"/>
    <w:rsid w:val="00A074A4"/>
    <w:rsid w:val="00A07675"/>
    <w:rsid w:val="00A1010D"/>
    <w:rsid w:val="00A1017D"/>
    <w:rsid w:val="00A10560"/>
    <w:rsid w:val="00A108E2"/>
    <w:rsid w:val="00A11662"/>
    <w:rsid w:val="00A12168"/>
    <w:rsid w:val="00A123BE"/>
    <w:rsid w:val="00A13610"/>
    <w:rsid w:val="00A139CA"/>
    <w:rsid w:val="00A144B3"/>
    <w:rsid w:val="00A14714"/>
    <w:rsid w:val="00A15EBD"/>
    <w:rsid w:val="00A17B57"/>
    <w:rsid w:val="00A17CE6"/>
    <w:rsid w:val="00A20861"/>
    <w:rsid w:val="00A20B73"/>
    <w:rsid w:val="00A20EC8"/>
    <w:rsid w:val="00A216BF"/>
    <w:rsid w:val="00A2208F"/>
    <w:rsid w:val="00A22108"/>
    <w:rsid w:val="00A22874"/>
    <w:rsid w:val="00A22ABE"/>
    <w:rsid w:val="00A22CD8"/>
    <w:rsid w:val="00A23490"/>
    <w:rsid w:val="00A236F4"/>
    <w:rsid w:val="00A23856"/>
    <w:rsid w:val="00A24522"/>
    <w:rsid w:val="00A24FE3"/>
    <w:rsid w:val="00A2560D"/>
    <w:rsid w:val="00A2578A"/>
    <w:rsid w:val="00A25E98"/>
    <w:rsid w:val="00A2647D"/>
    <w:rsid w:val="00A2697E"/>
    <w:rsid w:val="00A272DC"/>
    <w:rsid w:val="00A2797C"/>
    <w:rsid w:val="00A30905"/>
    <w:rsid w:val="00A30E3B"/>
    <w:rsid w:val="00A31767"/>
    <w:rsid w:val="00A31899"/>
    <w:rsid w:val="00A3195B"/>
    <w:rsid w:val="00A32347"/>
    <w:rsid w:val="00A32449"/>
    <w:rsid w:val="00A32989"/>
    <w:rsid w:val="00A32CD2"/>
    <w:rsid w:val="00A32DB8"/>
    <w:rsid w:val="00A33784"/>
    <w:rsid w:val="00A34051"/>
    <w:rsid w:val="00A34229"/>
    <w:rsid w:val="00A3460B"/>
    <w:rsid w:val="00A34671"/>
    <w:rsid w:val="00A35F94"/>
    <w:rsid w:val="00A36251"/>
    <w:rsid w:val="00A364AF"/>
    <w:rsid w:val="00A36AF7"/>
    <w:rsid w:val="00A3743C"/>
    <w:rsid w:val="00A37449"/>
    <w:rsid w:val="00A37A0E"/>
    <w:rsid w:val="00A37A5A"/>
    <w:rsid w:val="00A41173"/>
    <w:rsid w:val="00A41B2B"/>
    <w:rsid w:val="00A422AD"/>
    <w:rsid w:val="00A422FA"/>
    <w:rsid w:val="00A431B1"/>
    <w:rsid w:val="00A432DE"/>
    <w:rsid w:val="00A43BA1"/>
    <w:rsid w:val="00A44666"/>
    <w:rsid w:val="00A44C10"/>
    <w:rsid w:val="00A45533"/>
    <w:rsid w:val="00A4725C"/>
    <w:rsid w:val="00A47341"/>
    <w:rsid w:val="00A4737C"/>
    <w:rsid w:val="00A47A8E"/>
    <w:rsid w:val="00A47B9F"/>
    <w:rsid w:val="00A47EBB"/>
    <w:rsid w:val="00A50E40"/>
    <w:rsid w:val="00A5122B"/>
    <w:rsid w:val="00A522FD"/>
    <w:rsid w:val="00A52C5C"/>
    <w:rsid w:val="00A549CF"/>
    <w:rsid w:val="00A54D9F"/>
    <w:rsid w:val="00A54F2D"/>
    <w:rsid w:val="00A55D87"/>
    <w:rsid w:val="00A55E5F"/>
    <w:rsid w:val="00A56406"/>
    <w:rsid w:val="00A56D8D"/>
    <w:rsid w:val="00A56DFF"/>
    <w:rsid w:val="00A57796"/>
    <w:rsid w:val="00A57E34"/>
    <w:rsid w:val="00A604F2"/>
    <w:rsid w:val="00A6185B"/>
    <w:rsid w:val="00A61D31"/>
    <w:rsid w:val="00A6273F"/>
    <w:rsid w:val="00A63D11"/>
    <w:rsid w:val="00A646FD"/>
    <w:rsid w:val="00A64791"/>
    <w:rsid w:val="00A65922"/>
    <w:rsid w:val="00A65C27"/>
    <w:rsid w:val="00A6680E"/>
    <w:rsid w:val="00A66E33"/>
    <w:rsid w:val="00A66FCE"/>
    <w:rsid w:val="00A7018C"/>
    <w:rsid w:val="00A701B5"/>
    <w:rsid w:val="00A704EA"/>
    <w:rsid w:val="00A706F6"/>
    <w:rsid w:val="00A70D18"/>
    <w:rsid w:val="00A7499F"/>
    <w:rsid w:val="00A756B0"/>
    <w:rsid w:val="00A76DB7"/>
    <w:rsid w:val="00A76E94"/>
    <w:rsid w:val="00A76EED"/>
    <w:rsid w:val="00A774EC"/>
    <w:rsid w:val="00A7766A"/>
    <w:rsid w:val="00A77698"/>
    <w:rsid w:val="00A7770A"/>
    <w:rsid w:val="00A77961"/>
    <w:rsid w:val="00A77972"/>
    <w:rsid w:val="00A77E19"/>
    <w:rsid w:val="00A80937"/>
    <w:rsid w:val="00A809F3"/>
    <w:rsid w:val="00A80C3B"/>
    <w:rsid w:val="00A80D37"/>
    <w:rsid w:val="00A81C7A"/>
    <w:rsid w:val="00A82375"/>
    <w:rsid w:val="00A8251A"/>
    <w:rsid w:val="00A8286A"/>
    <w:rsid w:val="00A83EBB"/>
    <w:rsid w:val="00A8420E"/>
    <w:rsid w:val="00A84AAB"/>
    <w:rsid w:val="00A84E4F"/>
    <w:rsid w:val="00A8567D"/>
    <w:rsid w:val="00A86174"/>
    <w:rsid w:val="00A861D8"/>
    <w:rsid w:val="00A87668"/>
    <w:rsid w:val="00A902B7"/>
    <w:rsid w:val="00A908FE"/>
    <w:rsid w:val="00A918EF"/>
    <w:rsid w:val="00A91D14"/>
    <w:rsid w:val="00A91F0E"/>
    <w:rsid w:val="00A92313"/>
    <w:rsid w:val="00A9282B"/>
    <w:rsid w:val="00A935AE"/>
    <w:rsid w:val="00A93F87"/>
    <w:rsid w:val="00A945C3"/>
    <w:rsid w:val="00A945D1"/>
    <w:rsid w:val="00A94A24"/>
    <w:rsid w:val="00A94CD0"/>
    <w:rsid w:val="00A94EA9"/>
    <w:rsid w:val="00A95A6F"/>
    <w:rsid w:val="00A95E85"/>
    <w:rsid w:val="00A963D1"/>
    <w:rsid w:val="00A9762F"/>
    <w:rsid w:val="00A97932"/>
    <w:rsid w:val="00AA146C"/>
    <w:rsid w:val="00AA14D0"/>
    <w:rsid w:val="00AA1E02"/>
    <w:rsid w:val="00AA20B1"/>
    <w:rsid w:val="00AA2EE1"/>
    <w:rsid w:val="00AA3CE0"/>
    <w:rsid w:val="00AA452B"/>
    <w:rsid w:val="00AA475C"/>
    <w:rsid w:val="00AA493B"/>
    <w:rsid w:val="00AA4BEA"/>
    <w:rsid w:val="00AA5027"/>
    <w:rsid w:val="00AA5149"/>
    <w:rsid w:val="00AA5360"/>
    <w:rsid w:val="00AA643B"/>
    <w:rsid w:val="00AA6EBB"/>
    <w:rsid w:val="00AA706A"/>
    <w:rsid w:val="00AA76E3"/>
    <w:rsid w:val="00AA7BFF"/>
    <w:rsid w:val="00AA7C5D"/>
    <w:rsid w:val="00AA7F87"/>
    <w:rsid w:val="00AB0682"/>
    <w:rsid w:val="00AB0A51"/>
    <w:rsid w:val="00AB0DDF"/>
    <w:rsid w:val="00AB0F91"/>
    <w:rsid w:val="00AB1A83"/>
    <w:rsid w:val="00AB2643"/>
    <w:rsid w:val="00AB29DE"/>
    <w:rsid w:val="00AB2FA6"/>
    <w:rsid w:val="00AB313F"/>
    <w:rsid w:val="00AB3392"/>
    <w:rsid w:val="00AB372C"/>
    <w:rsid w:val="00AB3A5C"/>
    <w:rsid w:val="00AB3ED0"/>
    <w:rsid w:val="00AB4660"/>
    <w:rsid w:val="00AB5105"/>
    <w:rsid w:val="00AB51CD"/>
    <w:rsid w:val="00AB58DC"/>
    <w:rsid w:val="00AB5B6F"/>
    <w:rsid w:val="00AB5CBA"/>
    <w:rsid w:val="00AB6425"/>
    <w:rsid w:val="00AB6C00"/>
    <w:rsid w:val="00AB6F7F"/>
    <w:rsid w:val="00AB75D5"/>
    <w:rsid w:val="00AC0587"/>
    <w:rsid w:val="00AC1B26"/>
    <w:rsid w:val="00AC1EFF"/>
    <w:rsid w:val="00AC26B1"/>
    <w:rsid w:val="00AC283A"/>
    <w:rsid w:val="00AC31CC"/>
    <w:rsid w:val="00AC37DA"/>
    <w:rsid w:val="00AC382B"/>
    <w:rsid w:val="00AC3977"/>
    <w:rsid w:val="00AC5B08"/>
    <w:rsid w:val="00AC6165"/>
    <w:rsid w:val="00AC61DA"/>
    <w:rsid w:val="00AC673E"/>
    <w:rsid w:val="00AC6F21"/>
    <w:rsid w:val="00AC77F5"/>
    <w:rsid w:val="00AC7B6D"/>
    <w:rsid w:val="00AC7BA2"/>
    <w:rsid w:val="00AC7C9A"/>
    <w:rsid w:val="00AC7F75"/>
    <w:rsid w:val="00AD0C92"/>
    <w:rsid w:val="00AD0E84"/>
    <w:rsid w:val="00AD1642"/>
    <w:rsid w:val="00AD224B"/>
    <w:rsid w:val="00AD2C44"/>
    <w:rsid w:val="00AD2F52"/>
    <w:rsid w:val="00AD3675"/>
    <w:rsid w:val="00AD37AE"/>
    <w:rsid w:val="00AD44BA"/>
    <w:rsid w:val="00AD5561"/>
    <w:rsid w:val="00AD5F36"/>
    <w:rsid w:val="00AD609C"/>
    <w:rsid w:val="00AD6E2E"/>
    <w:rsid w:val="00AD721D"/>
    <w:rsid w:val="00AD783F"/>
    <w:rsid w:val="00AD7BFF"/>
    <w:rsid w:val="00AE0004"/>
    <w:rsid w:val="00AE0D5E"/>
    <w:rsid w:val="00AE0E8E"/>
    <w:rsid w:val="00AE1894"/>
    <w:rsid w:val="00AE18CC"/>
    <w:rsid w:val="00AE1B95"/>
    <w:rsid w:val="00AE1B9D"/>
    <w:rsid w:val="00AE20E3"/>
    <w:rsid w:val="00AE2799"/>
    <w:rsid w:val="00AE369F"/>
    <w:rsid w:val="00AE3847"/>
    <w:rsid w:val="00AE3D8F"/>
    <w:rsid w:val="00AE41B3"/>
    <w:rsid w:val="00AE42F4"/>
    <w:rsid w:val="00AE437A"/>
    <w:rsid w:val="00AE4A7F"/>
    <w:rsid w:val="00AE5B32"/>
    <w:rsid w:val="00AE6087"/>
    <w:rsid w:val="00AE6997"/>
    <w:rsid w:val="00AE69C4"/>
    <w:rsid w:val="00AE6A4E"/>
    <w:rsid w:val="00AE6C0F"/>
    <w:rsid w:val="00AE6E5A"/>
    <w:rsid w:val="00AE7DC9"/>
    <w:rsid w:val="00AF05FB"/>
    <w:rsid w:val="00AF09C6"/>
    <w:rsid w:val="00AF0BF8"/>
    <w:rsid w:val="00AF1701"/>
    <w:rsid w:val="00AF1898"/>
    <w:rsid w:val="00AF25D1"/>
    <w:rsid w:val="00AF2C77"/>
    <w:rsid w:val="00AF312B"/>
    <w:rsid w:val="00AF3A20"/>
    <w:rsid w:val="00AF482F"/>
    <w:rsid w:val="00AF57EB"/>
    <w:rsid w:val="00AF5F95"/>
    <w:rsid w:val="00AF6BDE"/>
    <w:rsid w:val="00AF6CF2"/>
    <w:rsid w:val="00AF72CC"/>
    <w:rsid w:val="00B00014"/>
    <w:rsid w:val="00B0031D"/>
    <w:rsid w:val="00B003B5"/>
    <w:rsid w:val="00B01D2B"/>
    <w:rsid w:val="00B02069"/>
    <w:rsid w:val="00B020DD"/>
    <w:rsid w:val="00B02482"/>
    <w:rsid w:val="00B024EA"/>
    <w:rsid w:val="00B02608"/>
    <w:rsid w:val="00B02823"/>
    <w:rsid w:val="00B02B53"/>
    <w:rsid w:val="00B02DE1"/>
    <w:rsid w:val="00B031ED"/>
    <w:rsid w:val="00B0346A"/>
    <w:rsid w:val="00B03482"/>
    <w:rsid w:val="00B03C65"/>
    <w:rsid w:val="00B0413C"/>
    <w:rsid w:val="00B0483B"/>
    <w:rsid w:val="00B04989"/>
    <w:rsid w:val="00B04C28"/>
    <w:rsid w:val="00B057ED"/>
    <w:rsid w:val="00B05A6E"/>
    <w:rsid w:val="00B067A0"/>
    <w:rsid w:val="00B06D38"/>
    <w:rsid w:val="00B06F69"/>
    <w:rsid w:val="00B0735C"/>
    <w:rsid w:val="00B07360"/>
    <w:rsid w:val="00B07487"/>
    <w:rsid w:val="00B07DF9"/>
    <w:rsid w:val="00B10D47"/>
    <w:rsid w:val="00B10ED6"/>
    <w:rsid w:val="00B10FA8"/>
    <w:rsid w:val="00B11340"/>
    <w:rsid w:val="00B115BE"/>
    <w:rsid w:val="00B11A28"/>
    <w:rsid w:val="00B11C5D"/>
    <w:rsid w:val="00B11F3B"/>
    <w:rsid w:val="00B12CCD"/>
    <w:rsid w:val="00B1328B"/>
    <w:rsid w:val="00B137C8"/>
    <w:rsid w:val="00B1441C"/>
    <w:rsid w:val="00B1461F"/>
    <w:rsid w:val="00B14CBA"/>
    <w:rsid w:val="00B14D68"/>
    <w:rsid w:val="00B14DEB"/>
    <w:rsid w:val="00B156B0"/>
    <w:rsid w:val="00B164EC"/>
    <w:rsid w:val="00B16AFE"/>
    <w:rsid w:val="00B16C28"/>
    <w:rsid w:val="00B16CCE"/>
    <w:rsid w:val="00B16E3B"/>
    <w:rsid w:val="00B16F0E"/>
    <w:rsid w:val="00B20013"/>
    <w:rsid w:val="00B203B6"/>
    <w:rsid w:val="00B2055C"/>
    <w:rsid w:val="00B205A2"/>
    <w:rsid w:val="00B20D06"/>
    <w:rsid w:val="00B20EAE"/>
    <w:rsid w:val="00B2105C"/>
    <w:rsid w:val="00B21347"/>
    <w:rsid w:val="00B21854"/>
    <w:rsid w:val="00B21A35"/>
    <w:rsid w:val="00B22232"/>
    <w:rsid w:val="00B2265C"/>
    <w:rsid w:val="00B22771"/>
    <w:rsid w:val="00B22C9A"/>
    <w:rsid w:val="00B22DF3"/>
    <w:rsid w:val="00B250EE"/>
    <w:rsid w:val="00B25A2A"/>
    <w:rsid w:val="00B25A5F"/>
    <w:rsid w:val="00B261C4"/>
    <w:rsid w:val="00B26405"/>
    <w:rsid w:val="00B26425"/>
    <w:rsid w:val="00B26A99"/>
    <w:rsid w:val="00B303B3"/>
    <w:rsid w:val="00B308C3"/>
    <w:rsid w:val="00B319CC"/>
    <w:rsid w:val="00B31F4A"/>
    <w:rsid w:val="00B32494"/>
    <w:rsid w:val="00B33A21"/>
    <w:rsid w:val="00B34AAF"/>
    <w:rsid w:val="00B35AF8"/>
    <w:rsid w:val="00B361E3"/>
    <w:rsid w:val="00B36B0E"/>
    <w:rsid w:val="00B370B9"/>
    <w:rsid w:val="00B3751A"/>
    <w:rsid w:val="00B4028D"/>
    <w:rsid w:val="00B40D7D"/>
    <w:rsid w:val="00B40E2E"/>
    <w:rsid w:val="00B42D85"/>
    <w:rsid w:val="00B4339E"/>
    <w:rsid w:val="00B4419D"/>
    <w:rsid w:val="00B4493E"/>
    <w:rsid w:val="00B44C6D"/>
    <w:rsid w:val="00B4520B"/>
    <w:rsid w:val="00B4534D"/>
    <w:rsid w:val="00B4656E"/>
    <w:rsid w:val="00B46DA4"/>
    <w:rsid w:val="00B46FF5"/>
    <w:rsid w:val="00B4742F"/>
    <w:rsid w:val="00B4766E"/>
    <w:rsid w:val="00B47DC7"/>
    <w:rsid w:val="00B50382"/>
    <w:rsid w:val="00B50CC0"/>
    <w:rsid w:val="00B51C0F"/>
    <w:rsid w:val="00B51EA7"/>
    <w:rsid w:val="00B51F6A"/>
    <w:rsid w:val="00B51F87"/>
    <w:rsid w:val="00B522FB"/>
    <w:rsid w:val="00B5309E"/>
    <w:rsid w:val="00B53233"/>
    <w:rsid w:val="00B53355"/>
    <w:rsid w:val="00B53383"/>
    <w:rsid w:val="00B533FB"/>
    <w:rsid w:val="00B5415A"/>
    <w:rsid w:val="00B542AB"/>
    <w:rsid w:val="00B54635"/>
    <w:rsid w:val="00B5466E"/>
    <w:rsid w:val="00B54B90"/>
    <w:rsid w:val="00B6021D"/>
    <w:rsid w:val="00B60C26"/>
    <w:rsid w:val="00B6139A"/>
    <w:rsid w:val="00B61EB3"/>
    <w:rsid w:val="00B620D3"/>
    <w:rsid w:val="00B625E4"/>
    <w:rsid w:val="00B62C2C"/>
    <w:rsid w:val="00B62F92"/>
    <w:rsid w:val="00B631A7"/>
    <w:rsid w:val="00B6459C"/>
    <w:rsid w:val="00B65D17"/>
    <w:rsid w:val="00B66251"/>
    <w:rsid w:val="00B66396"/>
    <w:rsid w:val="00B665DC"/>
    <w:rsid w:val="00B6681A"/>
    <w:rsid w:val="00B66B50"/>
    <w:rsid w:val="00B672FF"/>
    <w:rsid w:val="00B674B1"/>
    <w:rsid w:val="00B6798C"/>
    <w:rsid w:val="00B67B7E"/>
    <w:rsid w:val="00B67CB3"/>
    <w:rsid w:val="00B67D0D"/>
    <w:rsid w:val="00B67DC8"/>
    <w:rsid w:val="00B70A10"/>
    <w:rsid w:val="00B7128B"/>
    <w:rsid w:val="00B71517"/>
    <w:rsid w:val="00B715DC"/>
    <w:rsid w:val="00B722FD"/>
    <w:rsid w:val="00B72EC7"/>
    <w:rsid w:val="00B7426D"/>
    <w:rsid w:val="00B75CD3"/>
    <w:rsid w:val="00B75F16"/>
    <w:rsid w:val="00B76007"/>
    <w:rsid w:val="00B76943"/>
    <w:rsid w:val="00B77437"/>
    <w:rsid w:val="00B77873"/>
    <w:rsid w:val="00B77C49"/>
    <w:rsid w:val="00B77EF9"/>
    <w:rsid w:val="00B80572"/>
    <w:rsid w:val="00B809AC"/>
    <w:rsid w:val="00B80FC4"/>
    <w:rsid w:val="00B811F4"/>
    <w:rsid w:val="00B81B3E"/>
    <w:rsid w:val="00B81B47"/>
    <w:rsid w:val="00B81D7B"/>
    <w:rsid w:val="00B82A13"/>
    <w:rsid w:val="00B82F26"/>
    <w:rsid w:val="00B8303D"/>
    <w:rsid w:val="00B83207"/>
    <w:rsid w:val="00B8329E"/>
    <w:rsid w:val="00B836CB"/>
    <w:rsid w:val="00B83AE0"/>
    <w:rsid w:val="00B8532F"/>
    <w:rsid w:val="00B858D6"/>
    <w:rsid w:val="00B85CAD"/>
    <w:rsid w:val="00B861B6"/>
    <w:rsid w:val="00B866F7"/>
    <w:rsid w:val="00B86B94"/>
    <w:rsid w:val="00B86E90"/>
    <w:rsid w:val="00B86F77"/>
    <w:rsid w:val="00B874DC"/>
    <w:rsid w:val="00B90426"/>
    <w:rsid w:val="00B90A59"/>
    <w:rsid w:val="00B90AF2"/>
    <w:rsid w:val="00B90D35"/>
    <w:rsid w:val="00B912DB"/>
    <w:rsid w:val="00B915CD"/>
    <w:rsid w:val="00B91DAA"/>
    <w:rsid w:val="00B920C2"/>
    <w:rsid w:val="00B930B4"/>
    <w:rsid w:val="00B9357C"/>
    <w:rsid w:val="00B942EC"/>
    <w:rsid w:val="00B94944"/>
    <w:rsid w:val="00B949D8"/>
    <w:rsid w:val="00B953A6"/>
    <w:rsid w:val="00B959AC"/>
    <w:rsid w:val="00B95D8C"/>
    <w:rsid w:val="00B962D3"/>
    <w:rsid w:val="00B967A8"/>
    <w:rsid w:val="00B96815"/>
    <w:rsid w:val="00B97047"/>
    <w:rsid w:val="00B9730A"/>
    <w:rsid w:val="00B9735D"/>
    <w:rsid w:val="00B9742E"/>
    <w:rsid w:val="00B97430"/>
    <w:rsid w:val="00B97499"/>
    <w:rsid w:val="00B97B53"/>
    <w:rsid w:val="00B97C03"/>
    <w:rsid w:val="00BA0067"/>
    <w:rsid w:val="00BA00B7"/>
    <w:rsid w:val="00BA061B"/>
    <w:rsid w:val="00BA0A82"/>
    <w:rsid w:val="00BA0DFA"/>
    <w:rsid w:val="00BA0EC4"/>
    <w:rsid w:val="00BA15AF"/>
    <w:rsid w:val="00BA2AA3"/>
    <w:rsid w:val="00BA36F1"/>
    <w:rsid w:val="00BA3F2B"/>
    <w:rsid w:val="00BA67AB"/>
    <w:rsid w:val="00BA69A8"/>
    <w:rsid w:val="00BA77AF"/>
    <w:rsid w:val="00BB014D"/>
    <w:rsid w:val="00BB01C2"/>
    <w:rsid w:val="00BB0B1C"/>
    <w:rsid w:val="00BB111E"/>
    <w:rsid w:val="00BB19B4"/>
    <w:rsid w:val="00BB1A86"/>
    <w:rsid w:val="00BB219F"/>
    <w:rsid w:val="00BB21A4"/>
    <w:rsid w:val="00BB2624"/>
    <w:rsid w:val="00BB2AA5"/>
    <w:rsid w:val="00BB3134"/>
    <w:rsid w:val="00BB395D"/>
    <w:rsid w:val="00BB3DE4"/>
    <w:rsid w:val="00BB3DEE"/>
    <w:rsid w:val="00BB4559"/>
    <w:rsid w:val="00BB4E2F"/>
    <w:rsid w:val="00BB501B"/>
    <w:rsid w:val="00BB5679"/>
    <w:rsid w:val="00BB5EDB"/>
    <w:rsid w:val="00BB611D"/>
    <w:rsid w:val="00BB6396"/>
    <w:rsid w:val="00BB7520"/>
    <w:rsid w:val="00BC0354"/>
    <w:rsid w:val="00BC0C02"/>
    <w:rsid w:val="00BC143B"/>
    <w:rsid w:val="00BC1614"/>
    <w:rsid w:val="00BC1BBF"/>
    <w:rsid w:val="00BC2FCA"/>
    <w:rsid w:val="00BC30CC"/>
    <w:rsid w:val="00BC3AEA"/>
    <w:rsid w:val="00BC4075"/>
    <w:rsid w:val="00BC40A9"/>
    <w:rsid w:val="00BC4658"/>
    <w:rsid w:val="00BC4A05"/>
    <w:rsid w:val="00BC4E3C"/>
    <w:rsid w:val="00BC4FE4"/>
    <w:rsid w:val="00BC4FFF"/>
    <w:rsid w:val="00BC50B6"/>
    <w:rsid w:val="00BC512A"/>
    <w:rsid w:val="00BC5A38"/>
    <w:rsid w:val="00BC6E39"/>
    <w:rsid w:val="00BC74E0"/>
    <w:rsid w:val="00BC7EFA"/>
    <w:rsid w:val="00BD0133"/>
    <w:rsid w:val="00BD0241"/>
    <w:rsid w:val="00BD036A"/>
    <w:rsid w:val="00BD2245"/>
    <w:rsid w:val="00BD26E4"/>
    <w:rsid w:val="00BD2F72"/>
    <w:rsid w:val="00BD31EB"/>
    <w:rsid w:val="00BD4165"/>
    <w:rsid w:val="00BD472F"/>
    <w:rsid w:val="00BD4779"/>
    <w:rsid w:val="00BD5438"/>
    <w:rsid w:val="00BD6067"/>
    <w:rsid w:val="00BD71B9"/>
    <w:rsid w:val="00BD7399"/>
    <w:rsid w:val="00BD78DF"/>
    <w:rsid w:val="00BD791F"/>
    <w:rsid w:val="00BD7B0C"/>
    <w:rsid w:val="00BD7B1E"/>
    <w:rsid w:val="00BD7EEB"/>
    <w:rsid w:val="00BE16BF"/>
    <w:rsid w:val="00BE19F2"/>
    <w:rsid w:val="00BE1B6C"/>
    <w:rsid w:val="00BE1D9A"/>
    <w:rsid w:val="00BE1F8F"/>
    <w:rsid w:val="00BE306A"/>
    <w:rsid w:val="00BE31B6"/>
    <w:rsid w:val="00BE3483"/>
    <w:rsid w:val="00BE3BA6"/>
    <w:rsid w:val="00BE432B"/>
    <w:rsid w:val="00BE4BBE"/>
    <w:rsid w:val="00BE507B"/>
    <w:rsid w:val="00BE618D"/>
    <w:rsid w:val="00BE65B2"/>
    <w:rsid w:val="00BE6C34"/>
    <w:rsid w:val="00BE79AD"/>
    <w:rsid w:val="00BE79FF"/>
    <w:rsid w:val="00BE7C4B"/>
    <w:rsid w:val="00BE7CBF"/>
    <w:rsid w:val="00BF08DB"/>
    <w:rsid w:val="00BF0A26"/>
    <w:rsid w:val="00BF15D8"/>
    <w:rsid w:val="00BF1715"/>
    <w:rsid w:val="00BF1FF2"/>
    <w:rsid w:val="00BF2AC1"/>
    <w:rsid w:val="00BF2B81"/>
    <w:rsid w:val="00BF2E2F"/>
    <w:rsid w:val="00BF38B7"/>
    <w:rsid w:val="00BF3A2C"/>
    <w:rsid w:val="00BF3BA9"/>
    <w:rsid w:val="00BF4DD1"/>
    <w:rsid w:val="00BF569E"/>
    <w:rsid w:val="00BF6143"/>
    <w:rsid w:val="00BF642B"/>
    <w:rsid w:val="00BF652C"/>
    <w:rsid w:val="00BF70F7"/>
    <w:rsid w:val="00BF7D3F"/>
    <w:rsid w:val="00C01503"/>
    <w:rsid w:val="00C0157D"/>
    <w:rsid w:val="00C028DB"/>
    <w:rsid w:val="00C0310E"/>
    <w:rsid w:val="00C0315B"/>
    <w:rsid w:val="00C03449"/>
    <w:rsid w:val="00C03B55"/>
    <w:rsid w:val="00C03B77"/>
    <w:rsid w:val="00C03F77"/>
    <w:rsid w:val="00C045E7"/>
    <w:rsid w:val="00C04A09"/>
    <w:rsid w:val="00C04A25"/>
    <w:rsid w:val="00C05E06"/>
    <w:rsid w:val="00C067F6"/>
    <w:rsid w:val="00C06A0D"/>
    <w:rsid w:val="00C06DEC"/>
    <w:rsid w:val="00C06E4C"/>
    <w:rsid w:val="00C07315"/>
    <w:rsid w:val="00C07365"/>
    <w:rsid w:val="00C108E4"/>
    <w:rsid w:val="00C10E20"/>
    <w:rsid w:val="00C11EC0"/>
    <w:rsid w:val="00C11FB5"/>
    <w:rsid w:val="00C1271B"/>
    <w:rsid w:val="00C1284D"/>
    <w:rsid w:val="00C13A91"/>
    <w:rsid w:val="00C13AD4"/>
    <w:rsid w:val="00C14FA3"/>
    <w:rsid w:val="00C15413"/>
    <w:rsid w:val="00C15611"/>
    <w:rsid w:val="00C15CAE"/>
    <w:rsid w:val="00C1631B"/>
    <w:rsid w:val="00C16CAB"/>
    <w:rsid w:val="00C16F6E"/>
    <w:rsid w:val="00C17127"/>
    <w:rsid w:val="00C178B7"/>
    <w:rsid w:val="00C17D4F"/>
    <w:rsid w:val="00C20427"/>
    <w:rsid w:val="00C22B4A"/>
    <w:rsid w:val="00C23512"/>
    <w:rsid w:val="00C24826"/>
    <w:rsid w:val="00C24E91"/>
    <w:rsid w:val="00C255D4"/>
    <w:rsid w:val="00C26134"/>
    <w:rsid w:val="00C2649B"/>
    <w:rsid w:val="00C2672E"/>
    <w:rsid w:val="00C26DA6"/>
    <w:rsid w:val="00C26DB1"/>
    <w:rsid w:val="00C26EC7"/>
    <w:rsid w:val="00C27A8C"/>
    <w:rsid w:val="00C30327"/>
    <w:rsid w:val="00C30BD8"/>
    <w:rsid w:val="00C31076"/>
    <w:rsid w:val="00C312D1"/>
    <w:rsid w:val="00C314DA"/>
    <w:rsid w:val="00C32220"/>
    <w:rsid w:val="00C32A28"/>
    <w:rsid w:val="00C32BC7"/>
    <w:rsid w:val="00C3306F"/>
    <w:rsid w:val="00C3514D"/>
    <w:rsid w:val="00C352C2"/>
    <w:rsid w:val="00C3579A"/>
    <w:rsid w:val="00C35D4E"/>
    <w:rsid w:val="00C362CF"/>
    <w:rsid w:val="00C36958"/>
    <w:rsid w:val="00C36DC0"/>
    <w:rsid w:val="00C3709E"/>
    <w:rsid w:val="00C37BDC"/>
    <w:rsid w:val="00C37C21"/>
    <w:rsid w:val="00C403CD"/>
    <w:rsid w:val="00C4159F"/>
    <w:rsid w:val="00C41855"/>
    <w:rsid w:val="00C41D8D"/>
    <w:rsid w:val="00C4253A"/>
    <w:rsid w:val="00C428C5"/>
    <w:rsid w:val="00C42D4C"/>
    <w:rsid w:val="00C431B0"/>
    <w:rsid w:val="00C431C2"/>
    <w:rsid w:val="00C43601"/>
    <w:rsid w:val="00C442D2"/>
    <w:rsid w:val="00C4462C"/>
    <w:rsid w:val="00C4466E"/>
    <w:rsid w:val="00C44796"/>
    <w:rsid w:val="00C4513B"/>
    <w:rsid w:val="00C452EA"/>
    <w:rsid w:val="00C46494"/>
    <w:rsid w:val="00C46C84"/>
    <w:rsid w:val="00C46D2A"/>
    <w:rsid w:val="00C470AB"/>
    <w:rsid w:val="00C47175"/>
    <w:rsid w:val="00C475B6"/>
    <w:rsid w:val="00C47B89"/>
    <w:rsid w:val="00C5004A"/>
    <w:rsid w:val="00C50226"/>
    <w:rsid w:val="00C503F2"/>
    <w:rsid w:val="00C5113B"/>
    <w:rsid w:val="00C51DC9"/>
    <w:rsid w:val="00C51FF3"/>
    <w:rsid w:val="00C52AF6"/>
    <w:rsid w:val="00C52BEA"/>
    <w:rsid w:val="00C53277"/>
    <w:rsid w:val="00C53A7A"/>
    <w:rsid w:val="00C55037"/>
    <w:rsid w:val="00C55263"/>
    <w:rsid w:val="00C552A3"/>
    <w:rsid w:val="00C5572B"/>
    <w:rsid w:val="00C56152"/>
    <w:rsid w:val="00C564B8"/>
    <w:rsid w:val="00C568B4"/>
    <w:rsid w:val="00C56B8F"/>
    <w:rsid w:val="00C575B8"/>
    <w:rsid w:val="00C57887"/>
    <w:rsid w:val="00C57DD8"/>
    <w:rsid w:val="00C60799"/>
    <w:rsid w:val="00C60850"/>
    <w:rsid w:val="00C60D2A"/>
    <w:rsid w:val="00C60D55"/>
    <w:rsid w:val="00C61434"/>
    <w:rsid w:val="00C6148B"/>
    <w:rsid w:val="00C6277D"/>
    <w:rsid w:val="00C6296A"/>
    <w:rsid w:val="00C62994"/>
    <w:rsid w:val="00C630D9"/>
    <w:rsid w:val="00C631BD"/>
    <w:rsid w:val="00C632E2"/>
    <w:rsid w:val="00C639F9"/>
    <w:rsid w:val="00C64087"/>
    <w:rsid w:val="00C64126"/>
    <w:rsid w:val="00C64B72"/>
    <w:rsid w:val="00C65278"/>
    <w:rsid w:val="00C65644"/>
    <w:rsid w:val="00C65840"/>
    <w:rsid w:val="00C65A06"/>
    <w:rsid w:val="00C66074"/>
    <w:rsid w:val="00C66106"/>
    <w:rsid w:val="00C66696"/>
    <w:rsid w:val="00C66750"/>
    <w:rsid w:val="00C66CCB"/>
    <w:rsid w:val="00C671DD"/>
    <w:rsid w:val="00C67343"/>
    <w:rsid w:val="00C67E3A"/>
    <w:rsid w:val="00C67F07"/>
    <w:rsid w:val="00C70344"/>
    <w:rsid w:val="00C707E3"/>
    <w:rsid w:val="00C70D8D"/>
    <w:rsid w:val="00C716C7"/>
    <w:rsid w:val="00C72636"/>
    <w:rsid w:val="00C728CB"/>
    <w:rsid w:val="00C73E1E"/>
    <w:rsid w:val="00C74ABE"/>
    <w:rsid w:val="00C74E03"/>
    <w:rsid w:val="00C756CC"/>
    <w:rsid w:val="00C759CC"/>
    <w:rsid w:val="00C75F42"/>
    <w:rsid w:val="00C7639F"/>
    <w:rsid w:val="00C76FEF"/>
    <w:rsid w:val="00C77A26"/>
    <w:rsid w:val="00C801D9"/>
    <w:rsid w:val="00C8039F"/>
    <w:rsid w:val="00C805DD"/>
    <w:rsid w:val="00C806AF"/>
    <w:rsid w:val="00C815C0"/>
    <w:rsid w:val="00C818DC"/>
    <w:rsid w:val="00C81FE0"/>
    <w:rsid w:val="00C820DD"/>
    <w:rsid w:val="00C825B8"/>
    <w:rsid w:val="00C82861"/>
    <w:rsid w:val="00C828AA"/>
    <w:rsid w:val="00C833C3"/>
    <w:rsid w:val="00C8419F"/>
    <w:rsid w:val="00C859D8"/>
    <w:rsid w:val="00C85BAA"/>
    <w:rsid w:val="00C861DE"/>
    <w:rsid w:val="00C8630C"/>
    <w:rsid w:val="00C86932"/>
    <w:rsid w:val="00C878C1"/>
    <w:rsid w:val="00C902FF"/>
    <w:rsid w:val="00C90463"/>
    <w:rsid w:val="00C90E31"/>
    <w:rsid w:val="00C914B2"/>
    <w:rsid w:val="00C91EA0"/>
    <w:rsid w:val="00C9272D"/>
    <w:rsid w:val="00C929D2"/>
    <w:rsid w:val="00C93C65"/>
    <w:rsid w:val="00C93E9D"/>
    <w:rsid w:val="00C94305"/>
    <w:rsid w:val="00C94307"/>
    <w:rsid w:val="00C9445F"/>
    <w:rsid w:val="00C9516B"/>
    <w:rsid w:val="00C95247"/>
    <w:rsid w:val="00C954BB"/>
    <w:rsid w:val="00C95A50"/>
    <w:rsid w:val="00C95A69"/>
    <w:rsid w:val="00C96457"/>
    <w:rsid w:val="00C96853"/>
    <w:rsid w:val="00C96A6A"/>
    <w:rsid w:val="00C96FA5"/>
    <w:rsid w:val="00CA0228"/>
    <w:rsid w:val="00CA09C4"/>
    <w:rsid w:val="00CA0D83"/>
    <w:rsid w:val="00CA116F"/>
    <w:rsid w:val="00CA1A7A"/>
    <w:rsid w:val="00CA20DF"/>
    <w:rsid w:val="00CA2BF8"/>
    <w:rsid w:val="00CA2C2A"/>
    <w:rsid w:val="00CA2DB5"/>
    <w:rsid w:val="00CA31E5"/>
    <w:rsid w:val="00CA32D7"/>
    <w:rsid w:val="00CA39CD"/>
    <w:rsid w:val="00CA438C"/>
    <w:rsid w:val="00CA4564"/>
    <w:rsid w:val="00CA4590"/>
    <w:rsid w:val="00CA46E2"/>
    <w:rsid w:val="00CA4962"/>
    <w:rsid w:val="00CA4DB6"/>
    <w:rsid w:val="00CA4E0F"/>
    <w:rsid w:val="00CA526D"/>
    <w:rsid w:val="00CA694A"/>
    <w:rsid w:val="00CA7777"/>
    <w:rsid w:val="00CB001B"/>
    <w:rsid w:val="00CB0025"/>
    <w:rsid w:val="00CB01E1"/>
    <w:rsid w:val="00CB0427"/>
    <w:rsid w:val="00CB0D0A"/>
    <w:rsid w:val="00CB0F74"/>
    <w:rsid w:val="00CB14D8"/>
    <w:rsid w:val="00CB1B02"/>
    <w:rsid w:val="00CB1CAD"/>
    <w:rsid w:val="00CB219C"/>
    <w:rsid w:val="00CB24E3"/>
    <w:rsid w:val="00CB273E"/>
    <w:rsid w:val="00CB2A60"/>
    <w:rsid w:val="00CB2DFB"/>
    <w:rsid w:val="00CB35A8"/>
    <w:rsid w:val="00CB3744"/>
    <w:rsid w:val="00CB3AAE"/>
    <w:rsid w:val="00CB42FF"/>
    <w:rsid w:val="00CB4E76"/>
    <w:rsid w:val="00CB5029"/>
    <w:rsid w:val="00CB537D"/>
    <w:rsid w:val="00CB645D"/>
    <w:rsid w:val="00CB6644"/>
    <w:rsid w:val="00CB66BA"/>
    <w:rsid w:val="00CB6A31"/>
    <w:rsid w:val="00CB74C7"/>
    <w:rsid w:val="00CB77C7"/>
    <w:rsid w:val="00CB78C8"/>
    <w:rsid w:val="00CC0125"/>
    <w:rsid w:val="00CC03E6"/>
    <w:rsid w:val="00CC1E35"/>
    <w:rsid w:val="00CC1E8A"/>
    <w:rsid w:val="00CC20A0"/>
    <w:rsid w:val="00CC2FED"/>
    <w:rsid w:val="00CC3163"/>
    <w:rsid w:val="00CC326B"/>
    <w:rsid w:val="00CC36C9"/>
    <w:rsid w:val="00CC3871"/>
    <w:rsid w:val="00CC39E6"/>
    <w:rsid w:val="00CC3D20"/>
    <w:rsid w:val="00CC3E22"/>
    <w:rsid w:val="00CC48D1"/>
    <w:rsid w:val="00CC4CC7"/>
    <w:rsid w:val="00CC5146"/>
    <w:rsid w:val="00CC5F23"/>
    <w:rsid w:val="00CC6518"/>
    <w:rsid w:val="00CC6D02"/>
    <w:rsid w:val="00CC72AC"/>
    <w:rsid w:val="00CC7755"/>
    <w:rsid w:val="00CC7934"/>
    <w:rsid w:val="00CC7CEE"/>
    <w:rsid w:val="00CD02D5"/>
    <w:rsid w:val="00CD05DC"/>
    <w:rsid w:val="00CD0CD1"/>
    <w:rsid w:val="00CD1270"/>
    <w:rsid w:val="00CD128B"/>
    <w:rsid w:val="00CD181F"/>
    <w:rsid w:val="00CD1828"/>
    <w:rsid w:val="00CD305E"/>
    <w:rsid w:val="00CD3770"/>
    <w:rsid w:val="00CD3B93"/>
    <w:rsid w:val="00CD49F7"/>
    <w:rsid w:val="00CD4DBE"/>
    <w:rsid w:val="00CD4EAA"/>
    <w:rsid w:val="00CD526D"/>
    <w:rsid w:val="00CD5B6F"/>
    <w:rsid w:val="00CD5B9F"/>
    <w:rsid w:val="00CD6084"/>
    <w:rsid w:val="00CD6482"/>
    <w:rsid w:val="00CD6930"/>
    <w:rsid w:val="00CD6B96"/>
    <w:rsid w:val="00CD7797"/>
    <w:rsid w:val="00CE0485"/>
    <w:rsid w:val="00CE0918"/>
    <w:rsid w:val="00CE0CDA"/>
    <w:rsid w:val="00CE1BB4"/>
    <w:rsid w:val="00CE22AE"/>
    <w:rsid w:val="00CE2989"/>
    <w:rsid w:val="00CE2B68"/>
    <w:rsid w:val="00CE4D28"/>
    <w:rsid w:val="00CE5489"/>
    <w:rsid w:val="00CE6386"/>
    <w:rsid w:val="00CE6594"/>
    <w:rsid w:val="00CE6628"/>
    <w:rsid w:val="00CE766E"/>
    <w:rsid w:val="00CE7A36"/>
    <w:rsid w:val="00CE7C83"/>
    <w:rsid w:val="00CF110C"/>
    <w:rsid w:val="00CF1DE6"/>
    <w:rsid w:val="00CF1DF2"/>
    <w:rsid w:val="00CF1F9C"/>
    <w:rsid w:val="00CF1FAF"/>
    <w:rsid w:val="00CF2312"/>
    <w:rsid w:val="00CF29A2"/>
    <w:rsid w:val="00CF2F23"/>
    <w:rsid w:val="00CF3579"/>
    <w:rsid w:val="00CF3E31"/>
    <w:rsid w:val="00CF4B3D"/>
    <w:rsid w:val="00CF4B82"/>
    <w:rsid w:val="00CF54B3"/>
    <w:rsid w:val="00CF55F4"/>
    <w:rsid w:val="00CF5667"/>
    <w:rsid w:val="00CF678A"/>
    <w:rsid w:val="00CF68B9"/>
    <w:rsid w:val="00CF6E41"/>
    <w:rsid w:val="00CF7738"/>
    <w:rsid w:val="00CF7ABD"/>
    <w:rsid w:val="00CF7D5E"/>
    <w:rsid w:val="00CF7E66"/>
    <w:rsid w:val="00CF7EFC"/>
    <w:rsid w:val="00D008B7"/>
    <w:rsid w:val="00D00B6B"/>
    <w:rsid w:val="00D0111B"/>
    <w:rsid w:val="00D01B49"/>
    <w:rsid w:val="00D01DF1"/>
    <w:rsid w:val="00D01EF2"/>
    <w:rsid w:val="00D03D1F"/>
    <w:rsid w:val="00D0425B"/>
    <w:rsid w:val="00D044C1"/>
    <w:rsid w:val="00D0507F"/>
    <w:rsid w:val="00D058C6"/>
    <w:rsid w:val="00D05D92"/>
    <w:rsid w:val="00D05E1C"/>
    <w:rsid w:val="00D0682C"/>
    <w:rsid w:val="00D074AC"/>
    <w:rsid w:val="00D07BE8"/>
    <w:rsid w:val="00D07C67"/>
    <w:rsid w:val="00D10522"/>
    <w:rsid w:val="00D10C17"/>
    <w:rsid w:val="00D10F07"/>
    <w:rsid w:val="00D11570"/>
    <w:rsid w:val="00D117F5"/>
    <w:rsid w:val="00D12522"/>
    <w:rsid w:val="00D134AE"/>
    <w:rsid w:val="00D139A2"/>
    <w:rsid w:val="00D1418C"/>
    <w:rsid w:val="00D143FA"/>
    <w:rsid w:val="00D14913"/>
    <w:rsid w:val="00D14ACE"/>
    <w:rsid w:val="00D14E3F"/>
    <w:rsid w:val="00D15CA7"/>
    <w:rsid w:val="00D15F74"/>
    <w:rsid w:val="00D164BE"/>
    <w:rsid w:val="00D16918"/>
    <w:rsid w:val="00D200BF"/>
    <w:rsid w:val="00D20C6B"/>
    <w:rsid w:val="00D210D8"/>
    <w:rsid w:val="00D215EF"/>
    <w:rsid w:val="00D229E0"/>
    <w:rsid w:val="00D22B20"/>
    <w:rsid w:val="00D22EB3"/>
    <w:rsid w:val="00D2337A"/>
    <w:rsid w:val="00D23412"/>
    <w:rsid w:val="00D23C08"/>
    <w:rsid w:val="00D244AB"/>
    <w:rsid w:val="00D2566C"/>
    <w:rsid w:val="00D25A33"/>
    <w:rsid w:val="00D26362"/>
    <w:rsid w:val="00D26489"/>
    <w:rsid w:val="00D308DA"/>
    <w:rsid w:val="00D30AA8"/>
    <w:rsid w:val="00D31457"/>
    <w:rsid w:val="00D32317"/>
    <w:rsid w:val="00D3237D"/>
    <w:rsid w:val="00D32E58"/>
    <w:rsid w:val="00D3308B"/>
    <w:rsid w:val="00D33AE6"/>
    <w:rsid w:val="00D33BFB"/>
    <w:rsid w:val="00D34012"/>
    <w:rsid w:val="00D34457"/>
    <w:rsid w:val="00D34BE3"/>
    <w:rsid w:val="00D34C47"/>
    <w:rsid w:val="00D34CDC"/>
    <w:rsid w:val="00D34D0E"/>
    <w:rsid w:val="00D35AFD"/>
    <w:rsid w:val="00D35EC4"/>
    <w:rsid w:val="00D36A23"/>
    <w:rsid w:val="00D37600"/>
    <w:rsid w:val="00D37B45"/>
    <w:rsid w:val="00D37ED1"/>
    <w:rsid w:val="00D4137F"/>
    <w:rsid w:val="00D4159F"/>
    <w:rsid w:val="00D432F5"/>
    <w:rsid w:val="00D439B2"/>
    <w:rsid w:val="00D43B1D"/>
    <w:rsid w:val="00D44445"/>
    <w:rsid w:val="00D44887"/>
    <w:rsid w:val="00D44E1E"/>
    <w:rsid w:val="00D45344"/>
    <w:rsid w:val="00D4593E"/>
    <w:rsid w:val="00D45BCE"/>
    <w:rsid w:val="00D4635A"/>
    <w:rsid w:val="00D464F2"/>
    <w:rsid w:val="00D46522"/>
    <w:rsid w:val="00D4664B"/>
    <w:rsid w:val="00D46C65"/>
    <w:rsid w:val="00D4705A"/>
    <w:rsid w:val="00D47588"/>
    <w:rsid w:val="00D47A91"/>
    <w:rsid w:val="00D47B5D"/>
    <w:rsid w:val="00D47BDE"/>
    <w:rsid w:val="00D50AC7"/>
    <w:rsid w:val="00D51206"/>
    <w:rsid w:val="00D51284"/>
    <w:rsid w:val="00D51531"/>
    <w:rsid w:val="00D5221F"/>
    <w:rsid w:val="00D52354"/>
    <w:rsid w:val="00D525D6"/>
    <w:rsid w:val="00D52951"/>
    <w:rsid w:val="00D52DB5"/>
    <w:rsid w:val="00D52DCF"/>
    <w:rsid w:val="00D532F9"/>
    <w:rsid w:val="00D5340F"/>
    <w:rsid w:val="00D535A6"/>
    <w:rsid w:val="00D537B6"/>
    <w:rsid w:val="00D5380F"/>
    <w:rsid w:val="00D543CD"/>
    <w:rsid w:val="00D54982"/>
    <w:rsid w:val="00D54C71"/>
    <w:rsid w:val="00D55204"/>
    <w:rsid w:val="00D553FF"/>
    <w:rsid w:val="00D555BD"/>
    <w:rsid w:val="00D555EC"/>
    <w:rsid w:val="00D56265"/>
    <w:rsid w:val="00D563E6"/>
    <w:rsid w:val="00D56AA6"/>
    <w:rsid w:val="00D57091"/>
    <w:rsid w:val="00D57F5E"/>
    <w:rsid w:val="00D601AE"/>
    <w:rsid w:val="00D60370"/>
    <w:rsid w:val="00D607C5"/>
    <w:rsid w:val="00D60A1F"/>
    <w:rsid w:val="00D611B7"/>
    <w:rsid w:val="00D616C5"/>
    <w:rsid w:val="00D6175E"/>
    <w:rsid w:val="00D61EAD"/>
    <w:rsid w:val="00D62458"/>
    <w:rsid w:val="00D6322D"/>
    <w:rsid w:val="00D635EB"/>
    <w:rsid w:val="00D639AF"/>
    <w:rsid w:val="00D64837"/>
    <w:rsid w:val="00D66268"/>
    <w:rsid w:val="00D66566"/>
    <w:rsid w:val="00D66A9F"/>
    <w:rsid w:val="00D67D24"/>
    <w:rsid w:val="00D70E87"/>
    <w:rsid w:val="00D713D7"/>
    <w:rsid w:val="00D718EE"/>
    <w:rsid w:val="00D719C8"/>
    <w:rsid w:val="00D72079"/>
    <w:rsid w:val="00D72757"/>
    <w:rsid w:val="00D72B01"/>
    <w:rsid w:val="00D72D31"/>
    <w:rsid w:val="00D74C11"/>
    <w:rsid w:val="00D74C28"/>
    <w:rsid w:val="00D75672"/>
    <w:rsid w:val="00D75790"/>
    <w:rsid w:val="00D75831"/>
    <w:rsid w:val="00D76703"/>
    <w:rsid w:val="00D774F2"/>
    <w:rsid w:val="00D778E8"/>
    <w:rsid w:val="00D808BF"/>
    <w:rsid w:val="00D80BF1"/>
    <w:rsid w:val="00D813DB"/>
    <w:rsid w:val="00D81EF8"/>
    <w:rsid w:val="00D8307F"/>
    <w:rsid w:val="00D833B3"/>
    <w:rsid w:val="00D83989"/>
    <w:rsid w:val="00D845ED"/>
    <w:rsid w:val="00D851E8"/>
    <w:rsid w:val="00D852AA"/>
    <w:rsid w:val="00D863DD"/>
    <w:rsid w:val="00D86461"/>
    <w:rsid w:val="00D86480"/>
    <w:rsid w:val="00D867F4"/>
    <w:rsid w:val="00D86913"/>
    <w:rsid w:val="00D86DEC"/>
    <w:rsid w:val="00D87027"/>
    <w:rsid w:val="00D87618"/>
    <w:rsid w:val="00D879D9"/>
    <w:rsid w:val="00D905DD"/>
    <w:rsid w:val="00D9111A"/>
    <w:rsid w:val="00D912B5"/>
    <w:rsid w:val="00D915BF"/>
    <w:rsid w:val="00D91B78"/>
    <w:rsid w:val="00D92458"/>
    <w:rsid w:val="00D92584"/>
    <w:rsid w:val="00D9292E"/>
    <w:rsid w:val="00D92ABB"/>
    <w:rsid w:val="00D92B45"/>
    <w:rsid w:val="00D92D1A"/>
    <w:rsid w:val="00D92DCE"/>
    <w:rsid w:val="00D9312F"/>
    <w:rsid w:val="00D9435A"/>
    <w:rsid w:val="00D946FA"/>
    <w:rsid w:val="00D965C9"/>
    <w:rsid w:val="00DA0C9D"/>
    <w:rsid w:val="00DA0F85"/>
    <w:rsid w:val="00DA121A"/>
    <w:rsid w:val="00DA1387"/>
    <w:rsid w:val="00DA1A1D"/>
    <w:rsid w:val="00DA1CA7"/>
    <w:rsid w:val="00DA1FF6"/>
    <w:rsid w:val="00DA2155"/>
    <w:rsid w:val="00DA22B8"/>
    <w:rsid w:val="00DA2703"/>
    <w:rsid w:val="00DA4216"/>
    <w:rsid w:val="00DA4786"/>
    <w:rsid w:val="00DA5B2E"/>
    <w:rsid w:val="00DA5F69"/>
    <w:rsid w:val="00DA605A"/>
    <w:rsid w:val="00DA6381"/>
    <w:rsid w:val="00DA7962"/>
    <w:rsid w:val="00DA7E2E"/>
    <w:rsid w:val="00DA7F35"/>
    <w:rsid w:val="00DB07F9"/>
    <w:rsid w:val="00DB0D4E"/>
    <w:rsid w:val="00DB13A9"/>
    <w:rsid w:val="00DB16CA"/>
    <w:rsid w:val="00DB2583"/>
    <w:rsid w:val="00DB2C6C"/>
    <w:rsid w:val="00DB3718"/>
    <w:rsid w:val="00DB3A2F"/>
    <w:rsid w:val="00DB3C35"/>
    <w:rsid w:val="00DB4026"/>
    <w:rsid w:val="00DB483E"/>
    <w:rsid w:val="00DB4D6C"/>
    <w:rsid w:val="00DB5379"/>
    <w:rsid w:val="00DB5B3E"/>
    <w:rsid w:val="00DB6027"/>
    <w:rsid w:val="00DB62D6"/>
    <w:rsid w:val="00DB692B"/>
    <w:rsid w:val="00DB798B"/>
    <w:rsid w:val="00DC04CC"/>
    <w:rsid w:val="00DC0E01"/>
    <w:rsid w:val="00DC1016"/>
    <w:rsid w:val="00DC108D"/>
    <w:rsid w:val="00DC1473"/>
    <w:rsid w:val="00DC15D1"/>
    <w:rsid w:val="00DC21B0"/>
    <w:rsid w:val="00DC2286"/>
    <w:rsid w:val="00DC2465"/>
    <w:rsid w:val="00DC2554"/>
    <w:rsid w:val="00DC2B24"/>
    <w:rsid w:val="00DC2BAE"/>
    <w:rsid w:val="00DC3AFA"/>
    <w:rsid w:val="00DC446C"/>
    <w:rsid w:val="00DC4962"/>
    <w:rsid w:val="00DC4F5B"/>
    <w:rsid w:val="00DC5036"/>
    <w:rsid w:val="00DC6306"/>
    <w:rsid w:val="00DC64B0"/>
    <w:rsid w:val="00DC676E"/>
    <w:rsid w:val="00DC6CEB"/>
    <w:rsid w:val="00DC75F8"/>
    <w:rsid w:val="00DC7A02"/>
    <w:rsid w:val="00DC7AB8"/>
    <w:rsid w:val="00DC7E1F"/>
    <w:rsid w:val="00DD051A"/>
    <w:rsid w:val="00DD0CF6"/>
    <w:rsid w:val="00DD124E"/>
    <w:rsid w:val="00DD2048"/>
    <w:rsid w:val="00DD2889"/>
    <w:rsid w:val="00DD47EC"/>
    <w:rsid w:val="00DD48A3"/>
    <w:rsid w:val="00DD4FA1"/>
    <w:rsid w:val="00DD547A"/>
    <w:rsid w:val="00DD62B4"/>
    <w:rsid w:val="00DD6C61"/>
    <w:rsid w:val="00DD6D87"/>
    <w:rsid w:val="00DD782B"/>
    <w:rsid w:val="00DE096B"/>
    <w:rsid w:val="00DE14CC"/>
    <w:rsid w:val="00DE1950"/>
    <w:rsid w:val="00DE3892"/>
    <w:rsid w:val="00DE3A32"/>
    <w:rsid w:val="00DE4566"/>
    <w:rsid w:val="00DE47A5"/>
    <w:rsid w:val="00DE505C"/>
    <w:rsid w:val="00DE52E3"/>
    <w:rsid w:val="00DE5763"/>
    <w:rsid w:val="00DE7010"/>
    <w:rsid w:val="00DF0A2D"/>
    <w:rsid w:val="00DF1E25"/>
    <w:rsid w:val="00DF221D"/>
    <w:rsid w:val="00DF2518"/>
    <w:rsid w:val="00DF320A"/>
    <w:rsid w:val="00DF369A"/>
    <w:rsid w:val="00DF3D93"/>
    <w:rsid w:val="00DF4248"/>
    <w:rsid w:val="00DF4938"/>
    <w:rsid w:val="00DF4DE8"/>
    <w:rsid w:val="00DF4DF3"/>
    <w:rsid w:val="00DF4E63"/>
    <w:rsid w:val="00DF5936"/>
    <w:rsid w:val="00DF5978"/>
    <w:rsid w:val="00DF5B9E"/>
    <w:rsid w:val="00DF60E4"/>
    <w:rsid w:val="00DF62FF"/>
    <w:rsid w:val="00DF631A"/>
    <w:rsid w:val="00DF6730"/>
    <w:rsid w:val="00DF67A2"/>
    <w:rsid w:val="00DF771F"/>
    <w:rsid w:val="00DF7845"/>
    <w:rsid w:val="00DF7EE9"/>
    <w:rsid w:val="00DF7F49"/>
    <w:rsid w:val="00E004BF"/>
    <w:rsid w:val="00E00A86"/>
    <w:rsid w:val="00E00B41"/>
    <w:rsid w:val="00E01061"/>
    <w:rsid w:val="00E010E5"/>
    <w:rsid w:val="00E01807"/>
    <w:rsid w:val="00E01873"/>
    <w:rsid w:val="00E02022"/>
    <w:rsid w:val="00E021E3"/>
    <w:rsid w:val="00E0257A"/>
    <w:rsid w:val="00E027C9"/>
    <w:rsid w:val="00E02DC9"/>
    <w:rsid w:val="00E02EE8"/>
    <w:rsid w:val="00E02F0A"/>
    <w:rsid w:val="00E031D5"/>
    <w:rsid w:val="00E0467F"/>
    <w:rsid w:val="00E04CD0"/>
    <w:rsid w:val="00E0523C"/>
    <w:rsid w:val="00E0542B"/>
    <w:rsid w:val="00E0546B"/>
    <w:rsid w:val="00E054F3"/>
    <w:rsid w:val="00E073DD"/>
    <w:rsid w:val="00E07E42"/>
    <w:rsid w:val="00E07EE5"/>
    <w:rsid w:val="00E10927"/>
    <w:rsid w:val="00E10DFC"/>
    <w:rsid w:val="00E11070"/>
    <w:rsid w:val="00E112FE"/>
    <w:rsid w:val="00E11DD2"/>
    <w:rsid w:val="00E11FA4"/>
    <w:rsid w:val="00E120DD"/>
    <w:rsid w:val="00E12DD4"/>
    <w:rsid w:val="00E133B4"/>
    <w:rsid w:val="00E137D7"/>
    <w:rsid w:val="00E151CB"/>
    <w:rsid w:val="00E15ED3"/>
    <w:rsid w:val="00E15FED"/>
    <w:rsid w:val="00E16117"/>
    <w:rsid w:val="00E164F6"/>
    <w:rsid w:val="00E16766"/>
    <w:rsid w:val="00E16959"/>
    <w:rsid w:val="00E16E22"/>
    <w:rsid w:val="00E171E4"/>
    <w:rsid w:val="00E171FC"/>
    <w:rsid w:val="00E173EF"/>
    <w:rsid w:val="00E202C7"/>
    <w:rsid w:val="00E20467"/>
    <w:rsid w:val="00E207F7"/>
    <w:rsid w:val="00E21DC8"/>
    <w:rsid w:val="00E22226"/>
    <w:rsid w:val="00E223A0"/>
    <w:rsid w:val="00E225BA"/>
    <w:rsid w:val="00E24112"/>
    <w:rsid w:val="00E25179"/>
    <w:rsid w:val="00E259D9"/>
    <w:rsid w:val="00E25EC1"/>
    <w:rsid w:val="00E2605F"/>
    <w:rsid w:val="00E26702"/>
    <w:rsid w:val="00E26A3C"/>
    <w:rsid w:val="00E27429"/>
    <w:rsid w:val="00E275A8"/>
    <w:rsid w:val="00E27787"/>
    <w:rsid w:val="00E27889"/>
    <w:rsid w:val="00E27993"/>
    <w:rsid w:val="00E27A18"/>
    <w:rsid w:val="00E27B77"/>
    <w:rsid w:val="00E30453"/>
    <w:rsid w:val="00E318ED"/>
    <w:rsid w:val="00E31BE9"/>
    <w:rsid w:val="00E31BED"/>
    <w:rsid w:val="00E32890"/>
    <w:rsid w:val="00E3295F"/>
    <w:rsid w:val="00E33756"/>
    <w:rsid w:val="00E34BE9"/>
    <w:rsid w:val="00E34EEC"/>
    <w:rsid w:val="00E352AF"/>
    <w:rsid w:val="00E35A65"/>
    <w:rsid w:val="00E35C44"/>
    <w:rsid w:val="00E35FCA"/>
    <w:rsid w:val="00E360D9"/>
    <w:rsid w:val="00E364B3"/>
    <w:rsid w:val="00E371DD"/>
    <w:rsid w:val="00E376FA"/>
    <w:rsid w:val="00E40448"/>
    <w:rsid w:val="00E40EF0"/>
    <w:rsid w:val="00E411B0"/>
    <w:rsid w:val="00E41C25"/>
    <w:rsid w:val="00E41D19"/>
    <w:rsid w:val="00E41D91"/>
    <w:rsid w:val="00E42366"/>
    <w:rsid w:val="00E42475"/>
    <w:rsid w:val="00E4247B"/>
    <w:rsid w:val="00E424DA"/>
    <w:rsid w:val="00E428BE"/>
    <w:rsid w:val="00E429E5"/>
    <w:rsid w:val="00E42E4C"/>
    <w:rsid w:val="00E43157"/>
    <w:rsid w:val="00E43830"/>
    <w:rsid w:val="00E43E78"/>
    <w:rsid w:val="00E44295"/>
    <w:rsid w:val="00E44693"/>
    <w:rsid w:val="00E44775"/>
    <w:rsid w:val="00E44EAC"/>
    <w:rsid w:val="00E4553C"/>
    <w:rsid w:val="00E45DD6"/>
    <w:rsid w:val="00E460BC"/>
    <w:rsid w:val="00E471CC"/>
    <w:rsid w:val="00E47342"/>
    <w:rsid w:val="00E47407"/>
    <w:rsid w:val="00E477EC"/>
    <w:rsid w:val="00E47F8F"/>
    <w:rsid w:val="00E50474"/>
    <w:rsid w:val="00E513AD"/>
    <w:rsid w:val="00E51925"/>
    <w:rsid w:val="00E51BC9"/>
    <w:rsid w:val="00E51D58"/>
    <w:rsid w:val="00E52BE0"/>
    <w:rsid w:val="00E52F99"/>
    <w:rsid w:val="00E5370A"/>
    <w:rsid w:val="00E5380D"/>
    <w:rsid w:val="00E541AB"/>
    <w:rsid w:val="00E541FE"/>
    <w:rsid w:val="00E54287"/>
    <w:rsid w:val="00E54E07"/>
    <w:rsid w:val="00E553E1"/>
    <w:rsid w:val="00E557AC"/>
    <w:rsid w:val="00E559B4"/>
    <w:rsid w:val="00E55A49"/>
    <w:rsid w:val="00E55EBF"/>
    <w:rsid w:val="00E567A0"/>
    <w:rsid w:val="00E5716C"/>
    <w:rsid w:val="00E57FB2"/>
    <w:rsid w:val="00E604C8"/>
    <w:rsid w:val="00E60E24"/>
    <w:rsid w:val="00E6107A"/>
    <w:rsid w:val="00E610B0"/>
    <w:rsid w:val="00E61894"/>
    <w:rsid w:val="00E61D59"/>
    <w:rsid w:val="00E62488"/>
    <w:rsid w:val="00E626E4"/>
    <w:rsid w:val="00E62A49"/>
    <w:rsid w:val="00E62C3F"/>
    <w:rsid w:val="00E62C83"/>
    <w:rsid w:val="00E6345B"/>
    <w:rsid w:val="00E635A0"/>
    <w:rsid w:val="00E63D01"/>
    <w:rsid w:val="00E65998"/>
    <w:rsid w:val="00E65F3A"/>
    <w:rsid w:val="00E66AA6"/>
    <w:rsid w:val="00E66EBD"/>
    <w:rsid w:val="00E67C84"/>
    <w:rsid w:val="00E67F2B"/>
    <w:rsid w:val="00E67F48"/>
    <w:rsid w:val="00E700F1"/>
    <w:rsid w:val="00E70139"/>
    <w:rsid w:val="00E7021F"/>
    <w:rsid w:val="00E70ABE"/>
    <w:rsid w:val="00E70EE1"/>
    <w:rsid w:val="00E70F5F"/>
    <w:rsid w:val="00E71F08"/>
    <w:rsid w:val="00E7262C"/>
    <w:rsid w:val="00E72872"/>
    <w:rsid w:val="00E738FA"/>
    <w:rsid w:val="00E73A73"/>
    <w:rsid w:val="00E73B78"/>
    <w:rsid w:val="00E73DB6"/>
    <w:rsid w:val="00E7427B"/>
    <w:rsid w:val="00E75309"/>
    <w:rsid w:val="00E75591"/>
    <w:rsid w:val="00E7593D"/>
    <w:rsid w:val="00E75E6A"/>
    <w:rsid w:val="00E75EFB"/>
    <w:rsid w:val="00E76214"/>
    <w:rsid w:val="00E76291"/>
    <w:rsid w:val="00E76585"/>
    <w:rsid w:val="00E7742E"/>
    <w:rsid w:val="00E779D3"/>
    <w:rsid w:val="00E77F1B"/>
    <w:rsid w:val="00E800D5"/>
    <w:rsid w:val="00E80F0A"/>
    <w:rsid w:val="00E812E0"/>
    <w:rsid w:val="00E81734"/>
    <w:rsid w:val="00E82A02"/>
    <w:rsid w:val="00E82C4C"/>
    <w:rsid w:val="00E8343D"/>
    <w:rsid w:val="00E839EA"/>
    <w:rsid w:val="00E83B1E"/>
    <w:rsid w:val="00E841A6"/>
    <w:rsid w:val="00E841C7"/>
    <w:rsid w:val="00E8448F"/>
    <w:rsid w:val="00E8478F"/>
    <w:rsid w:val="00E85041"/>
    <w:rsid w:val="00E85843"/>
    <w:rsid w:val="00E8620D"/>
    <w:rsid w:val="00E863DB"/>
    <w:rsid w:val="00E8690B"/>
    <w:rsid w:val="00E86F14"/>
    <w:rsid w:val="00E87B7E"/>
    <w:rsid w:val="00E87D66"/>
    <w:rsid w:val="00E90117"/>
    <w:rsid w:val="00E904C0"/>
    <w:rsid w:val="00E90DA4"/>
    <w:rsid w:val="00E915A3"/>
    <w:rsid w:val="00E92BB4"/>
    <w:rsid w:val="00E92D58"/>
    <w:rsid w:val="00E92E71"/>
    <w:rsid w:val="00E93443"/>
    <w:rsid w:val="00E937C7"/>
    <w:rsid w:val="00E93891"/>
    <w:rsid w:val="00E946C3"/>
    <w:rsid w:val="00E9576B"/>
    <w:rsid w:val="00E95D07"/>
    <w:rsid w:val="00E960B0"/>
    <w:rsid w:val="00E96918"/>
    <w:rsid w:val="00E96932"/>
    <w:rsid w:val="00E96FD3"/>
    <w:rsid w:val="00EA0390"/>
    <w:rsid w:val="00EA10C9"/>
    <w:rsid w:val="00EA174F"/>
    <w:rsid w:val="00EA2B6F"/>
    <w:rsid w:val="00EA2D45"/>
    <w:rsid w:val="00EA2DF5"/>
    <w:rsid w:val="00EA3A36"/>
    <w:rsid w:val="00EA3FFF"/>
    <w:rsid w:val="00EA4054"/>
    <w:rsid w:val="00EA4E3B"/>
    <w:rsid w:val="00EA7555"/>
    <w:rsid w:val="00EB00D7"/>
    <w:rsid w:val="00EB0645"/>
    <w:rsid w:val="00EB10DE"/>
    <w:rsid w:val="00EB1D72"/>
    <w:rsid w:val="00EB211D"/>
    <w:rsid w:val="00EB21CE"/>
    <w:rsid w:val="00EB2E02"/>
    <w:rsid w:val="00EB378F"/>
    <w:rsid w:val="00EB3AF4"/>
    <w:rsid w:val="00EB4B1A"/>
    <w:rsid w:val="00EB4B8D"/>
    <w:rsid w:val="00EB4CB6"/>
    <w:rsid w:val="00EB5538"/>
    <w:rsid w:val="00EB5A7F"/>
    <w:rsid w:val="00EB63B4"/>
    <w:rsid w:val="00EB666C"/>
    <w:rsid w:val="00EB6B15"/>
    <w:rsid w:val="00EB7895"/>
    <w:rsid w:val="00EB7A6C"/>
    <w:rsid w:val="00EC0374"/>
    <w:rsid w:val="00EC073E"/>
    <w:rsid w:val="00EC14C9"/>
    <w:rsid w:val="00EC1835"/>
    <w:rsid w:val="00EC1CFB"/>
    <w:rsid w:val="00EC1F28"/>
    <w:rsid w:val="00EC2476"/>
    <w:rsid w:val="00EC247B"/>
    <w:rsid w:val="00EC3380"/>
    <w:rsid w:val="00EC42AD"/>
    <w:rsid w:val="00EC5B96"/>
    <w:rsid w:val="00EC5F7F"/>
    <w:rsid w:val="00EC619E"/>
    <w:rsid w:val="00EC61F3"/>
    <w:rsid w:val="00EC636F"/>
    <w:rsid w:val="00EC6A59"/>
    <w:rsid w:val="00EC6BE2"/>
    <w:rsid w:val="00EC70BF"/>
    <w:rsid w:val="00EC730B"/>
    <w:rsid w:val="00EC7522"/>
    <w:rsid w:val="00EC7EBF"/>
    <w:rsid w:val="00ED0379"/>
    <w:rsid w:val="00ED08B5"/>
    <w:rsid w:val="00ED0C82"/>
    <w:rsid w:val="00ED302F"/>
    <w:rsid w:val="00ED3035"/>
    <w:rsid w:val="00ED3A23"/>
    <w:rsid w:val="00ED4007"/>
    <w:rsid w:val="00ED4687"/>
    <w:rsid w:val="00ED4815"/>
    <w:rsid w:val="00ED4D40"/>
    <w:rsid w:val="00ED4F93"/>
    <w:rsid w:val="00ED5458"/>
    <w:rsid w:val="00ED5AD9"/>
    <w:rsid w:val="00ED6164"/>
    <w:rsid w:val="00ED6404"/>
    <w:rsid w:val="00ED67F3"/>
    <w:rsid w:val="00ED6B5F"/>
    <w:rsid w:val="00ED6B6C"/>
    <w:rsid w:val="00ED6CA5"/>
    <w:rsid w:val="00ED7298"/>
    <w:rsid w:val="00EE0606"/>
    <w:rsid w:val="00EE121D"/>
    <w:rsid w:val="00EE1947"/>
    <w:rsid w:val="00EE1A37"/>
    <w:rsid w:val="00EE1B3B"/>
    <w:rsid w:val="00EE1B9C"/>
    <w:rsid w:val="00EE1E64"/>
    <w:rsid w:val="00EE228A"/>
    <w:rsid w:val="00EE281B"/>
    <w:rsid w:val="00EE2F4B"/>
    <w:rsid w:val="00EE33E5"/>
    <w:rsid w:val="00EE38E7"/>
    <w:rsid w:val="00EE3F7A"/>
    <w:rsid w:val="00EE4BBB"/>
    <w:rsid w:val="00EE503B"/>
    <w:rsid w:val="00EE5237"/>
    <w:rsid w:val="00EE5569"/>
    <w:rsid w:val="00EE63EB"/>
    <w:rsid w:val="00EE6BED"/>
    <w:rsid w:val="00EE73F2"/>
    <w:rsid w:val="00EE75BC"/>
    <w:rsid w:val="00EE77D5"/>
    <w:rsid w:val="00EF0762"/>
    <w:rsid w:val="00EF0E41"/>
    <w:rsid w:val="00EF0F95"/>
    <w:rsid w:val="00EF1C18"/>
    <w:rsid w:val="00EF24E7"/>
    <w:rsid w:val="00EF3226"/>
    <w:rsid w:val="00EF3A24"/>
    <w:rsid w:val="00EF3C48"/>
    <w:rsid w:val="00EF3F86"/>
    <w:rsid w:val="00EF434A"/>
    <w:rsid w:val="00EF462A"/>
    <w:rsid w:val="00EF476D"/>
    <w:rsid w:val="00EF4911"/>
    <w:rsid w:val="00EF5730"/>
    <w:rsid w:val="00EF62ED"/>
    <w:rsid w:val="00EF6EED"/>
    <w:rsid w:val="00EF74A8"/>
    <w:rsid w:val="00F00260"/>
    <w:rsid w:val="00F008A3"/>
    <w:rsid w:val="00F00CF2"/>
    <w:rsid w:val="00F01A6D"/>
    <w:rsid w:val="00F02984"/>
    <w:rsid w:val="00F03435"/>
    <w:rsid w:val="00F0452E"/>
    <w:rsid w:val="00F0537E"/>
    <w:rsid w:val="00F0591F"/>
    <w:rsid w:val="00F060AD"/>
    <w:rsid w:val="00F06226"/>
    <w:rsid w:val="00F0680C"/>
    <w:rsid w:val="00F0680F"/>
    <w:rsid w:val="00F07454"/>
    <w:rsid w:val="00F07492"/>
    <w:rsid w:val="00F07978"/>
    <w:rsid w:val="00F07A6C"/>
    <w:rsid w:val="00F10265"/>
    <w:rsid w:val="00F11333"/>
    <w:rsid w:val="00F11942"/>
    <w:rsid w:val="00F1223F"/>
    <w:rsid w:val="00F12A78"/>
    <w:rsid w:val="00F132A8"/>
    <w:rsid w:val="00F1337A"/>
    <w:rsid w:val="00F14046"/>
    <w:rsid w:val="00F1449E"/>
    <w:rsid w:val="00F14FA9"/>
    <w:rsid w:val="00F15172"/>
    <w:rsid w:val="00F157C0"/>
    <w:rsid w:val="00F158BC"/>
    <w:rsid w:val="00F15E99"/>
    <w:rsid w:val="00F163D4"/>
    <w:rsid w:val="00F17532"/>
    <w:rsid w:val="00F17630"/>
    <w:rsid w:val="00F17802"/>
    <w:rsid w:val="00F17A43"/>
    <w:rsid w:val="00F17EC1"/>
    <w:rsid w:val="00F17FC3"/>
    <w:rsid w:val="00F17FC8"/>
    <w:rsid w:val="00F20A7F"/>
    <w:rsid w:val="00F21C31"/>
    <w:rsid w:val="00F21F84"/>
    <w:rsid w:val="00F22054"/>
    <w:rsid w:val="00F22055"/>
    <w:rsid w:val="00F23DD5"/>
    <w:rsid w:val="00F240FA"/>
    <w:rsid w:val="00F24779"/>
    <w:rsid w:val="00F25424"/>
    <w:rsid w:val="00F2593D"/>
    <w:rsid w:val="00F26BBE"/>
    <w:rsid w:val="00F26D1F"/>
    <w:rsid w:val="00F26EC2"/>
    <w:rsid w:val="00F306D9"/>
    <w:rsid w:val="00F30AFD"/>
    <w:rsid w:val="00F30E8A"/>
    <w:rsid w:val="00F3158A"/>
    <w:rsid w:val="00F31C02"/>
    <w:rsid w:val="00F31E40"/>
    <w:rsid w:val="00F320A0"/>
    <w:rsid w:val="00F321AC"/>
    <w:rsid w:val="00F32ED2"/>
    <w:rsid w:val="00F33188"/>
    <w:rsid w:val="00F3345F"/>
    <w:rsid w:val="00F3350E"/>
    <w:rsid w:val="00F3357C"/>
    <w:rsid w:val="00F33665"/>
    <w:rsid w:val="00F3446B"/>
    <w:rsid w:val="00F347B1"/>
    <w:rsid w:val="00F34D1F"/>
    <w:rsid w:val="00F34E0C"/>
    <w:rsid w:val="00F35ACA"/>
    <w:rsid w:val="00F35E98"/>
    <w:rsid w:val="00F35EC2"/>
    <w:rsid w:val="00F3603A"/>
    <w:rsid w:val="00F3605A"/>
    <w:rsid w:val="00F36277"/>
    <w:rsid w:val="00F362AE"/>
    <w:rsid w:val="00F36479"/>
    <w:rsid w:val="00F36920"/>
    <w:rsid w:val="00F36FE1"/>
    <w:rsid w:val="00F374F7"/>
    <w:rsid w:val="00F37EA7"/>
    <w:rsid w:val="00F40728"/>
    <w:rsid w:val="00F40BF9"/>
    <w:rsid w:val="00F41022"/>
    <w:rsid w:val="00F417D5"/>
    <w:rsid w:val="00F4181F"/>
    <w:rsid w:val="00F41D87"/>
    <w:rsid w:val="00F42D4D"/>
    <w:rsid w:val="00F4304A"/>
    <w:rsid w:val="00F43423"/>
    <w:rsid w:val="00F448A7"/>
    <w:rsid w:val="00F44923"/>
    <w:rsid w:val="00F44C00"/>
    <w:rsid w:val="00F4526D"/>
    <w:rsid w:val="00F45765"/>
    <w:rsid w:val="00F45A2B"/>
    <w:rsid w:val="00F46481"/>
    <w:rsid w:val="00F466CA"/>
    <w:rsid w:val="00F470E3"/>
    <w:rsid w:val="00F47243"/>
    <w:rsid w:val="00F4786C"/>
    <w:rsid w:val="00F47AB3"/>
    <w:rsid w:val="00F47E9A"/>
    <w:rsid w:val="00F505E8"/>
    <w:rsid w:val="00F5075D"/>
    <w:rsid w:val="00F513E4"/>
    <w:rsid w:val="00F516DB"/>
    <w:rsid w:val="00F5176A"/>
    <w:rsid w:val="00F521DD"/>
    <w:rsid w:val="00F52475"/>
    <w:rsid w:val="00F525A4"/>
    <w:rsid w:val="00F531C4"/>
    <w:rsid w:val="00F53230"/>
    <w:rsid w:val="00F548F3"/>
    <w:rsid w:val="00F54950"/>
    <w:rsid w:val="00F54AAF"/>
    <w:rsid w:val="00F54B7D"/>
    <w:rsid w:val="00F55A17"/>
    <w:rsid w:val="00F55E13"/>
    <w:rsid w:val="00F55F50"/>
    <w:rsid w:val="00F568E5"/>
    <w:rsid w:val="00F56DB9"/>
    <w:rsid w:val="00F570CC"/>
    <w:rsid w:val="00F57974"/>
    <w:rsid w:val="00F579A0"/>
    <w:rsid w:val="00F57B51"/>
    <w:rsid w:val="00F60357"/>
    <w:rsid w:val="00F60AC4"/>
    <w:rsid w:val="00F6244B"/>
    <w:rsid w:val="00F62FDF"/>
    <w:rsid w:val="00F63090"/>
    <w:rsid w:val="00F63403"/>
    <w:rsid w:val="00F63425"/>
    <w:rsid w:val="00F63BDE"/>
    <w:rsid w:val="00F64293"/>
    <w:rsid w:val="00F64969"/>
    <w:rsid w:val="00F64CD6"/>
    <w:rsid w:val="00F64CF6"/>
    <w:rsid w:val="00F6553F"/>
    <w:rsid w:val="00F659C5"/>
    <w:rsid w:val="00F66024"/>
    <w:rsid w:val="00F66506"/>
    <w:rsid w:val="00F66600"/>
    <w:rsid w:val="00F66CBF"/>
    <w:rsid w:val="00F67061"/>
    <w:rsid w:val="00F6733C"/>
    <w:rsid w:val="00F677A4"/>
    <w:rsid w:val="00F70006"/>
    <w:rsid w:val="00F70384"/>
    <w:rsid w:val="00F704D7"/>
    <w:rsid w:val="00F71540"/>
    <w:rsid w:val="00F71639"/>
    <w:rsid w:val="00F71C62"/>
    <w:rsid w:val="00F7263A"/>
    <w:rsid w:val="00F7311E"/>
    <w:rsid w:val="00F73396"/>
    <w:rsid w:val="00F73C6C"/>
    <w:rsid w:val="00F743DB"/>
    <w:rsid w:val="00F74B04"/>
    <w:rsid w:val="00F751E4"/>
    <w:rsid w:val="00F753EA"/>
    <w:rsid w:val="00F7603C"/>
    <w:rsid w:val="00F77930"/>
    <w:rsid w:val="00F77C69"/>
    <w:rsid w:val="00F80CC3"/>
    <w:rsid w:val="00F80D92"/>
    <w:rsid w:val="00F80DBA"/>
    <w:rsid w:val="00F824B1"/>
    <w:rsid w:val="00F82A6F"/>
    <w:rsid w:val="00F83179"/>
    <w:rsid w:val="00F8323B"/>
    <w:rsid w:val="00F834AF"/>
    <w:rsid w:val="00F83A93"/>
    <w:rsid w:val="00F84CC6"/>
    <w:rsid w:val="00F8574D"/>
    <w:rsid w:val="00F85763"/>
    <w:rsid w:val="00F857C2"/>
    <w:rsid w:val="00F865F9"/>
    <w:rsid w:val="00F86789"/>
    <w:rsid w:val="00F868C7"/>
    <w:rsid w:val="00F86B72"/>
    <w:rsid w:val="00F86BFD"/>
    <w:rsid w:val="00F8730E"/>
    <w:rsid w:val="00F873B1"/>
    <w:rsid w:val="00F878E1"/>
    <w:rsid w:val="00F87FA9"/>
    <w:rsid w:val="00F903F2"/>
    <w:rsid w:val="00F90684"/>
    <w:rsid w:val="00F928C1"/>
    <w:rsid w:val="00F93B68"/>
    <w:rsid w:val="00F947C6"/>
    <w:rsid w:val="00F947D0"/>
    <w:rsid w:val="00F95150"/>
    <w:rsid w:val="00F9518F"/>
    <w:rsid w:val="00F95418"/>
    <w:rsid w:val="00F95A48"/>
    <w:rsid w:val="00F95A86"/>
    <w:rsid w:val="00F95CE3"/>
    <w:rsid w:val="00F95D44"/>
    <w:rsid w:val="00F96410"/>
    <w:rsid w:val="00F96640"/>
    <w:rsid w:val="00F9667E"/>
    <w:rsid w:val="00F969E1"/>
    <w:rsid w:val="00F96AFF"/>
    <w:rsid w:val="00F96BDD"/>
    <w:rsid w:val="00F96F41"/>
    <w:rsid w:val="00F979E6"/>
    <w:rsid w:val="00F97BCE"/>
    <w:rsid w:val="00F97C56"/>
    <w:rsid w:val="00F97FB3"/>
    <w:rsid w:val="00FA00A3"/>
    <w:rsid w:val="00FA0B53"/>
    <w:rsid w:val="00FA10CA"/>
    <w:rsid w:val="00FA16A0"/>
    <w:rsid w:val="00FA1CF1"/>
    <w:rsid w:val="00FA1DD7"/>
    <w:rsid w:val="00FA1E7D"/>
    <w:rsid w:val="00FA2246"/>
    <w:rsid w:val="00FA22CD"/>
    <w:rsid w:val="00FA2743"/>
    <w:rsid w:val="00FA3DF2"/>
    <w:rsid w:val="00FA43E5"/>
    <w:rsid w:val="00FA482A"/>
    <w:rsid w:val="00FA4C45"/>
    <w:rsid w:val="00FA53A5"/>
    <w:rsid w:val="00FA6A97"/>
    <w:rsid w:val="00FA793F"/>
    <w:rsid w:val="00FA7B03"/>
    <w:rsid w:val="00FB0278"/>
    <w:rsid w:val="00FB146A"/>
    <w:rsid w:val="00FB1DF9"/>
    <w:rsid w:val="00FB1FFA"/>
    <w:rsid w:val="00FB30A8"/>
    <w:rsid w:val="00FB3243"/>
    <w:rsid w:val="00FB39A2"/>
    <w:rsid w:val="00FB5169"/>
    <w:rsid w:val="00FB536D"/>
    <w:rsid w:val="00FB5442"/>
    <w:rsid w:val="00FB5A59"/>
    <w:rsid w:val="00FB63D1"/>
    <w:rsid w:val="00FB6D2F"/>
    <w:rsid w:val="00FB783B"/>
    <w:rsid w:val="00FB7A1B"/>
    <w:rsid w:val="00FB7A2D"/>
    <w:rsid w:val="00FB7AF6"/>
    <w:rsid w:val="00FB7F8D"/>
    <w:rsid w:val="00FC0437"/>
    <w:rsid w:val="00FC0963"/>
    <w:rsid w:val="00FC0DB9"/>
    <w:rsid w:val="00FC1F7D"/>
    <w:rsid w:val="00FC32C6"/>
    <w:rsid w:val="00FC333B"/>
    <w:rsid w:val="00FC401C"/>
    <w:rsid w:val="00FC49D1"/>
    <w:rsid w:val="00FC4AA2"/>
    <w:rsid w:val="00FC5F62"/>
    <w:rsid w:val="00FC6B5E"/>
    <w:rsid w:val="00FC740D"/>
    <w:rsid w:val="00FD08C5"/>
    <w:rsid w:val="00FD0912"/>
    <w:rsid w:val="00FD1095"/>
    <w:rsid w:val="00FD1350"/>
    <w:rsid w:val="00FD19F1"/>
    <w:rsid w:val="00FD2F4F"/>
    <w:rsid w:val="00FD316E"/>
    <w:rsid w:val="00FD31F1"/>
    <w:rsid w:val="00FD39CD"/>
    <w:rsid w:val="00FD3F48"/>
    <w:rsid w:val="00FD4035"/>
    <w:rsid w:val="00FD475B"/>
    <w:rsid w:val="00FD4A92"/>
    <w:rsid w:val="00FD5178"/>
    <w:rsid w:val="00FD5D94"/>
    <w:rsid w:val="00FD6438"/>
    <w:rsid w:val="00FD644D"/>
    <w:rsid w:val="00FD6470"/>
    <w:rsid w:val="00FD7196"/>
    <w:rsid w:val="00FD7270"/>
    <w:rsid w:val="00FD79A6"/>
    <w:rsid w:val="00FE1F4B"/>
    <w:rsid w:val="00FE2A28"/>
    <w:rsid w:val="00FE3166"/>
    <w:rsid w:val="00FE3795"/>
    <w:rsid w:val="00FE3AEB"/>
    <w:rsid w:val="00FE3BB4"/>
    <w:rsid w:val="00FE4033"/>
    <w:rsid w:val="00FE4B41"/>
    <w:rsid w:val="00FE5317"/>
    <w:rsid w:val="00FE60A0"/>
    <w:rsid w:val="00FE652F"/>
    <w:rsid w:val="00FE66D0"/>
    <w:rsid w:val="00FE672B"/>
    <w:rsid w:val="00FE67D7"/>
    <w:rsid w:val="00FE67E8"/>
    <w:rsid w:val="00FE7CE5"/>
    <w:rsid w:val="00FE7DBF"/>
    <w:rsid w:val="00FF029B"/>
    <w:rsid w:val="00FF0EB6"/>
    <w:rsid w:val="00FF1099"/>
    <w:rsid w:val="00FF1168"/>
    <w:rsid w:val="00FF16AD"/>
    <w:rsid w:val="00FF1762"/>
    <w:rsid w:val="00FF1AE7"/>
    <w:rsid w:val="00FF1CBC"/>
    <w:rsid w:val="00FF28F1"/>
    <w:rsid w:val="00FF29EF"/>
    <w:rsid w:val="00FF2ACE"/>
    <w:rsid w:val="00FF2D45"/>
    <w:rsid w:val="00FF312D"/>
    <w:rsid w:val="00FF32AF"/>
    <w:rsid w:val="00FF3821"/>
    <w:rsid w:val="00FF3E2D"/>
    <w:rsid w:val="00FF408D"/>
    <w:rsid w:val="00FF547F"/>
    <w:rsid w:val="00FF5DEC"/>
    <w:rsid w:val="00FF6063"/>
    <w:rsid w:val="00FF6855"/>
    <w:rsid w:val="00FF698D"/>
    <w:rsid w:val="00FF6D0A"/>
    <w:rsid w:val="00FF6F91"/>
    <w:rsid w:val="00FF7A6A"/>
    <w:rsid w:val="01035DC3"/>
    <w:rsid w:val="011164C1"/>
    <w:rsid w:val="0112782B"/>
    <w:rsid w:val="01A71FD9"/>
    <w:rsid w:val="023C1568"/>
    <w:rsid w:val="02D42530"/>
    <w:rsid w:val="030E3DDA"/>
    <w:rsid w:val="033F1886"/>
    <w:rsid w:val="06DE209B"/>
    <w:rsid w:val="073262BE"/>
    <w:rsid w:val="084028C1"/>
    <w:rsid w:val="09155998"/>
    <w:rsid w:val="09573AC5"/>
    <w:rsid w:val="099F0435"/>
    <w:rsid w:val="09CD7BC5"/>
    <w:rsid w:val="0A7713FF"/>
    <w:rsid w:val="0A876DAF"/>
    <w:rsid w:val="0AB62AA8"/>
    <w:rsid w:val="0B9171DD"/>
    <w:rsid w:val="0C112128"/>
    <w:rsid w:val="0C522DE4"/>
    <w:rsid w:val="0D48115C"/>
    <w:rsid w:val="0D897534"/>
    <w:rsid w:val="0E96044A"/>
    <w:rsid w:val="0E9656DB"/>
    <w:rsid w:val="0EB3399E"/>
    <w:rsid w:val="0EEF060E"/>
    <w:rsid w:val="0F531D3C"/>
    <w:rsid w:val="0F827520"/>
    <w:rsid w:val="107418B9"/>
    <w:rsid w:val="130A371E"/>
    <w:rsid w:val="137F63B4"/>
    <w:rsid w:val="139E5156"/>
    <w:rsid w:val="13A0629D"/>
    <w:rsid w:val="14427B52"/>
    <w:rsid w:val="14EF1322"/>
    <w:rsid w:val="15674B89"/>
    <w:rsid w:val="1655593B"/>
    <w:rsid w:val="170D7328"/>
    <w:rsid w:val="182E592B"/>
    <w:rsid w:val="196045DC"/>
    <w:rsid w:val="1A104801"/>
    <w:rsid w:val="1A41695D"/>
    <w:rsid w:val="1A9E0A02"/>
    <w:rsid w:val="1B597345"/>
    <w:rsid w:val="1C047F26"/>
    <w:rsid w:val="1C5B0F64"/>
    <w:rsid w:val="1D3C46B5"/>
    <w:rsid w:val="1D5320E8"/>
    <w:rsid w:val="1E376E2C"/>
    <w:rsid w:val="1EBD2E56"/>
    <w:rsid w:val="1F3E1138"/>
    <w:rsid w:val="1F4A48CC"/>
    <w:rsid w:val="1F5C4098"/>
    <w:rsid w:val="1F8D368F"/>
    <w:rsid w:val="1FA22723"/>
    <w:rsid w:val="201A7212"/>
    <w:rsid w:val="201E5397"/>
    <w:rsid w:val="20325D69"/>
    <w:rsid w:val="20672C08"/>
    <w:rsid w:val="21423675"/>
    <w:rsid w:val="21BB1760"/>
    <w:rsid w:val="222E47BD"/>
    <w:rsid w:val="224F1E54"/>
    <w:rsid w:val="2351194D"/>
    <w:rsid w:val="24410784"/>
    <w:rsid w:val="247914A6"/>
    <w:rsid w:val="251E5D4C"/>
    <w:rsid w:val="25B15122"/>
    <w:rsid w:val="25B6518D"/>
    <w:rsid w:val="25BF25C0"/>
    <w:rsid w:val="266704AA"/>
    <w:rsid w:val="269144D8"/>
    <w:rsid w:val="28132F8E"/>
    <w:rsid w:val="28A94044"/>
    <w:rsid w:val="298D3818"/>
    <w:rsid w:val="2A2D247C"/>
    <w:rsid w:val="2A6549D8"/>
    <w:rsid w:val="2ADB571C"/>
    <w:rsid w:val="2C945335"/>
    <w:rsid w:val="2D0B7CA3"/>
    <w:rsid w:val="2D536238"/>
    <w:rsid w:val="2E46732E"/>
    <w:rsid w:val="2E9C3BB2"/>
    <w:rsid w:val="3087551D"/>
    <w:rsid w:val="3148438F"/>
    <w:rsid w:val="32562ADC"/>
    <w:rsid w:val="328747D5"/>
    <w:rsid w:val="32941C57"/>
    <w:rsid w:val="3321532A"/>
    <w:rsid w:val="33305714"/>
    <w:rsid w:val="33D46758"/>
    <w:rsid w:val="35883AD8"/>
    <w:rsid w:val="37981590"/>
    <w:rsid w:val="37B415EA"/>
    <w:rsid w:val="38D854A0"/>
    <w:rsid w:val="3BF11963"/>
    <w:rsid w:val="3C1E0EE9"/>
    <w:rsid w:val="3CA21EA8"/>
    <w:rsid w:val="3D8B0466"/>
    <w:rsid w:val="3E297C95"/>
    <w:rsid w:val="3E8C1FCF"/>
    <w:rsid w:val="3F51577A"/>
    <w:rsid w:val="40E06574"/>
    <w:rsid w:val="410240EC"/>
    <w:rsid w:val="41207E31"/>
    <w:rsid w:val="416200AE"/>
    <w:rsid w:val="42844117"/>
    <w:rsid w:val="432F0696"/>
    <w:rsid w:val="438D2007"/>
    <w:rsid w:val="43AD15B6"/>
    <w:rsid w:val="448939AB"/>
    <w:rsid w:val="46244F73"/>
    <w:rsid w:val="47C1088D"/>
    <w:rsid w:val="48673436"/>
    <w:rsid w:val="48C75639"/>
    <w:rsid w:val="492054FE"/>
    <w:rsid w:val="49665FA1"/>
    <w:rsid w:val="49B321F5"/>
    <w:rsid w:val="49D840AA"/>
    <w:rsid w:val="4AED6D1A"/>
    <w:rsid w:val="4B4D4B7B"/>
    <w:rsid w:val="4B5736F5"/>
    <w:rsid w:val="4B78281F"/>
    <w:rsid w:val="4CD75F98"/>
    <w:rsid w:val="4E10608B"/>
    <w:rsid w:val="4E261535"/>
    <w:rsid w:val="4E3D5800"/>
    <w:rsid w:val="4FEC05E2"/>
    <w:rsid w:val="50B912F4"/>
    <w:rsid w:val="50FC6F9E"/>
    <w:rsid w:val="5121410F"/>
    <w:rsid w:val="51FC5940"/>
    <w:rsid w:val="52764195"/>
    <w:rsid w:val="53161525"/>
    <w:rsid w:val="53822F21"/>
    <w:rsid w:val="56A9421F"/>
    <w:rsid w:val="56F57E3E"/>
    <w:rsid w:val="570131BA"/>
    <w:rsid w:val="57AF6C74"/>
    <w:rsid w:val="57DF27B2"/>
    <w:rsid w:val="59113C49"/>
    <w:rsid w:val="59223DB2"/>
    <w:rsid w:val="5B91171A"/>
    <w:rsid w:val="5C192DFD"/>
    <w:rsid w:val="5C734AF4"/>
    <w:rsid w:val="5D555CF6"/>
    <w:rsid w:val="5D8C56AA"/>
    <w:rsid w:val="5DC43ACD"/>
    <w:rsid w:val="61183586"/>
    <w:rsid w:val="626F711E"/>
    <w:rsid w:val="62BC0958"/>
    <w:rsid w:val="636D6E2F"/>
    <w:rsid w:val="643524C7"/>
    <w:rsid w:val="664F3193"/>
    <w:rsid w:val="667D2BB4"/>
    <w:rsid w:val="689D60D5"/>
    <w:rsid w:val="68D6057F"/>
    <w:rsid w:val="69094C1F"/>
    <w:rsid w:val="69437DC6"/>
    <w:rsid w:val="6AFD6F21"/>
    <w:rsid w:val="6B5612A5"/>
    <w:rsid w:val="6B586327"/>
    <w:rsid w:val="6BA164BD"/>
    <w:rsid w:val="6CFC41A6"/>
    <w:rsid w:val="6D891A2B"/>
    <w:rsid w:val="6F356094"/>
    <w:rsid w:val="6FAE1B60"/>
    <w:rsid w:val="70142FE0"/>
    <w:rsid w:val="71A53C0B"/>
    <w:rsid w:val="723D7485"/>
    <w:rsid w:val="72843CB3"/>
    <w:rsid w:val="73C17D49"/>
    <w:rsid w:val="742C4E6F"/>
    <w:rsid w:val="7587108F"/>
    <w:rsid w:val="76487991"/>
    <w:rsid w:val="76A6312F"/>
    <w:rsid w:val="76BD6D35"/>
    <w:rsid w:val="76C42FF8"/>
    <w:rsid w:val="76DF32F4"/>
    <w:rsid w:val="773D55E5"/>
    <w:rsid w:val="79B0603F"/>
    <w:rsid w:val="7B88750B"/>
    <w:rsid w:val="7BCE7961"/>
    <w:rsid w:val="7BFF178C"/>
    <w:rsid w:val="7E985DDD"/>
    <w:rsid w:val="7EBE4FAE"/>
    <w:rsid w:val="7F0F18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0" w:semiHidden="0" w:name="heading 5"/>
    <w:lsdException w:qFormat="1" w:unhideWhenUsed="0" w:uiPriority="9" w:semiHidden="0" w:name="heading 6"/>
    <w:lsdException w:qFormat="1" w:unhideWhenUsed="0" w:uiPriority="0" w:semiHidden="0" w:name="heading 7"/>
    <w:lsdException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name="footnote text"/>
    <w:lsdException w:qFormat="1" w:uiPriority="0" w:semiHidden="0" w:name="annotation text"/>
    <w:lsdException w:qFormat="1" w:uiPriority="0" w:semiHidden="0" w:name="header"/>
    <w:lsdException w:qFormat="1" w:uiPriority="0" w:semiHidden="0" w:name="footer"/>
    <w:lsdException w:uiPriority="99" w:name="index heading"/>
    <w:lsdException w:qFormat="1" w:unhideWhenUsed="0" w:uiPriority="0" w:semiHidden="0" w:name="caption"/>
    <w:lsdException w:qFormat="1" w:unhideWhenUsed="0" w:uiPriority="0" w:name="table of figures"/>
    <w:lsdException w:uiPriority="99" w:name="envelope address"/>
    <w:lsdException w:uiPriority="99" w:name="envelope return"/>
    <w:lsdException w:qFormat="1" w:uiPriority="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qFormat="1" w:unhideWhenUsed="0" w:uiPriority="0" w:semiHidden="0" w:name="table of authorities"/>
    <w:lsdException w:uiPriority="99" w:name="macro"/>
    <w:lsdException w:qFormat="1" w:unhideWhenUsed="0" w:uiPriority="0" w:semiHidden="0" w:name="toa heading"/>
    <w:lsdException w:qFormat="1" w:unhideWhenUsed="0" w:uiPriority="0" w:semiHidden="0" w:name="List"/>
    <w:lsdException w:uiPriority="99" w:name="List Bullet"/>
    <w:lsdException w:uiPriority="99" w:name="List Number"/>
    <w:lsdException w:qFormat="1" w:unhideWhenUsed="0" w:uiPriority="0" w:semiHidden="0" w:name="List 2"/>
    <w:lsdException w:qFormat="1" w:unhideWhenUsed="0" w:uiPriority="0" w:semiHidden="0" w:name="List 3"/>
    <w:lsdException w:uiPriority="99" w:name="List 4"/>
    <w:lsdException w:uiPriority="99" w:name="List 5"/>
    <w:lsdException w:uiPriority="99" w:name="List Bullet 2"/>
    <w:lsdException w:qFormat="1" w:unhideWhenUsed="0" w:uiPriority="0" w:semiHidden="0" w:name="List Bullet 3"/>
    <w:lsdException w:uiPriority="99" w:name="List Bullet 4"/>
    <w:lsdException w:uiPriority="99" w:name="List Bullet 5"/>
    <w:lsdException w:uiPriority="99" w:name="List Number 2"/>
    <w:lsdException w:uiPriority="99" w:name="List Number 3"/>
    <w:lsdException w:uiPriority="99" w:name="List Number 4"/>
    <w:lsdException w:qFormat="1" w:unhideWhenUsed="0" w:uiPriority="0" w:semiHidden="0"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qFormat="1" w:unhideWhenUsed="0" w:uiPriority="0" w:semiHidden="0" w:name="Salutation"/>
    <w:lsdException w:qFormat="1" w:uiPriority="0" w:semiHidden="0" w:name="Date"/>
    <w:lsdException w:qFormat="1" w:unhideWhenUsed="0" w:uiPriority="0" w:semiHidden="0" w:name="Body Text First Indent"/>
    <w:lsdException w:qFormat="1"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0" w:semiHidden="0" w:name="Document Map"/>
    <w:lsdException w:qFormat="1"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qFormat="1" w:unhideWhenUsed="0" w:uiPriority="0" w:semiHidden="0"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qFormat="1"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qFormat="1" w:unhideWhenUsed="0" w:uiPriority="0" w:semiHidden="0" w:name="Table Theme"/>
    <w:lsdException w:qFormat="1" w:unhideWhenUsed="0" w:uiPriority="99" w:name="Placeholder Text"/>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2">
    <w:name w:val="heading 1"/>
    <w:next w:val="1"/>
    <w:link w:val="67"/>
    <w:qFormat/>
    <w:uiPriority w:val="0"/>
    <w:pPr>
      <w:keepNext/>
      <w:keepLines/>
      <w:numPr>
        <w:ilvl w:val="0"/>
        <w:numId w:val="1"/>
      </w:numPr>
      <w:adjustRightInd w:val="0"/>
      <w:snapToGrid w:val="0"/>
      <w:spacing w:before="340" w:after="330" w:line="360" w:lineRule="auto"/>
      <w:ind w:left="0"/>
      <w:jc w:val="center"/>
      <w:outlineLvl w:val="0"/>
    </w:pPr>
    <w:rPr>
      <w:rFonts w:ascii="Times New Roman" w:hAnsi="Times New Roman" w:eastAsia="黑体" w:cs="Times New Roman"/>
      <w:bCs/>
      <w:kern w:val="44"/>
      <w:sz w:val="32"/>
      <w:szCs w:val="44"/>
      <w:lang w:val="en-US" w:eastAsia="en-US" w:bidi="ar-SA"/>
    </w:rPr>
  </w:style>
  <w:style w:type="paragraph" w:styleId="3">
    <w:name w:val="heading 2"/>
    <w:basedOn w:val="1"/>
    <w:next w:val="1"/>
    <w:link w:val="66"/>
    <w:unhideWhenUsed/>
    <w:qFormat/>
    <w:uiPriority w:val="0"/>
    <w:pPr>
      <w:keepNext/>
      <w:keepLines/>
      <w:numPr>
        <w:ilvl w:val="1"/>
        <w:numId w:val="1"/>
      </w:numPr>
      <w:adjustRightInd w:val="0"/>
      <w:snapToGrid w:val="0"/>
      <w:spacing w:line="360" w:lineRule="auto"/>
      <w:outlineLvl w:val="1"/>
    </w:pPr>
    <w:rPr>
      <w:rFonts w:ascii="Times New Roman" w:hAnsi="Times New Roman" w:eastAsia="黑体" w:cs="Times New Roman"/>
      <w:bCs/>
      <w:sz w:val="28"/>
      <w:szCs w:val="32"/>
      <w:lang w:val="en-US" w:eastAsia="en-US" w:bidi="ar-SA"/>
    </w:rPr>
  </w:style>
  <w:style w:type="paragraph" w:styleId="4">
    <w:name w:val="heading 3"/>
    <w:basedOn w:val="1"/>
    <w:next w:val="1"/>
    <w:link w:val="68"/>
    <w:unhideWhenUsed/>
    <w:qFormat/>
    <w:uiPriority w:val="0"/>
    <w:pPr>
      <w:keepNext/>
      <w:keepLines/>
      <w:numPr>
        <w:ilvl w:val="2"/>
        <w:numId w:val="1"/>
      </w:numPr>
      <w:adjustRightInd w:val="0"/>
      <w:snapToGrid w:val="0"/>
      <w:spacing w:before="50" w:beforeLines="50" w:line="360" w:lineRule="auto"/>
      <w:ind w:left="0"/>
      <w:outlineLvl w:val="2"/>
    </w:pPr>
    <w:rPr>
      <w:rFonts w:ascii="Times New Roman" w:hAnsi="Times New Roman" w:eastAsia="黑体" w:cs="Times New Roman"/>
      <w:bCs/>
      <w:sz w:val="24"/>
      <w:szCs w:val="32"/>
      <w:lang w:val="en-US" w:eastAsia="en-US" w:bidi="ar-SA"/>
    </w:rPr>
  </w:style>
  <w:style w:type="paragraph" w:styleId="5">
    <w:name w:val="heading 4"/>
    <w:basedOn w:val="1"/>
    <w:next w:val="1"/>
    <w:link w:val="69"/>
    <w:qFormat/>
    <w:uiPriority w:val="0"/>
    <w:pPr>
      <w:keepNext/>
      <w:keepLines/>
      <w:numPr>
        <w:ilvl w:val="3"/>
        <w:numId w:val="1"/>
      </w:numPr>
      <w:spacing w:before="50" w:beforeLines="50"/>
      <w:ind w:left="0" w:firstLine="200"/>
      <w:outlineLvl w:val="3"/>
    </w:pPr>
    <w:rPr>
      <w:rFonts w:eastAsia="黑体" w:cs="Times New Roman"/>
      <w:bCs/>
      <w:szCs w:val="24"/>
    </w:rPr>
  </w:style>
  <w:style w:type="paragraph" w:styleId="6">
    <w:name w:val="heading 5"/>
    <w:basedOn w:val="1"/>
    <w:next w:val="1"/>
    <w:link w:val="70"/>
    <w:unhideWhenUsed/>
    <w:qFormat/>
    <w:uiPriority w:val="0"/>
    <w:pPr>
      <w:keepNext/>
      <w:keepLines/>
      <w:widowControl/>
      <w:spacing w:before="280" w:after="290" w:line="376" w:lineRule="auto"/>
      <w:jc w:val="left"/>
      <w:outlineLvl w:val="4"/>
    </w:pPr>
    <w:rPr>
      <w:rFonts w:ascii="Calibri" w:hAnsi="Calibri" w:cs="Times New Roman"/>
      <w:b/>
      <w:bCs/>
      <w:kern w:val="0"/>
      <w:sz w:val="28"/>
      <w:szCs w:val="28"/>
      <w:lang w:eastAsia="en-US"/>
    </w:rPr>
  </w:style>
  <w:style w:type="paragraph" w:styleId="7">
    <w:name w:val="heading 6"/>
    <w:basedOn w:val="1"/>
    <w:next w:val="1"/>
    <w:link w:val="71"/>
    <w:qFormat/>
    <w:uiPriority w:val="9"/>
    <w:pPr>
      <w:ind w:left="740"/>
      <w:outlineLvl w:val="5"/>
    </w:pPr>
    <w:rPr>
      <w:rFonts w:ascii="宋体" w:hAnsi="宋体" w:cs="宋体"/>
      <w:b/>
      <w:bCs/>
      <w:szCs w:val="24"/>
      <w:lang w:val="zh-CN" w:bidi="zh-CN"/>
    </w:rPr>
  </w:style>
  <w:style w:type="paragraph" w:styleId="8">
    <w:name w:val="heading 7"/>
    <w:basedOn w:val="1"/>
    <w:next w:val="1"/>
    <w:link w:val="297"/>
    <w:qFormat/>
    <w:uiPriority w:val="0"/>
    <w:pPr>
      <w:keepNext/>
      <w:keepLines/>
      <w:spacing w:before="240" w:after="64" w:line="319" w:lineRule="auto"/>
      <w:outlineLvl w:val="6"/>
    </w:pPr>
    <w:rPr>
      <w:rFonts w:cs="Times New Roman"/>
      <w:b/>
      <w:bCs/>
      <w:szCs w:val="24"/>
    </w:rPr>
  </w:style>
  <w:style w:type="character" w:default="1" w:styleId="57">
    <w:name w:val="Default Paragraph Font"/>
    <w:semiHidden/>
    <w:unhideWhenUsed/>
    <w:qFormat/>
    <w:uiPriority w:val="1"/>
  </w:style>
  <w:style w:type="table" w:default="1" w:styleId="52">
    <w:name w:val="Normal Table"/>
    <w:semiHidden/>
    <w:unhideWhenUsed/>
    <w:qFormat/>
    <w:uiPriority w:val="99"/>
    <w:tblPr>
      <w:tblCellMar>
        <w:top w:w="0" w:type="dxa"/>
        <w:left w:w="108" w:type="dxa"/>
        <w:bottom w:w="0" w:type="dxa"/>
        <w:right w:w="108" w:type="dxa"/>
      </w:tblCellMar>
    </w:tblPr>
  </w:style>
  <w:style w:type="paragraph" w:styleId="9">
    <w:name w:val="List 3"/>
    <w:basedOn w:val="1"/>
    <w:next w:val="1"/>
    <w:qFormat/>
    <w:uiPriority w:val="0"/>
    <w:pPr>
      <w:autoSpaceDE w:val="0"/>
      <w:autoSpaceDN w:val="0"/>
      <w:spacing w:line="288" w:lineRule="auto"/>
      <w:ind w:left="1260" w:hanging="420"/>
      <w:textAlignment w:val="baseline"/>
    </w:pPr>
    <w:rPr>
      <w:rFonts w:ascii="Calibri" w:hAnsi="Calibri" w:eastAsia="仿宋" w:cs="宋体"/>
      <w:szCs w:val="20"/>
    </w:rPr>
  </w:style>
  <w:style w:type="paragraph" w:styleId="10">
    <w:name w:val="toc 7"/>
    <w:basedOn w:val="1"/>
    <w:next w:val="1"/>
    <w:unhideWhenUsed/>
    <w:qFormat/>
    <w:uiPriority w:val="39"/>
    <w:pPr>
      <w:ind w:left="2520" w:leftChars="1200"/>
    </w:pPr>
    <w:rPr>
      <w:rFonts w:ascii="等线" w:hAnsi="等线" w:eastAsia="等线" w:cs="Times New Roman"/>
    </w:rPr>
  </w:style>
  <w:style w:type="paragraph" w:styleId="11">
    <w:name w:val="table of authorities"/>
    <w:basedOn w:val="1"/>
    <w:next w:val="1"/>
    <w:qFormat/>
    <w:uiPriority w:val="0"/>
    <w:pPr>
      <w:ind w:left="420" w:leftChars="200"/>
    </w:pPr>
    <w:rPr>
      <w:rFonts w:cs="Times New Roman"/>
      <w:szCs w:val="24"/>
    </w:rPr>
  </w:style>
  <w:style w:type="paragraph" w:styleId="12">
    <w:name w:val="Note Heading"/>
    <w:basedOn w:val="1"/>
    <w:next w:val="1"/>
    <w:link w:val="298"/>
    <w:qFormat/>
    <w:uiPriority w:val="0"/>
    <w:pPr>
      <w:jc w:val="center"/>
    </w:pPr>
    <w:rPr>
      <w:rFonts w:cs="Times New Roman"/>
      <w:sz w:val="30"/>
      <w:szCs w:val="20"/>
    </w:rPr>
  </w:style>
  <w:style w:type="paragraph" w:styleId="13">
    <w:name w:val="Normal Indent"/>
    <w:basedOn w:val="1"/>
    <w:link w:val="72"/>
    <w:qFormat/>
    <w:uiPriority w:val="0"/>
    <w:pPr>
      <w:ind w:firstLine="420"/>
    </w:pPr>
    <w:rPr>
      <w:rFonts w:cs="Times New Roman"/>
      <w:szCs w:val="24"/>
    </w:rPr>
  </w:style>
  <w:style w:type="paragraph" w:styleId="14">
    <w:name w:val="caption"/>
    <w:basedOn w:val="1"/>
    <w:next w:val="1"/>
    <w:link w:val="73"/>
    <w:qFormat/>
    <w:uiPriority w:val="0"/>
    <w:pPr>
      <w:jc w:val="center"/>
    </w:pPr>
    <w:rPr>
      <w:rFonts w:ascii="Calibri" w:hAnsi="Calibri" w:cs="Times New Roman"/>
      <w:szCs w:val="24"/>
    </w:rPr>
  </w:style>
  <w:style w:type="paragraph" w:styleId="15">
    <w:name w:val="Document Map"/>
    <w:basedOn w:val="1"/>
    <w:link w:val="74"/>
    <w:unhideWhenUsed/>
    <w:qFormat/>
    <w:uiPriority w:val="0"/>
    <w:pPr>
      <w:widowControl/>
      <w:jc w:val="left"/>
    </w:pPr>
    <w:rPr>
      <w:rFonts w:ascii="宋体" w:hAnsi="Calibri" w:cs="Times New Roman"/>
      <w:kern w:val="0"/>
      <w:sz w:val="18"/>
      <w:szCs w:val="18"/>
      <w:lang w:eastAsia="en-US"/>
    </w:rPr>
  </w:style>
  <w:style w:type="paragraph" w:styleId="16">
    <w:name w:val="toa heading"/>
    <w:basedOn w:val="1"/>
    <w:next w:val="1"/>
    <w:qFormat/>
    <w:uiPriority w:val="0"/>
    <w:pPr>
      <w:spacing w:before="120"/>
    </w:pPr>
    <w:rPr>
      <w:rFonts w:ascii="Arial" w:hAnsi="Arial" w:cs="Arial"/>
      <w:szCs w:val="24"/>
    </w:rPr>
  </w:style>
  <w:style w:type="paragraph" w:styleId="17">
    <w:name w:val="annotation text"/>
    <w:basedOn w:val="1"/>
    <w:link w:val="75"/>
    <w:unhideWhenUsed/>
    <w:qFormat/>
    <w:uiPriority w:val="0"/>
    <w:pPr>
      <w:widowControl/>
      <w:jc w:val="left"/>
    </w:pPr>
    <w:rPr>
      <w:rFonts w:ascii="Calibri" w:hAnsi="Calibri" w:cs="Times New Roman"/>
      <w:kern w:val="0"/>
      <w:sz w:val="22"/>
      <w:lang w:eastAsia="en-US"/>
    </w:rPr>
  </w:style>
  <w:style w:type="paragraph" w:styleId="18">
    <w:name w:val="Salutation"/>
    <w:basedOn w:val="1"/>
    <w:next w:val="1"/>
    <w:link w:val="563"/>
    <w:qFormat/>
    <w:uiPriority w:val="0"/>
    <w:pPr>
      <w:widowControl/>
      <w:spacing w:line="300" w:lineRule="auto"/>
      <w:jc w:val="left"/>
      <w:textAlignment w:val="baseline"/>
    </w:pPr>
    <w:rPr>
      <w:rFonts w:ascii="宋体" w:cs="Times New Roman"/>
      <w:sz w:val="28"/>
      <w:szCs w:val="28"/>
    </w:rPr>
  </w:style>
  <w:style w:type="paragraph" w:styleId="19">
    <w:name w:val="Body Text 3"/>
    <w:basedOn w:val="1"/>
    <w:link w:val="76"/>
    <w:qFormat/>
    <w:uiPriority w:val="0"/>
    <w:pPr>
      <w:spacing w:after="120"/>
    </w:pPr>
    <w:rPr>
      <w:rFonts w:cs="Times New Roman"/>
      <w:sz w:val="16"/>
      <w:szCs w:val="16"/>
    </w:rPr>
  </w:style>
  <w:style w:type="paragraph" w:styleId="20">
    <w:name w:val="List Bullet 3"/>
    <w:basedOn w:val="1"/>
    <w:qFormat/>
    <w:uiPriority w:val="0"/>
    <w:pPr>
      <w:tabs>
        <w:tab w:val="left" w:pos="1280"/>
      </w:tabs>
      <w:ind w:left="1280" w:hanging="720"/>
    </w:pPr>
    <w:rPr>
      <w:rFonts w:cs="Times New Roman"/>
      <w:szCs w:val="20"/>
    </w:rPr>
  </w:style>
  <w:style w:type="paragraph" w:styleId="21">
    <w:name w:val="Body Text"/>
    <w:basedOn w:val="1"/>
    <w:link w:val="77"/>
    <w:qFormat/>
    <w:uiPriority w:val="0"/>
    <w:pPr>
      <w:widowControl/>
      <w:spacing w:before="35"/>
      <w:ind w:left="138"/>
      <w:jc w:val="left"/>
    </w:pPr>
    <w:rPr>
      <w:rFonts w:ascii="宋体" w:hAnsi="宋体" w:cs="Times New Roman"/>
      <w:kern w:val="0"/>
      <w:szCs w:val="24"/>
      <w:lang w:eastAsia="en-US"/>
    </w:rPr>
  </w:style>
  <w:style w:type="paragraph" w:styleId="22">
    <w:name w:val="Body Text Indent"/>
    <w:basedOn w:val="1"/>
    <w:link w:val="78"/>
    <w:unhideWhenUsed/>
    <w:qFormat/>
    <w:uiPriority w:val="0"/>
    <w:pPr>
      <w:widowControl/>
      <w:spacing w:after="120"/>
      <w:ind w:left="420" w:leftChars="200"/>
      <w:jc w:val="left"/>
    </w:pPr>
    <w:rPr>
      <w:rFonts w:ascii="Calibri" w:hAnsi="Calibri" w:cs="Times New Roman"/>
      <w:kern w:val="0"/>
      <w:sz w:val="22"/>
      <w:lang w:eastAsia="en-US"/>
    </w:rPr>
  </w:style>
  <w:style w:type="paragraph" w:styleId="23">
    <w:name w:val="List 2"/>
    <w:basedOn w:val="1"/>
    <w:qFormat/>
    <w:uiPriority w:val="0"/>
    <w:pPr>
      <w:ind w:left="840" w:hanging="420"/>
    </w:pPr>
    <w:rPr>
      <w:rFonts w:cs="Times New Roman"/>
      <w:sz w:val="26"/>
      <w:szCs w:val="20"/>
    </w:rPr>
  </w:style>
  <w:style w:type="paragraph" w:styleId="24">
    <w:name w:val="Block Text"/>
    <w:basedOn w:val="1"/>
    <w:qFormat/>
    <w:uiPriority w:val="0"/>
    <w:pPr>
      <w:ind w:left="718" w:leftChars="342" w:right="680" w:rightChars="324"/>
    </w:pPr>
    <w:rPr>
      <w:rFonts w:ascii="宋体" w:hAnsi="宋体" w:cs="Times New Roman"/>
      <w:szCs w:val="24"/>
    </w:rPr>
  </w:style>
  <w:style w:type="paragraph" w:styleId="25">
    <w:name w:val="toc 5"/>
    <w:basedOn w:val="1"/>
    <w:next w:val="1"/>
    <w:unhideWhenUsed/>
    <w:qFormat/>
    <w:uiPriority w:val="39"/>
    <w:pPr>
      <w:ind w:left="1680" w:leftChars="800"/>
    </w:pPr>
    <w:rPr>
      <w:rFonts w:ascii="等线" w:hAnsi="等线" w:eastAsia="等线" w:cs="Times New Roman"/>
    </w:rPr>
  </w:style>
  <w:style w:type="paragraph" w:styleId="26">
    <w:name w:val="toc 3"/>
    <w:basedOn w:val="1"/>
    <w:next w:val="1"/>
    <w:unhideWhenUsed/>
    <w:qFormat/>
    <w:uiPriority w:val="39"/>
    <w:pPr>
      <w:widowControl/>
      <w:ind w:left="840" w:leftChars="400"/>
      <w:jc w:val="left"/>
    </w:pPr>
    <w:rPr>
      <w:rFonts w:ascii="Calibri" w:hAnsi="Calibri" w:cs="Times New Roman"/>
      <w:kern w:val="0"/>
      <w:sz w:val="22"/>
      <w:lang w:eastAsia="en-US"/>
    </w:rPr>
  </w:style>
  <w:style w:type="paragraph" w:styleId="27">
    <w:name w:val="Plain Text"/>
    <w:basedOn w:val="1"/>
    <w:next w:val="18"/>
    <w:link w:val="79"/>
    <w:unhideWhenUsed/>
    <w:qFormat/>
    <w:uiPriority w:val="0"/>
    <w:rPr>
      <w:rFonts w:ascii="宋体" w:hAnsi="Courier New" w:cs="Times New Roman"/>
      <w:szCs w:val="20"/>
    </w:rPr>
  </w:style>
  <w:style w:type="paragraph" w:styleId="28">
    <w:name w:val="toc 8"/>
    <w:basedOn w:val="1"/>
    <w:next w:val="1"/>
    <w:unhideWhenUsed/>
    <w:qFormat/>
    <w:uiPriority w:val="39"/>
    <w:pPr>
      <w:ind w:left="2940" w:leftChars="1400"/>
    </w:pPr>
    <w:rPr>
      <w:rFonts w:ascii="等线" w:hAnsi="等线" w:eastAsia="等线" w:cs="Times New Roman"/>
    </w:rPr>
  </w:style>
  <w:style w:type="paragraph" w:styleId="29">
    <w:name w:val="Date"/>
    <w:basedOn w:val="1"/>
    <w:next w:val="1"/>
    <w:link w:val="257"/>
    <w:unhideWhenUsed/>
    <w:qFormat/>
    <w:uiPriority w:val="0"/>
    <w:pPr>
      <w:topLinePunct/>
      <w:ind w:left="100" w:leftChars="2500"/>
    </w:pPr>
    <w:rPr>
      <w:rFonts w:ascii="宋体" w:cs="宋体"/>
      <w:kern w:val="0"/>
      <w:szCs w:val="24"/>
    </w:rPr>
  </w:style>
  <w:style w:type="paragraph" w:styleId="30">
    <w:name w:val="Body Text Indent 2"/>
    <w:basedOn w:val="1"/>
    <w:link w:val="80"/>
    <w:qFormat/>
    <w:uiPriority w:val="0"/>
    <w:pPr>
      <w:spacing w:line="300" w:lineRule="auto"/>
      <w:ind w:firstLine="480"/>
    </w:pPr>
    <w:rPr>
      <w:rFonts w:ascii="仿宋体" w:eastAsia="仿宋体" w:cs="Times New Roman"/>
      <w:b/>
      <w:bCs/>
      <w:szCs w:val="24"/>
    </w:rPr>
  </w:style>
  <w:style w:type="paragraph" w:styleId="31">
    <w:name w:val="Balloon Text"/>
    <w:basedOn w:val="1"/>
    <w:link w:val="81"/>
    <w:unhideWhenUsed/>
    <w:qFormat/>
    <w:uiPriority w:val="0"/>
    <w:pPr>
      <w:widowControl/>
      <w:jc w:val="left"/>
    </w:pPr>
    <w:rPr>
      <w:rFonts w:ascii="Calibri" w:hAnsi="Calibri" w:cs="Times New Roman"/>
      <w:kern w:val="0"/>
      <w:sz w:val="18"/>
      <w:szCs w:val="18"/>
      <w:lang w:eastAsia="en-US"/>
    </w:rPr>
  </w:style>
  <w:style w:type="paragraph" w:styleId="32">
    <w:name w:val="footer"/>
    <w:basedOn w:val="1"/>
    <w:link w:val="82"/>
    <w:unhideWhenUsed/>
    <w:qFormat/>
    <w:uiPriority w:val="0"/>
    <w:pPr>
      <w:widowControl/>
      <w:tabs>
        <w:tab w:val="center" w:pos="4153"/>
        <w:tab w:val="right" w:pos="8306"/>
      </w:tabs>
      <w:spacing w:line="240" w:lineRule="auto"/>
      <w:ind w:firstLine="0" w:firstLineChars="0"/>
      <w:jc w:val="left"/>
    </w:pPr>
    <w:rPr>
      <w:rFonts w:ascii="Calibri" w:hAnsi="Calibri" w:cs="Times New Roman"/>
      <w:kern w:val="0"/>
      <w:sz w:val="18"/>
      <w:szCs w:val="18"/>
      <w:lang w:eastAsia="en-US"/>
    </w:rPr>
  </w:style>
  <w:style w:type="paragraph" w:styleId="33">
    <w:name w:val="header"/>
    <w:basedOn w:val="1"/>
    <w:link w:val="83"/>
    <w:unhideWhenUsed/>
    <w:qFormat/>
    <w:uiPriority w:val="0"/>
    <w:pPr>
      <w:widowControl/>
      <w:pBdr>
        <w:bottom w:val="single" w:color="auto" w:sz="6" w:space="1"/>
      </w:pBdr>
      <w:tabs>
        <w:tab w:val="center" w:pos="4153"/>
        <w:tab w:val="right" w:pos="8306"/>
      </w:tabs>
      <w:jc w:val="center"/>
    </w:pPr>
    <w:rPr>
      <w:rFonts w:ascii="Calibri" w:hAnsi="Calibri" w:cs="Times New Roman"/>
      <w:kern w:val="0"/>
      <w:sz w:val="18"/>
      <w:szCs w:val="18"/>
      <w:lang w:eastAsia="en-US"/>
    </w:rPr>
  </w:style>
  <w:style w:type="paragraph" w:styleId="34">
    <w:name w:val="toc 1"/>
    <w:basedOn w:val="1"/>
    <w:next w:val="1"/>
    <w:unhideWhenUsed/>
    <w:qFormat/>
    <w:uiPriority w:val="39"/>
    <w:pPr>
      <w:widowControl/>
      <w:jc w:val="left"/>
    </w:pPr>
    <w:rPr>
      <w:rFonts w:ascii="Calibri" w:hAnsi="Calibri" w:cs="Times New Roman"/>
      <w:kern w:val="0"/>
      <w:sz w:val="22"/>
      <w:lang w:eastAsia="en-US"/>
    </w:rPr>
  </w:style>
  <w:style w:type="paragraph" w:styleId="35">
    <w:name w:val="toc 4"/>
    <w:basedOn w:val="1"/>
    <w:next w:val="1"/>
    <w:unhideWhenUsed/>
    <w:qFormat/>
    <w:uiPriority w:val="39"/>
    <w:pPr>
      <w:ind w:left="1260" w:leftChars="600"/>
    </w:pPr>
    <w:rPr>
      <w:rFonts w:ascii="等线" w:hAnsi="等线" w:eastAsia="等线" w:cs="Times New Roman"/>
    </w:rPr>
  </w:style>
  <w:style w:type="paragraph" w:styleId="36">
    <w:name w:val="List Number 5"/>
    <w:basedOn w:val="1"/>
    <w:qFormat/>
    <w:uiPriority w:val="0"/>
    <w:pPr>
      <w:numPr>
        <w:ilvl w:val="0"/>
        <w:numId w:val="2"/>
      </w:numPr>
      <w:tabs>
        <w:tab w:val="left" w:pos="2040"/>
      </w:tabs>
    </w:pPr>
    <w:rPr>
      <w:rFonts w:cs="Times New Roman"/>
      <w:szCs w:val="24"/>
    </w:rPr>
  </w:style>
  <w:style w:type="paragraph" w:styleId="37">
    <w:name w:val="List"/>
    <w:basedOn w:val="1"/>
    <w:qFormat/>
    <w:uiPriority w:val="0"/>
    <w:pPr>
      <w:ind w:left="200" w:hanging="200" w:hangingChars="200"/>
    </w:pPr>
    <w:rPr>
      <w:rFonts w:cs="Times New Roman"/>
      <w:szCs w:val="24"/>
    </w:rPr>
  </w:style>
  <w:style w:type="paragraph" w:styleId="38">
    <w:name w:val="footnote text"/>
    <w:basedOn w:val="1"/>
    <w:link w:val="84"/>
    <w:semiHidden/>
    <w:qFormat/>
    <w:uiPriority w:val="0"/>
    <w:pPr>
      <w:jc w:val="left"/>
    </w:pPr>
    <w:rPr>
      <w:rFonts w:cs="Times New Roman"/>
      <w:sz w:val="18"/>
      <w:szCs w:val="18"/>
    </w:rPr>
  </w:style>
  <w:style w:type="paragraph" w:styleId="39">
    <w:name w:val="toc 6"/>
    <w:basedOn w:val="1"/>
    <w:next w:val="1"/>
    <w:unhideWhenUsed/>
    <w:qFormat/>
    <w:uiPriority w:val="39"/>
    <w:pPr>
      <w:ind w:left="2100" w:leftChars="1000"/>
    </w:pPr>
    <w:rPr>
      <w:rFonts w:ascii="等线" w:hAnsi="等线" w:eastAsia="等线" w:cs="Times New Roman"/>
    </w:rPr>
  </w:style>
  <w:style w:type="paragraph" w:styleId="40">
    <w:name w:val="Body Text Indent 3"/>
    <w:basedOn w:val="1"/>
    <w:link w:val="85"/>
    <w:qFormat/>
    <w:uiPriority w:val="0"/>
    <w:pPr>
      <w:spacing w:after="120"/>
      <w:ind w:left="420" w:leftChars="200"/>
    </w:pPr>
    <w:rPr>
      <w:rFonts w:cs="Times New Roman"/>
      <w:sz w:val="16"/>
      <w:szCs w:val="16"/>
    </w:rPr>
  </w:style>
  <w:style w:type="paragraph" w:styleId="41">
    <w:name w:val="table of figures"/>
    <w:basedOn w:val="1"/>
    <w:next w:val="1"/>
    <w:semiHidden/>
    <w:qFormat/>
    <w:uiPriority w:val="0"/>
    <w:pPr>
      <w:ind w:left="420" w:hanging="420"/>
      <w:jc w:val="left"/>
    </w:pPr>
    <w:rPr>
      <w:rFonts w:cs="Times New Roman"/>
      <w:smallCaps/>
      <w:sz w:val="20"/>
      <w:szCs w:val="20"/>
    </w:rPr>
  </w:style>
  <w:style w:type="paragraph" w:styleId="42">
    <w:name w:val="toc 2"/>
    <w:basedOn w:val="1"/>
    <w:next w:val="1"/>
    <w:unhideWhenUsed/>
    <w:qFormat/>
    <w:uiPriority w:val="39"/>
    <w:pPr>
      <w:widowControl/>
      <w:ind w:left="420" w:leftChars="200"/>
      <w:jc w:val="left"/>
    </w:pPr>
    <w:rPr>
      <w:rFonts w:ascii="Calibri" w:hAnsi="Calibri" w:cs="Times New Roman"/>
      <w:kern w:val="0"/>
      <w:sz w:val="22"/>
      <w:lang w:eastAsia="en-US"/>
    </w:rPr>
  </w:style>
  <w:style w:type="paragraph" w:styleId="43">
    <w:name w:val="toc 9"/>
    <w:basedOn w:val="1"/>
    <w:next w:val="1"/>
    <w:unhideWhenUsed/>
    <w:qFormat/>
    <w:uiPriority w:val="39"/>
    <w:pPr>
      <w:ind w:left="3360" w:leftChars="1600"/>
    </w:pPr>
    <w:rPr>
      <w:rFonts w:ascii="等线" w:hAnsi="等线" w:eastAsia="等线" w:cs="Times New Roman"/>
    </w:rPr>
  </w:style>
  <w:style w:type="paragraph" w:styleId="44">
    <w:name w:val="Body Text 2"/>
    <w:basedOn w:val="1"/>
    <w:link w:val="86"/>
    <w:qFormat/>
    <w:uiPriority w:val="0"/>
    <w:pPr>
      <w:spacing w:after="120" w:line="480" w:lineRule="auto"/>
    </w:pPr>
    <w:rPr>
      <w:rFonts w:cs="Times New Roman"/>
      <w:szCs w:val="24"/>
    </w:rPr>
  </w:style>
  <w:style w:type="paragraph" w:styleId="45">
    <w:name w:val="HTML Preformatted"/>
    <w:basedOn w:val="1"/>
    <w:link w:val="302"/>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Cs w:val="24"/>
    </w:rPr>
  </w:style>
  <w:style w:type="paragraph" w:styleId="46">
    <w:name w:val="Normal (Web)"/>
    <w:basedOn w:val="1"/>
    <w:link w:val="87"/>
    <w:qFormat/>
    <w:uiPriority w:val="99"/>
    <w:pPr>
      <w:widowControl/>
      <w:spacing w:before="100" w:beforeAutospacing="1" w:after="100" w:afterAutospacing="1"/>
      <w:jc w:val="left"/>
    </w:pPr>
    <w:rPr>
      <w:rFonts w:ascii="宋体" w:hAnsi="宋体" w:cs="Times New Roman"/>
      <w:kern w:val="0"/>
      <w:szCs w:val="24"/>
    </w:rPr>
  </w:style>
  <w:style w:type="paragraph" w:styleId="47">
    <w:name w:val="index 1"/>
    <w:basedOn w:val="1"/>
    <w:next w:val="1"/>
    <w:qFormat/>
    <w:uiPriority w:val="0"/>
    <w:pPr>
      <w:jc w:val="center"/>
    </w:pPr>
    <w:rPr>
      <w:rFonts w:cs="Times New Roman"/>
      <w:szCs w:val="24"/>
    </w:rPr>
  </w:style>
  <w:style w:type="paragraph" w:styleId="48">
    <w:name w:val="Title"/>
    <w:basedOn w:val="1"/>
    <w:link w:val="244"/>
    <w:qFormat/>
    <w:uiPriority w:val="10"/>
    <w:pPr>
      <w:spacing w:before="240" w:after="60" w:line="312" w:lineRule="atLeast"/>
      <w:jc w:val="center"/>
      <w:textAlignment w:val="baseline"/>
      <w:outlineLvl w:val="0"/>
    </w:pPr>
    <w:rPr>
      <w:rFonts w:ascii="Arial" w:hAnsi="Arial" w:cs="Times New Roman"/>
      <w:b/>
      <w:kern w:val="0"/>
      <w:sz w:val="32"/>
      <w:szCs w:val="20"/>
    </w:rPr>
  </w:style>
  <w:style w:type="paragraph" w:styleId="49">
    <w:name w:val="annotation subject"/>
    <w:basedOn w:val="17"/>
    <w:next w:val="17"/>
    <w:link w:val="88"/>
    <w:unhideWhenUsed/>
    <w:qFormat/>
    <w:uiPriority w:val="0"/>
    <w:rPr>
      <w:b/>
      <w:bCs/>
    </w:rPr>
  </w:style>
  <w:style w:type="paragraph" w:styleId="50">
    <w:name w:val="Body Text First Indent"/>
    <w:basedOn w:val="21"/>
    <w:next w:val="1"/>
    <w:link w:val="301"/>
    <w:qFormat/>
    <w:uiPriority w:val="0"/>
    <w:pPr>
      <w:widowControl w:val="0"/>
      <w:spacing w:before="0" w:after="120"/>
      <w:ind w:left="0" w:firstLine="420" w:firstLineChars="100"/>
      <w:jc w:val="both"/>
    </w:pPr>
    <w:rPr>
      <w:rFonts w:ascii="Times New Roman" w:hAnsi="Times New Roman"/>
      <w:kern w:val="2"/>
      <w:sz w:val="21"/>
      <w:lang w:eastAsia="zh-CN"/>
    </w:rPr>
  </w:style>
  <w:style w:type="paragraph" w:styleId="51">
    <w:name w:val="Body Text First Indent 2"/>
    <w:basedOn w:val="22"/>
    <w:link w:val="89"/>
    <w:unhideWhenUsed/>
    <w:qFormat/>
    <w:uiPriority w:val="0"/>
    <w:pPr>
      <w:ind w:firstLine="420"/>
    </w:pPr>
  </w:style>
  <w:style w:type="table" w:styleId="53">
    <w:name w:val="Table Grid"/>
    <w:basedOn w:val="5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4">
    <w:name w:val="Table Theme"/>
    <w:basedOn w:val="5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5">
    <w:name w:val="Table List 3"/>
    <w:basedOn w:val="52"/>
    <w:semiHidden/>
    <w:unhideWhenUsed/>
    <w:qFormat/>
    <w:uiPriority w:val="99"/>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56">
    <w:name w:val="Table Grid 5"/>
    <w:basedOn w:val="52"/>
    <w:qFormat/>
    <w:uiPriority w:val="0"/>
    <w:pPr>
      <w:widowControl w:val="0"/>
      <w:adjustRightInd w:val="0"/>
      <w:snapToGrid w:val="0"/>
      <w:spacing w:line="460" w:lineRule="exact"/>
      <w:ind w:firstLine="52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58">
    <w:name w:val="Strong"/>
    <w:basedOn w:val="57"/>
    <w:qFormat/>
    <w:uiPriority w:val="0"/>
    <w:rPr>
      <w:b/>
    </w:rPr>
  </w:style>
  <w:style w:type="character" w:styleId="59">
    <w:name w:val="page number"/>
    <w:basedOn w:val="57"/>
    <w:qFormat/>
    <w:uiPriority w:val="0"/>
  </w:style>
  <w:style w:type="character" w:styleId="60">
    <w:name w:val="FollowedHyperlink"/>
    <w:qFormat/>
    <w:uiPriority w:val="0"/>
    <w:rPr>
      <w:color w:val="800080"/>
      <w:u w:val="single"/>
    </w:rPr>
  </w:style>
  <w:style w:type="character" w:styleId="61">
    <w:name w:val="Emphasis"/>
    <w:basedOn w:val="57"/>
    <w:qFormat/>
    <w:uiPriority w:val="0"/>
    <w:rPr>
      <w:i/>
    </w:rPr>
  </w:style>
  <w:style w:type="character" w:styleId="62">
    <w:name w:val="Hyperlink"/>
    <w:basedOn w:val="57"/>
    <w:unhideWhenUsed/>
    <w:qFormat/>
    <w:uiPriority w:val="99"/>
    <w:rPr>
      <w:color w:val="0000FF"/>
      <w:u w:val="single"/>
    </w:rPr>
  </w:style>
  <w:style w:type="character" w:styleId="63">
    <w:name w:val="annotation reference"/>
    <w:unhideWhenUsed/>
    <w:qFormat/>
    <w:uiPriority w:val="0"/>
    <w:rPr>
      <w:sz w:val="21"/>
      <w:szCs w:val="21"/>
    </w:rPr>
  </w:style>
  <w:style w:type="character" w:styleId="64">
    <w:name w:val="HTML Cite"/>
    <w:qFormat/>
    <w:uiPriority w:val="0"/>
    <w:rPr>
      <w:color w:val="008000"/>
    </w:rPr>
  </w:style>
  <w:style w:type="paragraph" w:styleId="65">
    <w:name w:val="No Spacing"/>
    <w:basedOn w:val="1"/>
    <w:link w:val="165"/>
    <w:qFormat/>
    <w:uiPriority w:val="99"/>
    <w:pPr>
      <w:spacing w:line="240" w:lineRule="exact"/>
      <w:jc w:val="center"/>
    </w:pPr>
    <w:rPr>
      <w:rFonts w:eastAsia="仿宋_GB2312" w:cs="Times New Roman"/>
      <w:sz w:val="18"/>
      <w:szCs w:val="28"/>
    </w:rPr>
  </w:style>
  <w:style w:type="character" w:customStyle="1" w:styleId="66">
    <w:name w:val="标题 2 字符"/>
    <w:link w:val="3"/>
    <w:qFormat/>
    <w:uiPriority w:val="0"/>
    <w:rPr>
      <w:rFonts w:eastAsia="黑体"/>
      <w:bCs/>
      <w:sz w:val="28"/>
      <w:szCs w:val="32"/>
      <w:lang w:eastAsia="en-US"/>
    </w:rPr>
  </w:style>
  <w:style w:type="character" w:customStyle="1" w:styleId="67">
    <w:name w:val="标题 1 字符"/>
    <w:link w:val="2"/>
    <w:qFormat/>
    <w:uiPriority w:val="9"/>
    <w:rPr>
      <w:rFonts w:eastAsia="黑体"/>
      <w:bCs/>
      <w:kern w:val="44"/>
      <w:sz w:val="32"/>
      <w:szCs w:val="44"/>
      <w:lang w:eastAsia="en-US"/>
    </w:rPr>
  </w:style>
  <w:style w:type="character" w:customStyle="1" w:styleId="68">
    <w:name w:val="标题 3 字符"/>
    <w:link w:val="4"/>
    <w:qFormat/>
    <w:uiPriority w:val="0"/>
    <w:rPr>
      <w:rFonts w:eastAsia="黑体"/>
      <w:bCs/>
      <w:sz w:val="24"/>
      <w:szCs w:val="32"/>
      <w:lang w:eastAsia="en-US"/>
    </w:rPr>
  </w:style>
  <w:style w:type="character" w:customStyle="1" w:styleId="69">
    <w:name w:val="标题 4 字符"/>
    <w:basedOn w:val="57"/>
    <w:link w:val="5"/>
    <w:qFormat/>
    <w:uiPriority w:val="0"/>
    <w:rPr>
      <w:rFonts w:eastAsia="黑体"/>
      <w:bCs/>
      <w:kern w:val="2"/>
      <w:sz w:val="24"/>
      <w:szCs w:val="24"/>
    </w:rPr>
  </w:style>
  <w:style w:type="character" w:customStyle="1" w:styleId="70">
    <w:name w:val="标题 5 字符"/>
    <w:basedOn w:val="57"/>
    <w:link w:val="6"/>
    <w:qFormat/>
    <w:uiPriority w:val="9"/>
    <w:rPr>
      <w:b/>
      <w:bCs/>
      <w:sz w:val="28"/>
      <w:szCs w:val="28"/>
      <w:lang w:eastAsia="en-US"/>
    </w:rPr>
  </w:style>
  <w:style w:type="character" w:customStyle="1" w:styleId="71">
    <w:name w:val="标题 6 字符"/>
    <w:basedOn w:val="57"/>
    <w:link w:val="7"/>
    <w:qFormat/>
    <w:uiPriority w:val="9"/>
    <w:rPr>
      <w:rFonts w:ascii="宋体" w:hAnsi="宋体" w:cs="宋体"/>
      <w:b/>
      <w:bCs/>
      <w:kern w:val="2"/>
      <w:sz w:val="24"/>
      <w:szCs w:val="24"/>
      <w:lang w:val="zh-CN" w:bidi="zh-CN"/>
    </w:rPr>
  </w:style>
  <w:style w:type="character" w:customStyle="1" w:styleId="72">
    <w:name w:val="正文缩进 字符"/>
    <w:link w:val="13"/>
    <w:qFormat/>
    <w:uiPriority w:val="0"/>
    <w:rPr>
      <w:rFonts w:ascii="Times New Roman" w:hAnsi="Times New Roman"/>
      <w:kern w:val="2"/>
      <w:sz w:val="21"/>
      <w:szCs w:val="24"/>
    </w:rPr>
  </w:style>
  <w:style w:type="character" w:customStyle="1" w:styleId="73">
    <w:name w:val="题注 字符"/>
    <w:link w:val="14"/>
    <w:qFormat/>
    <w:uiPriority w:val="0"/>
    <w:rPr>
      <w:kern w:val="2"/>
      <w:sz w:val="21"/>
      <w:szCs w:val="24"/>
    </w:rPr>
  </w:style>
  <w:style w:type="character" w:customStyle="1" w:styleId="74">
    <w:name w:val="文档结构图 字符"/>
    <w:link w:val="15"/>
    <w:qFormat/>
    <w:uiPriority w:val="0"/>
    <w:rPr>
      <w:rFonts w:ascii="宋体" w:eastAsia="宋体"/>
      <w:sz w:val="18"/>
      <w:szCs w:val="18"/>
    </w:rPr>
  </w:style>
  <w:style w:type="character" w:customStyle="1" w:styleId="75">
    <w:name w:val="批注文字 字符"/>
    <w:basedOn w:val="57"/>
    <w:link w:val="17"/>
    <w:qFormat/>
    <w:uiPriority w:val="0"/>
  </w:style>
  <w:style w:type="character" w:customStyle="1" w:styleId="76">
    <w:name w:val="正文文本 3 字符"/>
    <w:basedOn w:val="57"/>
    <w:link w:val="19"/>
    <w:qFormat/>
    <w:uiPriority w:val="0"/>
    <w:rPr>
      <w:rFonts w:ascii="Times New Roman" w:hAnsi="Times New Roman"/>
      <w:kern w:val="2"/>
      <w:sz w:val="16"/>
      <w:szCs w:val="16"/>
    </w:rPr>
  </w:style>
  <w:style w:type="character" w:customStyle="1" w:styleId="77">
    <w:name w:val="正文文本 字符"/>
    <w:link w:val="21"/>
    <w:qFormat/>
    <w:uiPriority w:val="99"/>
    <w:rPr>
      <w:rFonts w:ascii="宋体" w:hAnsi="宋体"/>
      <w:sz w:val="24"/>
      <w:szCs w:val="24"/>
      <w:lang w:eastAsia="en-US"/>
    </w:rPr>
  </w:style>
  <w:style w:type="character" w:customStyle="1" w:styleId="78">
    <w:name w:val="正文文本缩进 字符"/>
    <w:basedOn w:val="57"/>
    <w:link w:val="22"/>
    <w:qFormat/>
    <w:uiPriority w:val="0"/>
  </w:style>
  <w:style w:type="character" w:customStyle="1" w:styleId="79">
    <w:name w:val="纯文本 字符"/>
    <w:basedOn w:val="57"/>
    <w:link w:val="27"/>
    <w:qFormat/>
    <w:uiPriority w:val="0"/>
    <w:rPr>
      <w:rFonts w:ascii="宋体" w:hAnsi="Courier New"/>
      <w:kern w:val="2"/>
      <w:sz w:val="24"/>
    </w:rPr>
  </w:style>
  <w:style w:type="character" w:customStyle="1" w:styleId="80">
    <w:name w:val="正文文本缩进 2 字符"/>
    <w:basedOn w:val="57"/>
    <w:link w:val="30"/>
    <w:qFormat/>
    <w:uiPriority w:val="0"/>
    <w:rPr>
      <w:rFonts w:ascii="仿宋体" w:hAnsi="Times New Roman" w:eastAsia="仿宋体"/>
      <w:b/>
      <w:bCs/>
      <w:kern w:val="2"/>
      <w:sz w:val="24"/>
      <w:szCs w:val="24"/>
    </w:rPr>
  </w:style>
  <w:style w:type="character" w:customStyle="1" w:styleId="81">
    <w:name w:val="批注框文本 字符"/>
    <w:link w:val="31"/>
    <w:qFormat/>
    <w:uiPriority w:val="99"/>
    <w:rPr>
      <w:sz w:val="18"/>
      <w:szCs w:val="18"/>
    </w:rPr>
  </w:style>
  <w:style w:type="character" w:customStyle="1" w:styleId="82">
    <w:name w:val="页脚 字符"/>
    <w:link w:val="32"/>
    <w:qFormat/>
    <w:uiPriority w:val="99"/>
    <w:rPr>
      <w:rFonts w:ascii="Calibri" w:hAnsi="Calibri"/>
      <w:sz w:val="18"/>
      <w:szCs w:val="18"/>
      <w:lang w:eastAsia="en-US"/>
    </w:rPr>
  </w:style>
  <w:style w:type="character" w:customStyle="1" w:styleId="83">
    <w:name w:val="页眉 字符"/>
    <w:link w:val="33"/>
    <w:qFormat/>
    <w:uiPriority w:val="99"/>
    <w:rPr>
      <w:sz w:val="18"/>
      <w:szCs w:val="18"/>
    </w:rPr>
  </w:style>
  <w:style w:type="character" w:customStyle="1" w:styleId="84">
    <w:name w:val="脚注文本 字符"/>
    <w:basedOn w:val="57"/>
    <w:link w:val="38"/>
    <w:semiHidden/>
    <w:qFormat/>
    <w:uiPriority w:val="0"/>
    <w:rPr>
      <w:rFonts w:ascii="Times New Roman" w:hAnsi="Times New Roman"/>
      <w:kern w:val="2"/>
      <w:sz w:val="18"/>
      <w:szCs w:val="18"/>
    </w:rPr>
  </w:style>
  <w:style w:type="character" w:customStyle="1" w:styleId="85">
    <w:name w:val="正文文本缩进 3 字符"/>
    <w:basedOn w:val="57"/>
    <w:link w:val="40"/>
    <w:qFormat/>
    <w:uiPriority w:val="0"/>
    <w:rPr>
      <w:rFonts w:ascii="Times New Roman" w:hAnsi="Times New Roman"/>
      <w:kern w:val="2"/>
      <w:sz w:val="16"/>
      <w:szCs w:val="16"/>
    </w:rPr>
  </w:style>
  <w:style w:type="character" w:customStyle="1" w:styleId="86">
    <w:name w:val="正文文本 2 字符1"/>
    <w:link w:val="44"/>
    <w:qFormat/>
    <w:uiPriority w:val="0"/>
    <w:rPr>
      <w:rFonts w:ascii="Times New Roman" w:hAnsi="Times New Roman"/>
      <w:kern w:val="2"/>
      <w:sz w:val="21"/>
      <w:szCs w:val="24"/>
    </w:rPr>
  </w:style>
  <w:style w:type="character" w:customStyle="1" w:styleId="87">
    <w:name w:val="普通(网站) 字符"/>
    <w:link w:val="46"/>
    <w:qFormat/>
    <w:uiPriority w:val="0"/>
    <w:rPr>
      <w:rFonts w:ascii="宋体" w:hAnsi="宋体"/>
      <w:sz w:val="24"/>
      <w:szCs w:val="24"/>
    </w:rPr>
  </w:style>
  <w:style w:type="character" w:customStyle="1" w:styleId="88">
    <w:name w:val="批注主题 字符"/>
    <w:link w:val="49"/>
    <w:qFormat/>
    <w:uiPriority w:val="99"/>
    <w:rPr>
      <w:b/>
      <w:bCs/>
    </w:rPr>
  </w:style>
  <w:style w:type="character" w:customStyle="1" w:styleId="89">
    <w:name w:val="正文文本首行缩进 2 字符"/>
    <w:basedOn w:val="78"/>
    <w:link w:val="51"/>
    <w:qFormat/>
    <w:uiPriority w:val="0"/>
    <w:rPr>
      <w:sz w:val="22"/>
      <w:szCs w:val="22"/>
      <w:lang w:eastAsia="en-US"/>
    </w:rPr>
  </w:style>
  <w:style w:type="table" w:customStyle="1" w:styleId="90">
    <w:name w:val="Table Normal"/>
    <w:unhideWhenUsed/>
    <w:qFormat/>
    <w:uiPriority w:val="0"/>
    <w:rPr>
      <w:sz w:val="22"/>
      <w:szCs w:val="22"/>
      <w:lang w:eastAsia="en-US"/>
    </w:rPr>
    <w:tblPr>
      <w:tblCellMar>
        <w:top w:w="0" w:type="dxa"/>
        <w:left w:w="0" w:type="dxa"/>
        <w:bottom w:w="0" w:type="dxa"/>
        <w:right w:w="0" w:type="dxa"/>
      </w:tblCellMar>
    </w:tblPr>
  </w:style>
  <w:style w:type="paragraph" w:customStyle="1" w:styleId="91">
    <w:name w:val="TOC 11"/>
    <w:basedOn w:val="1"/>
    <w:qFormat/>
    <w:uiPriority w:val="39"/>
    <w:pPr>
      <w:widowControl/>
      <w:spacing w:before="102"/>
      <w:jc w:val="left"/>
    </w:pPr>
    <w:rPr>
      <w:rFonts w:ascii="宋体" w:hAnsi="宋体" w:cs="Times New Roman"/>
      <w:b/>
      <w:bCs/>
      <w:kern w:val="0"/>
      <w:sz w:val="20"/>
      <w:szCs w:val="20"/>
      <w:lang w:eastAsia="en-US"/>
    </w:rPr>
  </w:style>
  <w:style w:type="paragraph" w:customStyle="1" w:styleId="92">
    <w:name w:val="TOC 21"/>
    <w:basedOn w:val="1"/>
    <w:qFormat/>
    <w:uiPriority w:val="39"/>
    <w:pPr>
      <w:widowControl/>
      <w:ind w:left="387"/>
      <w:jc w:val="left"/>
    </w:pPr>
    <w:rPr>
      <w:rFonts w:ascii="宋体" w:hAnsi="宋体" w:cs="Times New Roman"/>
      <w:kern w:val="0"/>
      <w:sz w:val="20"/>
      <w:szCs w:val="20"/>
      <w:lang w:eastAsia="en-US"/>
    </w:rPr>
  </w:style>
  <w:style w:type="paragraph" w:customStyle="1" w:styleId="93">
    <w:name w:val="图片居中"/>
    <w:link w:val="602"/>
    <w:qFormat/>
    <w:uiPriority w:val="0"/>
    <w:pPr>
      <w:adjustRightInd w:val="0"/>
      <w:snapToGrid w:val="0"/>
      <w:jc w:val="center"/>
    </w:pPr>
    <w:rPr>
      <w:rFonts w:ascii="Times New Roman" w:hAnsi="Times New Roman" w:eastAsia="Times New Roman" w:cs="Times New Roman"/>
      <w:sz w:val="29"/>
      <w:szCs w:val="29"/>
      <w:lang w:val="en-US" w:eastAsia="en-US" w:bidi="ar-SA"/>
    </w:rPr>
  </w:style>
  <w:style w:type="paragraph" w:customStyle="1" w:styleId="94">
    <w:name w:val="标题 21"/>
    <w:basedOn w:val="1"/>
    <w:qFormat/>
    <w:uiPriority w:val="1"/>
    <w:pPr>
      <w:widowControl/>
      <w:spacing w:before="13"/>
      <w:ind w:left="138"/>
      <w:jc w:val="left"/>
      <w:outlineLvl w:val="2"/>
    </w:pPr>
    <w:rPr>
      <w:rFonts w:ascii="黑体" w:hAnsi="黑体" w:eastAsia="黑体" w:cs="Times New Roman"/>
      <w:kern w:val="0"/>
      <w:sz w:val="28"/>
      <w:szCs w:val="28"/>
      <w:lang w:eastAsia="en-US"/>
    </w:rPr>
  </w:style>
  <w:style w:type="paragraph" w:customStyle="1" w:styleId="95">
    <w:name w:val="标题 31"/>
    <w:basedOn w:val="1"/>
    <w:qFormat/>
    <w:uiPriority w:val="1"/>
    <w:pPr>
      <w:widowControl/>
      <w:spacing w:before="134"/>
      <w:ind w:left="620"/>
      <w:jc w:val="left"/>
      <w:outlineLvl w:val="3"/>
    </w:pPr>
    <w:rPr>
      <w:rFonts w:ascii="宋体" w:hAnsi="宋体" w:cs="Times New Roman"/>
      <w:b/>
      <w:bCs/>
      <w:kern w:val="0"/>
      <w:szCs w:val="24"/>
      <w:lang w:eastAsia="en-US"/>
    </w:rPr>
  </w:style>
  <w:style w:type="paragraph" w:styleId="96">
    <w:name w:val="List Paragraph"/>
    <w:basedOn w:val="1"/>
    <w:qFormat/>
    <w:uiPriority w:val="34"/>
    <w:pPr>
      <w:widowControl/>
      <w:jc w:val="left"/>
    </w:pPr>
    <w:rPr>
      <w:rFonts w:ascii="Calibri" w:hAnsi="Calibri" w:cs="Times New Roman"/>
      <w:kern w:val="0"/>
      <w:sz w:val="22"/>
      <w:lang w:eastAsia="en-US"/>
    </w:rPr>
  </w:style>
  <w:style w:type="paragraph" w:customStyle="1" w:styleId="97">
    <w:name w:val="Table Paragraph"/>
    <w:basedOn w:val="1"/>
    <w:qFormat/>
    <w:uiPriority w:val="1"/>
    <w:pPr>
      <w:widowControl/>
      <w:jc w:val="left"/>
    </w:pPr>
    <w:rPr>
      <w:rFonts w:ascii="Calibri" w:hAnsi="Calibri" w:cs="Times New Roman"/>
      <w:kern w:val="0"/>
      <w:sz w:val="22"/>
      <w:lang w:eastAsia="en-US"/>
    </w:rPr>
  </w:style>
  <w:style w:type="paragraph" w:customStyle="1" w:styleId="98">
    <w:name w:val="TOC 31"/>
    <w:basedOn w:val="1"/>
    <w:qFormat/>
    <w:uiPriority w:val="39"/>
    <w:pPr>
      <w:widowControl/>
      <w:spacing w:before="147"/>
      <w:ind w:left="638"/>
      <w:jc w:val="left"/>
    </w:pPr>
    <w:rPr>
      <w:rFonts w:ascii="宋体" w:hAnsi="宋体" w:cs="Times New Roman"/>
      <w:b/>
      <w:bCs/>
      <w:kern w:val="0"/>
      <w:szCs w:val="24"/>
      <w:lang w:eastAsia="en-US"/>
    </w:rPr>
  </w:style>
  <w:style w:type="table" w:customStyle="1" w:styleId="99">
    <w:name w:val="Table Normal1"/>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0">
    <w:name w:val="Table Normal2"/>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1">
    <w:name w:val="Table Normal3"/>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2">
    <w:name w:val="Table Normal4"/>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3">
    <w:name w:val="Table Normal5"/>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4">
    <w:name w:val="Table Normal6"/>
    <w:semiHidden/>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105">
    <w:name w:val="TOC 标题1"/>
    <w:basedOn w:val="2"/>
    <w:next w:val="1"/>
    <w:unhideWhenUsed/>
    <w:qFormat/>
    <w:uiPriority w:val="39"/>
    <w:pPr>
      <w:spacing w:before="480" w:after="0" w:line="276" w:lineRule="auto"/>
      <w:outlineLvl w:val="9"/>
    </w:pPr>
    <w:rPr>
      <w:rFonts w:ascii="Cambria" w:hAnsi="Cambria"/>
      <w:color w:val="365F91"/>
      <w:kern w:val="0"/>
      <w:szCs w:val="28"/>
      <w:lang w:eastAsia="zh-CN"/>
    </w:rPr>
  </w:style>
  <w:style w:type="table" w:customStyle="1" w:styleId="106">
    <w:name w:val="Table Normal7"/>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7">
    <w:name w:val="Table Normal8"/>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8">
    <w:name w:val="Table Normal9"/>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9">
    <w:name w:val="Table Normal10"/>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0">
    <w:name w:val="Table Normal11"/>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1">
    <w:name w:val="Table Normal12"/>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2">
    <w:name w:val="Table Normal13"/>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3">
    <w:name w:val="Table Normal14"/>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4">
    <w:name w:val="Table Normal15"/>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5">
    <w:name w:val="Table Normal16"/>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6">
    <w:name w:val="Table Normal17"/>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7">
    <w:name w:val="Table Normal18"/>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8">
    <w:name w:val="Table Normal19"/>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9">
    <w:name w:val="Table Normal20"/>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0">
    <w:name w:val="Table Normal21"/>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1">
    <w:name w:val="Table Normal22"/>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2">
    <w:name w:val="Table Normal23"/>
    <w:semiHidden/>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123">
    <w:name w:val="0正文"/>
    <w:basedOn w:val="1"/>
    <w:link w:val="124"/>
    <w:qFormat/>
    <w:uiPriority w:val="0"/>
    <w:pPr>
      <w:ind w:firstLine="480"/>
    </w:pPr>
    <w:rPr>
      <w:rFonts w:cs="Times New Roman"/>
      <w:szCs w:val="24"/>
    </w:rPr>
  </w:style>
  <w:style w:type="character" w:customStyle="1" w:styleId="124">
    <w:name w:val="0正文 Char"/>
    <w:link w:val="123"/>
    <w:qFormat/>
    <w:uiPriority w:val="0"/>
    <w:rPr>
      <w:rFonts w:ascii="Times New Roman" w:hAnsi="Times New Roman"/>
      <w:kern w:val="2"/>
      <w:sz w:val="24"/>
      <w:szCs w:val="24"/>
    </w:rPr>
  </w:style>
  <w:style w:type="paragraph" w:customStyle="1" w:styleId="125">
    <w:name w:val="0表/图标题"/>
    <w:basedOn w:val="123"/>
    <w:link w:val="126"/>
    <w:qFormat/>
    <w:uiPriority w:val="0"/>
    <w:pPr>
      <w:spacing w:line="240" w:lineRule="auto"/>
      <w:ind w:firstLine="0" w:firstLineChars="0"/>
      <w:jc w:val="center"/>
    </w:pPr>
    <w:rPr>
      <w:b/>
      <w:sz w:val="21"/>
    </w:rPr>
  </w:style>
  <w:style w:type="character" w:customStyle="1" w:styleId="126">
    <w:name w:val="0表/图标题 Char"/>
    <w:link w:val="125"/>
    <w:qFormat/>
    <w:uiPriority w:val="0"/>
    <w:rPr>
      <w:rFonts w:ascii="Times New Roman" w:hAnsi="Times New Roman"/>
      <w:b/>
      <w:kern w:val="2"/>
      <w:sz w:val="21"/>
      <w:szCs w:val="24"/>
    </w:rPr>
  </w:style>
  <w:style w:type="paragraph" w:customStyle="1" w:styleId="127">
    <w:name w:val="0 表格"/>
    <w:basedOn w:val="123"/>
    <w:link w:val="128"/>
    <w:qFormat/>
    <w:uiPriority w:val="0"/>
    <w:pPr>
      <w:spacing w:line="240" w:lineRule="auto"/>
      <w:ind w:firstLine="0" w:firstLineChars="0"/>
      <w:jc w:val="center"/>
    </w:pPr>
    <w:rPr>
      <w:sz w:val="21"/>
      <w:szCs w:val="21"/>
    </w:rPr>
  </w:style>
  <w:style w:type="character" w:customStyle="1" w:styleId="128">
    <w:name w:val="0 表格 Char"/>
    <w:link w:val="127"/>
    <w:qFormat/>
    <w:uiPriority w:val="0"/>
    <w:rPr>
      <w:rFonts w:ascii="Times New Roman" w:hAnsi="Times New Roman"/>
      <w:kern w:val="2"/>
      <w:sz w:val="21"/>
      <w:szCs w:val="21"/>
    </w:rPr>
  </w:style>
  <w:style w:type="character" w:customStyle="1" w:styleId="129">
    <w:name w:val="未处理的提及1"/>
    <w:semiHidden/>
    <w:unhideWhenUsed/>
    <w:qFormat/>
    <w:uiPriority w:val="99"/>
    <w:rPr>
      <w:color w:val="605E5C"/>
      <w:shd w:val="clear" w:color="auto" w:fill="E1DFDD"/>
    </w:rPr>
  </w:style>
  <w:style w:type="paragraph" w:customStyle="1" w:styleId="130">
    <w:name w:val="4"/>
    <w:basedOn w:val="1"/>
    <w:qFormat/>
    <w:uiPriority w:val="0"/>
    <w:rPr>
      <w:rFonts w:cs="Times New Roman"/>
      <w:szCs w:val="20"/>
    </w:rPr>
  </w:style>
  <w:style w:type="paragraph" w:customStyle="1" w:styleId="131">
    <w:name w:val="小表文居中"/>
    <w:basedOn w:val="1"/>
    <w:qFormat/>
    <w:uiPriority w:val="0"/>
    <w:pPr>
      <w:spacing w:before="20"/>
      <w:jc w:val="center"/>
    </w:pPr>
    <w:rPr>
      <w:rFonts w:cs="Times New Roman"/>
      <w:sz w:val="18"/>
      <w:szCs w:val="24"/>
    </w:rPr>
  </w:style>
  <w:style w:type="character" w:customStyle="1" w:styleId="132">
    <w:name w:val="报告书正文 Char"/>
    <w:basedOn w:val="57"/>
    <w:link w:val="133"/>
    <w:qFormat/>
    <w:uiPriority w:val="0"/>
    <w:rPr>
      <w:kern w:val="2"/>
      <w:sz w:val="24"/>
    </w:rPr>
  </w:style>
  <w:style w:type="paragraph" w:customStyle="1" w:styleId="133">
    <w:name w:val="报告书正文"/>
    <w:basedOn w:val="1"/>
    <w:link w:val="132"/>
    <w:qFormat/>
    <w:uiPriority w:val="0"/>
    <w:pPr>
      <w:spacing w:line="300" w:lineRule="auto"/>
    </w:pPr>
    <w:rPr>
      <w:rFonts w:ascii="Calibri" w:hAnsi="Calibri" w:cs="Times New Roman"/>
      <w:szCs w:val="20"/>
    </w:rPr>
  </w:style>
  <w:style w:type="paragraph" w:customStyle="1" w:styleId="134">
    <w:name w:val="样式2"/>
    <w:basedOn w:val="1"/>
    <w:link w:val="336"/>
    <w:qFormat/>
    <w:uiPriority w:val="0"/>
    <w:pPr>
      <w:tabs>
        <w:tab w:val="left" w:pos="1935"/>
      </w:tabs>
      <w:jc w:val="left"/>
    </w:pPr>
    <w:rPr>
      <w:rFonts w:cs="Times New Roman"/>
      <w:color w:val="000000"/>
      <w:sz w:val="28"/>
      <w:szCs w:val="28"/>
      <w:lang w:val="zh-CN"/>
    </w:rPr>
  </w:style>
  <w:style w:type="paragraph" w:customStyle="1" w:styleId="135">
    <w:name w:val="样式4"/>
    <w:basedOn w:val="134"/>
    <w:link w:val="384"/>
    <w:qFormat/>
    <w:uiPriority w:val="0"/>
    <w:pPr>
      <w:tabs>
        <w:tab w:val="left" w:pos="567"/>
      </w:tabs>
      <w:ind w:firstLine="480"/>
      <w:jc w:val="both"/>
    </w:pPr>
    <w:rPr>
      <w:bCs/>
      <w:color w:val="auto"/>
      <w:sz w:val="24"/>
      <w:szCs w:val="24"/>
    </w:rPr>
  </w:style>
  <w:style w:type="paragraph" w:customStyle="1" w:styleId="136">
    <w:name w:val="Default"/>
    <w:basedOn w:val="137"/>
    <w:next w:val="138"/>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137">
    <w:name w:val="纯文本1"/>
    <w:basedOn w:val="1"/>
    <w:qFormat/>
    <w:uiPriority w:val="99"/>
    <w:pPr>
      <w:autoSpaceDE w:val="0"/>
      <w:autoSpaceDN w:val="0"/>
      <w:textAlignment w:val="baseline"/>
    </w:pPr>
    <w:rPr>
      <w:rFonts w:ascii="宋体" w:cs="Times New Roman"/>
      <w:szCs w:val="20"/>
    </w:rPr>
  </w:style>
  <w:style w:type="paragraph" w:customStyle="1" w:styleId="138">
    <w:name w:val="样式 样式 首行缩进:  2 字符 + 首行缩进:  2 字符"/>
    <w:basedOn w:val="1"/>
    <w:next w:val="34"/>
    <w:qFormat/>
    <w:uiPriority w:val="0"/>
    <w:pPr>
      <w:ind w:firstLine="560"/>
    </w:pPr>
    <w:rPr>
      <w:rFonts w:cs="Times New Roman"/>
      <w:sz w:val="28"/>
      <w:szCs w:val="24"/>
    </w:rPr>
  </w:style>
  <w:style w:type="paragraph" w:customStyle="1" w:styleId="139">
    <w:name w:val="表ma"/>
    <w:basedOn w:val="1"/>
    <w:qFormat/>
    <w:uiPriority w:val="0"/>
    <w:pPr>
      <w:widowControl/>
    </w:pPr>
    <w:rPr>
      <w:rFonts w:cs="Times New Roman"/>
      <w:kern w:val="0"/>
      <w:szCs w:val="20"/>
    </w:rPr>
  </w:style>
  <w:style w:type="paragraph" w:customStyle="1" w:styleId="140">
    <w:name w:val="小表文"/>
    <w:basedOn w:val="1"/>
    <w:qFormat/>
    <w:uiPriority w:val="0"/>
    <w:pPr>
      <w:spacing w:before="20"/>
    </w:pPr>
    <w:rPr>
      <w:rFonts w:cs="Times New Roman"/>
      <w:sz w:val="18"/>
      <w:szCs w:val="24"/>
    </w:rPr>
  </w:style>
  <w:style w:type="paragraph" w:customStyle="1" w:styleId="141">
    <w:name w:val="最新表格"/>
    <w:basedOn w:val="1"/>
    <w:qFormat/>
    <w:uiPriority w:val="0"/>
    <w:pPr>
      <w:jc w:val="center"/>
    </w:pPr>
    <w:rPr>
      <w:rFonts w:cs="Times New Roman"/>
      <w:szCs w:val="21"/>
    </w:rPr>
  </w:style>
  <w:style w:type="paragraph" w:customStyle="1" w:styleId="142">
    <w:name w:val="表文"/>
    <w:basedOn w:val="1"/>
    <w:link w:val="143"/>
    <w:qFormat/>
    <w:uiPriority w:val="0"/>
    <w:pPr>
      <w:spacing w:before="20"/>
      <w:jc w:val="center"/>
    </w:pPr>
    <w:rPr>
      <w:rFonts w:cs="Times New Roman"/>
      <w:bCs/>
      <w:sz w:val="18"/>
      <w:szCs w:val="24"/>
    </w:rPr>
  </w:style>
  <w:style w:type="character" w:customStyle="1" w:styleId="143">
    <w:name w:val="表文 Char"/>
    <w:link w:val="142"/>
    <w:qFormat/>
    <w:uiPriority w:val="0"/>
    <w:rPr>
      <w:rFonts w:ascii="Times New Roman" w:hAnsi="Times New Roman"/>
      <w:bCs/>
      <w:kern w:val="2"/>
      <w:sz w:val="18"/>
      <w:szCs w:val="24"/>
    </w:rPr>
  </w:style>
  <w:style w:type="paragraph" w:customStyle="1" w:styleId="144">
    <w:name w:val="表号"/>
    <w:basedOn w:val="1"/>
    <w:link w:val="354"/>
    <w:qFormat/>
    <w:uiPriority w:val="0"/>
    <w:pPr>
      <w:overflowPunct w:val="0"/>
      <w:ind w:firstLine="113"/>
      <w:outlineLvl w:val="6"/>
    </w:pPr>
    <w:rPr>
      <w:rFonts w:cs="Times New Roman"/>
      <w:szCs w:val="24"/>
    </w:rPr>
  </w:style>
  <w:style w:type="paragraph" w:customStyle="1" w:styleId="145">
    <w:name w:val="G（正文）"/>
    <w:basedOn w:val="21"/>
    <w:qFormat/>
    <w:uiPriority w:val="0"/>
    <w:pPr>
      <w:widowControl w:val="0"/>
      <w:tabs>
        <w:tab w:val="left" w:pos="4530"/>
      </w:tabs>
      <w:spacing w:before="0" w:line="480" w:lineRule="exact"/>
      <w:ind w:left="0"/>
      <w:jc w:val="both"/>
    </w:pPr>
    <w:rPr>
      <w:rFonts w:ascii="Times New Roman" w:hAnsi="Times New Roman"/>
      <w:kern w:val="2"/>
      <w:sz w:val="28"/>
      <w:szCs w:val="28"/>
      <w:lang w:eastAsia="zh-CN"/>
    </w:rPr>
  </w:style>
  <w:style w:type="paragraph" w:customStyle="1" w:styleId="146">
    <w:name w:val="！表head"/>
    <w:basedOn w:val="1"/>
    <w:qFormat/>
    <w:uiPriority w:val="0"/>
    <w:pPr>
      <w:ind w:left="-100" w:leftChars="-50"/>
    </w:pPr>
    <w:rPr>
      <w:rFonts w:ascii="宋体" w:hAnsi="宋体" w:eastAsia="黑体" w:cs="宋体"/>
      <w:color w:val="000000"/>
      <w:kern w:val="0"/>
      <w:szCs w:val="20"/>
    </w:rPr>
  </w:style>
  <w:style w:type="paragraph" w:customStyle="1" w:styleId="147">
    <w:name w:val="p0"/>
    <w:basedOn w:val="1"/>
    <w:qFormat/>
    <w:uiPriority w:val="0"/>
    <w:pPr>
      <w:widowControl/>
    </w:pPr>
    <w:rPr>
      <w:rFonts w:cs="Times New Roman"/>
      <w:szCs w:val="21"/>
    </w:rPr>
  </w:style>
  <w:style w:type="paragraph" w:customStyle="1" w:styleId="148">
    <w:name w:val="表名"/>
    <w:basedOn w:val="1"/>
    <w:qFormat/>
    <w:uiPriority w:val="0"/>
    <w:pPr>
      <w:spacing w:before="163"/>
      <w:jc w:val="center"/>
    </w:pPr>
    <w:rPr>
      <w:rFonts w:ascii="Arial" w:hAnsi="Arial" w:eastAsia="黑体" w:cs="Times New Roman"/>
      <w:szCs w:val="24"/>
    </w:rPr>
  </w:style>
  <w:style w:type="paragraph" w:customStyle="1" w:styleId="149">
    <w:name w:val="z-窗体顶端1"/>
    <w:basedOn w:val="1"/>
    <w:link w:val="150"/>
    <w:qFormat/>
    <w:uiPriority w:val="0"/>
    <w:pPr>
      <w:spacing w:line="500" w:lineRule="exact"/>
      <w:ind w:firstLine="420"/>
    </w:pPr>
    <w:rPr>
      <w:rFonts w:ascii="Calibri" w:hAnsi="Calibri" w:eastAsia="仿宋_GB2312" w:cs="Times New Roman"/>
      <w:sz w:val="28"/>
    </w:rPr>
  </w:style>
  <w:style w:type="character" w:customStyle="1" w:styleId="150">
    <w:name w:val="z-窗体顶端 字符"/>
    <w:basedOn w:val="57"/>
    <w:link w:val="149"/>
    <w:qFormat/>
    <w:uiPriority w:val="0"/>
    <w:rPr>
      <w:rFonts w:eastAsia="仿宋_GB2312"/>
      <w:kern w:val="2"/>
      <w:sz w:val="28"/>
      <w:szCs w:val="22"/>
    </w:rPr>
  </w:style>
  <w:style w:type="paragraph" w:customStyle="1" w:styleId="151">
    <w:name w:val="表左对齐"/>
    <w:basedOn w:val="139"/>
    <w:qFormat/>
    <w:uiPriority w:val="0"/>
    <w:pPr>
      <w:widowControl w:val="0"/>
      <w:jc w:val="left"/>
    </w:pPr>
    <w:rPr>
      <w:rFonts w:cs="宋体"/>
      <w:sz w:val="21"/>
    </w:rPr>
  </w:style>
  <w:style w:type="paragraph" w:customStyle="1" w:styleId="152">
    <w:name w:val="首行缩进:2 字符"/>
    <w:basedOn w:val="1"/>
    <w:qFormat/>
    <w:uiPriority w:val="0"/>
    <w:pPr>
      <w:ind w:firstLine="560"/>
    </w:pPr>
    <w:rPr>
      <w:rFonts w:cs="Times New Roman"/>
      <w:sz w:val="28"/>
      <w:szCs w:val="20"/>
    </w:rPr>
  </w:style>
  <w:style w:type="paragraph" w:customStyle="1" w:styleId="153">
    <w:name w:val="xl30"/>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szCs w:val="21"/>
    </w:rPr>
  </w:style>
  <w:style w:type="paragraph" w:customStyle="1" w:styleId="154">
    <w:name w:val="正文(小)"/>
    <w:basedOn w:val="1"/>
    <w:qFormat/>
    <w:uiPriority w:val="0"/>
    <w:pPr>
      <w:spacing w:before="20"/>
    </w:pPr>
    <w:rPr>
      <w:rFonts w:cs="Times New Roman"/>
      <w:sz w:val="18"/>
      <w:szCs w:val="24"/>
    </w:rPr>
  </w:style>
  <w:style w:type="paragraph" w:customStyle="1" w:styleId="155">
    <w:name w:val="HH"/>
    <w:basedOn w:val="1"/>
    <w:qFormat/>
    <w:uiPriority w:val="0"/>
    <w:pPr>
      <w:ind w:firstLine="480"/>
    </w:pPr>
    <w:rPr>
      <w:rFonts w:cs="宋体"/>
      <w:szCs w:val="24"/>
    </w:rPr>
  </w:style>
  <w:style w:type="paragraph" w:customStyle="1" w:styleId="156">
    <w:name w:val="标题4"/>
    <w:basedOn w:val="5"/>
    <w:qFormat/>
    <w:uiPriority w:val="0"/>
  </w:style>
  <w:style w:type="table" w:customStyle="1" w:styleId="157">
    <w:name w:val="报告表格式新建"/>
    <w:basedOn w:val="52"/>
    <w:qFormat/>
    <w:uiPriority w:val="99"/>
    <w:pPr>
      <w:jc w:val="center"/>
    </w:pPr>
    <w:rPr>
      <w:sz w:val="18"/>
    </w:rPr>
    <w:tblPr>
      <w:tblBorders>
        <w:top w:val="single" w:color="auto" w:sz="12" w:space="0"/>
        <w:bottom w:val="single" w:color="auto" w:sz="12" w:space="0"/>
        <w:insideH w:val="single" w:color="auto" w:sz="8" w:space="0"/>
        <w:insideV w:val="single" w:color="auto" w:sz="8" w:space="0"/>
      </w:tblBorders>
    </w:tblPr>
    <w:tcPr>
      <w:vAlign w:val="center"/>
    </w:tcPr>
  </w:style>
  <w:style w:type="paragraph" w:customStyle="1" w:styleId="158">
    <w:name w:val="报告表格内容"/>
    <w:basedOn w:val="1"/>
    <w:next w:val="1"/>
    <w:qFormat/>
    <w:uiPriority w:val="0"/>
    <w:pPr>
      <w:autoSpaceDE w:val="0"/>
      <w:autoSpaceDN w:val="0"/>
      <w:jc w:val="center"/>
      <w:textAlignment w:val="bottom"/>
    </w:pPr>
    <w:rPr>
      <w:rFonts w:cs="Times New Roman"/>
      <w:kern w:val="0"/>
      <w:szCs w:val="20"/>
    </w:rPr>
  </w:style>
  <w:style w:type="paragraph" w:customStyle="1" w:styleId="159">
    <w:name w:val="空行样式"/>
    <w:basedOn w:val="1"/>
    <w:next w:val="1"/>
    <w:qFormat/>
    <w:uiPriority w:val="0"/>
    <w:rPr>
      <w:rFonts w:cs="Times New Roman"/>
      <w:szCs w:val="20"/>
    </w:rPr>
  </w:style>
  <w:style w:type="character" w:customStyle="1" w:styleId="160">
    <w:name w:val="样式7 Char"/>
    <w:link w:val="161"/>
    <w:qFormat/>
    <w:uiPriority w:val="0"/>
    <w:rPr>
      <w:kern w:val="2"/>
      <w:sz w:val="26"/>
      <w:szCs w:val="26"/>
    </w:rPr>
  </w:style>
  <w:style w:type="paragraph" w:customStyle="1" w:styleId="161">
    <w:name w:val="样式7"/>
    <w:basedOn w:val="1"/>
    <w:link w:val="160"/>
    <w:qFormat/>
    <w:uiPriority w:val="0"/>
    <w:pPr>
      <w:widowControl/>
      <w:spacing w:line="480" w:lineRule="exact"/>
      <w:jc w:val="center"/>
    </w:pPr>
    <w:rPr>
      <w:rFonts w:ascii="Calibri" w:hAnsi="Calibri" w:cs="Times New Roman"/>
      <w:sz w:val="26"/>
      <w:szCs w:val="26"/>
    </w:rPr>
  </w:style>
  <w:style w:type="paragraph" w:customStyle="1" w:styleId="162">
    <w:name w:val="表格样式"/>
    <w:basedOn w:val="1"/>
    <w:qFormat/>
    <w:uiPriority w:val="0"/>
    <w:pPr>
      <w:jc w:val="center"/>
      <w:textAlignment w:val="center"/>
    </w:pPr>
    <w:rPr>
      <w:rFonts w:cs="Times New Roman"/>
      <w:sz w:val="28"/>
      <w:szCs w:val="24"/>
    </w:rPr>
  </w:style>
  <w:style w:type="paragraph" w:customStyle="1" w:styleId="163">
    <w:name w:val="图标题11"/>
    <w:basedOn w:val="1"/>
    <w:next w:val="1"/>
    <w:link w:val="164"/>
    <w:qFormat/>
    <w:uiPriority w:val="99"/>
    <w:pPr>
      <w:ind w:firstLine="0" w:firstLineChars="0"/>
      <w:jc w:val="center"/>
    </w:pPr>
    <w:rPr>
      <w:rFonts w:eastAsia="黑体" w:cs="Times New Roman"/>
      <w:sz w:val="21"/>
      <w:szCs w:val="28"/>
    </w:rPr>
  </w:style>
  <w:style w:type="character" w:customStyle="1" w:styleId="164">
    <w:name w:val="图标题11 字符"/>
    <w:basedOn w:val="57"/>
    <w:link w:val="163"/>
    <w:qFormat/>
    <w:uiPriority w:val="99"/>
    <w:rPr>
      <w:rFonts w:eastAsia="黑体"/>
      <w:kern w:val="2"/>
      <w:sz w:val="21"/>
      <w:szCs w:val="28"/>
    </w:rPr>
  </w:style>
  <w:style w:type="character" w:customStyle="1" w:styleId="165">
    <w:name w:val="无间隔 字符"/>
    <w:basedOn w:val="57"/>
    <w:link w:val="65"/>
    <w:qFormat/>
    <w:uiPriority w:val="1"/>
    <w:rPr>
      <w:rFonts w:ascii="Times New Roman" w:hAnsi="Times New Roman" w:eastAsia="仿宋_GB2312"/>
      <w:kern w:val="2"/>
      <w:sz w:val="18"/>
      <w:szCs w:val="28"/>
    </w:rPr>
  </w:style>
  <w:style w:type="table" w:customStyle="1" w:styleId="166">
    <w:name w:val="基本表"/>
    <w:basedOn w:val="52"/>
    <w:qFormat/>
    <w:uiPriority w:val="99"/>
    <w:pPr>
      <w:spacing w:line="240" w:lineRule="atLeast"/>
      <w:jc w:val="center"/>
    </w:pPr>
    <w:rPr>
      <w:rFonts w:cstheme="minorBidi"/>
      <w:kern w:val="2"/>
      <w:sz w:val="18"/>
      <w:szCs w:val="2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left w:w="0" w:type="dxa"/>
        <w:right w:w="0" w:type="dxa"/>
      </w:tblCellMar>
    </w:tblPr>
    <w:tcPr>
      <w:vAlign w:val="center"/>
    </w:tcPr>
  </w:style>
  <w:style w:type="paragraph" w:customStyle="1" w:styleId="167">
    <w:name w:val="表头"/>
    <w:basedOn w:val="1"/>
    <w:link w:val="168"/>
    <w:qFormat/>
    <w:uiPriority w:val="0"/>
    <w:pPr>
      <w:spacing w:before="50" w:beforeLines="50"/>
      <w:jc w:val="center"/>
    </w:pPr>
    <w:rPr>
      <w:rFonts w:cs="Times New Roman"/>
      <w:b/>
      <w:szCs w:val="21"/>
    </w:rPr>
  </w:style>
  <w:style w:type="character" w:customStyle="1" w:styleId="168">
    <w:name w:val="表头 Char Char"/>
    <w:link w:val="167"/>
    <w:qFormat/>
    <w:uiPriority w:val="0"/>
    <w:rPr>
      <w:rFonts w:ascii="Times New Roman" w:hAnsi="Times New Roman"/>
      <w:b/>
      <w:kern w:val="2"/>
      <w:sz w:val="21"/>
      <w:szCs w:val="21"/>
    </w:rPr>
  </w:style>
  <w:style w:type="paragraph" w:customStyle="1" w:styleId="169">
    <w:name w:val="表格内文字"/>
    <w:basedOn w:val="1"/>
    <w:qFormat/>
    <w:uiPriority w:val="0"/>
    <w:pPr>
      <w:jc w:val="center"/>
    </w:pPr>
    <w:rPr>
      <w:rFonts w:cs="Times New Roman"/>
      <w:szCs w:val="21"/>
    </w:rPr>
  </w:style>
  <w:style w:type="character" w:customStyle="1" w:styleId="170">
    <w:name w:val="未处理的提及2"/>
    <w:basedOn w:val="57"/>
    <w:semiHidden/>
    <w:unhideWhenUsed/>
    <w:qFormat/>
    <w:uiPriority w:val="99"/>
    <w:rPr>
      <w:color w:val="605E5C"/>
      <w:shd w:val="clear" w:color="auto" w:fill="E1DFDD"/>
    </w:rPr>
  </w:style>
  <w:style w:type="paragraph" w:customStyle="1" w:styleId="171">
    <w:name w:val="段落 Char"/>
    <w:basedOn w:val="1"/>
    <w:qFormat/>
    <w:uiPriority w:val="0"/>
    <w:pPr>
      <w:topLinePunct/>
    </w:pPr>
    <w:rPr>
      <w:rFonts w:cs="Times New Roman"/>
      <w:szCs w:val="24"/>
    </w:rPr>
  </w:style>
  <w:style w:type="character" w:customStyle="1" w:styleId="172">
    <w:name w:val="纯文本 Char"/>
    <w:qFormat/>
    <w:uiPriority w:val="0"/>
    <w:rPr>
      <w:rFonts w:ascii="宋体" w:hAnsi="Courier New" w:cs="Courier New"/>
      <w:kern w:val="2"/>
      <w:sz w:val="21"/>
      <w:szCs w:val="21"/>
    </w:rPr>
  </w:style>
  <w:style w:type="character" w:customStyle="1" w:styleId="173">
    <w:name w:val="description"/>
    <w:basedOn w:val="57"/>
    <w:qFormat/>
    <w:uiPriority w:val="0"/>
  </w:style>
  <w:style w:type="character" w:customStyle="1" w:styleId="174">
    <w:name w:val="样式 宋体 小三 加粗"/>
    <w:qFormat/>
    <w:uiPriority w:val="0"/>
    <w:rPr>
      <w:rFonts w:ascii="宋体" w:hAnsi="宋体" w:eastAsia="黑体"/>
      <w:b/>
      <w:bCs/>
      <w:spacing w:val="6"/>
      <w:kern w:val="2"/>
      <w:position w:val="10"/>
      <w:sz w:val="30"/>
      <w:lang w:val="en-US" w:eastAsia="zh-CN" w:bidi="ar-SA"/>
    </w:rPr>
  </w:style>
  <w:style w:type="character" w:customStyle="1" w:styleId="175">
    <w:name w:val="页码1"/>
    <w:basedOn w:val="57"/>
    <w:qFormat/>
    <w:uiPriority w:val="0"/>
  </w:style>
  <w:style w:type="character" w:customStyle="1" w:styleId="176">
    <w:name w:val="报告正文（小四） Char Char"/>
    <w:link w:val="177"/>
    <w:qFormat/>
    <w:uiPriority w:val="0"/>
    <w:rPr>
      <w:rFonts w:ascii="宋体" w:hAnsi="宋体" w:cs="宋体"/>
      <w:kern w:val="2"/>
      <w:sz w:val="24"/>
      <w:szCs w:val="24"/>
    </w:rPr>
  </w:style>
  <w:style w:type="paragraph" w:customStyle="1" w:styleId="177">
    <w:name w:val="报告正文（小四）"/>
    <w:basedOn w:val="1"/>
    <w:link w:val="176"/>
    <w:qFormat/>
    <w:uiPriority w:val="0"/>
    <w:pPr>
      <w:ind w:firstLine="480"/>
    </w:pPr>
    <w:rPr>
      <w:rFonts w:ascii="宋体" w:hAnsi="宋体" w:cs="宋体"/>
      <w:szCs w:val="24"/>
    </w:rPr>
  </w:style>
  <w:style w:type="character" w:customStyle="1" w:styleId="178">
    <w:name w:val="报告表正文 Char"/>
    <w:link w:val="179"/>
    <w:qFormat/>
    <w:uiPriority w:val="0"/>
    <w:rPr>
      <w:sz w:val="24"/>
    </w:rPr>
  </w:style>
  <w:style w:type="paragraph" w:customStyle="1" w:styleId="179">
    <w:name w:val="报告表正文"/>
    <w:basedOn w:val="1"/>
    <w:link w:val="178"/>
    <w:qFormat/>
    <w:uiPriority w:val="0"/>
    <w:pPr>
      <w:spacing w:line="312" w:lineRule="auto"/>
      <w:ind w:left="113" w:right="113" w:firstLine="482"/>
      <w:jc w:val="left"/>
      <w:textAlignment w:val="baseline"/>
    </w:pPr>
    <w:rPr>
      <w:rFonts w:ascii="Calibri" w:hAnsi="Calibri" w:cs="Times New Roman"/>
      <w:kern w:val="0"/>
      <w:szCs w:val="20"/>
    </w:rPr>
  </w:style>
  <w:style w:type="character" w:customStyle="1" w:styleId="180">
    <w:name w:val="标题 2 Char"/>
    <w:qFormat/>
    <w:uiPriority w:val="0"/>
    <w:rPr>
      <w:rFonts w:ascii="宋体" w:hAnsi="宋体" w:eastAsia="宋体"/>
      <w:kern w:val="2"/>
      <w:sz w:val="28"/>
      <w:szCs w:val="24"/>
      <w:lang w:val="en-US" w:eastAsia="zh-CN" w:bidi="ar-SA"/>
    </w:rPr>
  </w:style>
  <w:style w:type="character" w:customStyle="1" w:styleId="181">
    <w:name w:val="正文文本缩进 Char"/>
    <w:qFormat/>
    <w:uiPriority w:val="0"/>
    <w:rPr>
      <w:rFonts w:eastAsia="宋体"/>
      <w:kern w:val="2"/>
      <w:sz w:val="21"/>
      <w:szCs w:val="24"/>
      <w:lang w:val="en-US" w:eastAsia="zh-CN" w:bidi="ar-SA"/>
    </w:rPr>
  </w:style>
  <w:style w:type="character" w:customStyle="1" w:styleId="182">
    <w:name w:val="表格文字 Char Char"/>
    <w:qFormat/>
    <w:uiPriority w:val="0"/>
    <w:rPr>
      <w:rFonts w:ascii="宋体"/>
      <w:color w:val="000000"/>
      <w:sz w:val="24"/>
      <w:lang w:val="en-US" w:eastAsia="zh-CN" w:bidi="ar-SA"/>
    </w:rPr>
  </w:style>
  <w:style w:type="character" w:customStyle="1" w:styleId="183">
    <w:name w:val="表中文字[858D7CFB-ED40-4347-BF05-701D383B685F]"/>
    <w:link w:val="184"/>
    <w:qFormat/>
    <w:uiPriority w:val="0"/>
    <w:rPr>
      <w:kern w:val="2"/>
      <w:sz w:val="21"/>
    </w:rPr>
  </w:style>
  <w:style w:type="paragraph" w:customStyle="1" w:styleId="184">
    <w:name w:val="表中文字"/>
    <w:basedOn w:val="1"/>
    <w:link w:val="183"/>
    <w:qFormat/>
    <w:uiPriority w:val="0"/>
    <w:pPr>
      <w:jc w:val="center"/>
    </w:pPr>
    <w:rPr>
      <w:rFonts w:ascii="Calibri" w:hAnsi="Calibri" w:cs="Times New Roman"/>
      <w:szCs w:val="20"/>
    </w:rPr>
  </w:style>
  <w:style w:type="character" w:customStyle="1" w:styleId="185">
    <w:name w:val="content1"/>
    <w:qFormat/>
    <w:uiPriority w:val="0"/>
    <w:rPr>
      <w:rFonts w:hint="eastAsia" w:ascii="宋体" w:hAnsi="宋体" w:eastAsia="宋体"/>
      <w:color w:val="333333"/>
      <w:sz w:val="21"/>
      <w:szCs w:val="21"/>
    </w:rPr>
  </w:style>
  <w:style w:type="character" w:customStyle="1" w:styleId="186">
    <w:name w:val="表格文字2 Char"/>
    <w:link w:val="187"/>
    <w:qFormat/>
    <w:uiPriority w:val="0"/>
    <w:rPr>
      <w:rFonts w:ascii="宋体"/>
      <w:sz w:val="24"/>
    </w:rPr>
  </w:style>
  <w:style w:type="paragraph" w:customStyle="1" w:styleId="187">
    <w:name w:val="表格文字2"/>
    <w:basedOn w:val="65"/>
    <w:link w:val="186"/>
    <w:qFormat/>
    <w:uiPriority w:val="0"/>
    <w:pPr>
      <w:spacing w:before="60" w:line="240" w:lineRule="auto"/>
      <w:textAlignment w:val="baseline"/>
    </w:pPr>
    <w:rPr>
      <w:rFonts w:ascii="宋体" w:hAnsi="Calibri" w:eastAsia="宋体"/>
      <w:kern w:val="0"/>
      <w:sz w:val="24"/>
      <w:szCs w:val="20"/>
    </w:rPr>
  </w:style>
  <w:style w:type="character" w:customStyle="1" w:styleId="188">
    <w:name w:val="报告书 Char"/>
    <w:link w:val="189"/>
    <w:qFormat/>
    <w:uiPriority w:val="0"/>
    <w:rPr>
      <w:rFonts w:ascii="宋体" w:hAnsi="宋体" w:cs="宋体"/>
      <w:color w:val="0000FF"/>
      <w:sz w:val="24"/>
    </w:rPr>
  </w:style>
  <w:style w:type="paragraph" w:customStyle="1" w:styleId="189">
    <w:name w:val="报告书"/>
    <w:basedOn w:val="1"/>
    <w:link w:val="188"/>
    <w:qFormat/>
    <w:uiPriority w:val="0"/>
    <w:pPr>
      <w:autoSpaceDE w:val="0"/>
      <w:autoSpaceDN w:val="0"/>
      <w:spacing w:line="520" w:lineRule="exact"/>
      <w:ind w:firstLine="480"/>
      <w:jc w:val="left"/>
      <w:textAlignment w:val="bottom"/>
    </w:pPr>
    <w:rPr>
      <w:rFonts w:ascii="宋体" w:hAnsi="宋体" w:cs="宋体"/>
      <w:color w:val="0000FF"/>
      <w:kern w:val="0"/>
      <w:szCs w:val="20"/>
    </w:rPr>
  </w:style>
  <w:style w:type="character" w:customStyle="1" w:styleId="190">
    <w:name w:val="unnamed2"/>
    <w:basedOn w:val="57"/>
    <w:qFormat/>
    <w:uiPriority w:val="0"/>
  </w:style>
  <w:style w:type="character" w:customStyle="1" w:styleId="191">
    <w:name w:val="文本 Char"/>
    <w:link w:val="192"/>
    <w:qFormat/>
    <w:uiPriority w:val="0"/>
    <w:rPr>
      <w:kern w:val="2"/>
      <w:sz w:val="24"/>
      <w:szCs w:val="24"/>
    </w:rPr>
  </w:style>
  <w:style w:type="paragraph" w:customStyle="1" w:styleId="192">
    <w:name w:val="文本"/>
    <w:basedOn w:val="1"/>
    <w:next w:val="30"/>
    <w:link w:val="191"/>
    <w:qFormat/>
    <w:uiPriority w:val="0"/>
    <w:pPr>
      <w:ind w:firstLine="495"/>
    </w:pPr>
    <w:rPr>
      <w:rFonts w:ascii="Calibri" w:hAnsi="Calibri" w:cs="Times New Roman"/>
      <w:szCs w:val="24"/>
    </w:rPr>
  </w:style>
  <w:style w:type="paragraph" w:customStyle="1" w:styleId="193">
    <w:name w:val="段落1"/>
    <w:basedOn w:val="1"/>
    <w:qFormat/>
    <w:uiPriority w:val="0"/>
    <w:pPr>
      <w:spacing w:line="480" w:lineRule="exact"/>
    </w:pPr>
    <w:rPr>
      <w:rFonts w:eastAsia="楷体_GB2312" w:cs="Times New Roman"/>
      <w:spacing w:val="6"/>
      <w:sz w:val="28"/>
      <w:szCs w:val="24"/>
    </w:rPr>
  </w:style>
  <w:style w:type="paragraph" w:customStyle="1" w:styleId="194">
    <w:name w:val="表"/>
    <w:basedOn w:val="1"/>
    <w:qFormat/>
    <w:uiPriority w:val="0"/>
    <w:pPr>
      <w:jc w:val="center"/>
    </w:pPr>
    <w:rPr>
      <w:rFonts w:hAnsi="宋体" w:eastAsia="黑体" w:cs="Times New Roman"/>
      <w:color w:val="000000"/>
      <w:szCs w:val="24"/>
    </w:rPr>
  </w:style>
  <w:style w:type="paragraph" w:customStyle="1" w:styleId="195">
    <w:name w:val="Char Char Char Char"/>
    <w:basedOn w:val="1"/>
    <w:qFormat/>
    <w:uiPriority w:val="0"/>
    <w:pPr>
      <w:spacing w:line="540" w:lineRule="exact"/>
    </w:pPr>
    <w:rPr>
      <w:rFonts w:ascii="楷体_GB2312" w:eastAsia="楷体_GB2312" w:cs="Times New Roman"/>
      <w:kern w:val="0"/>
      <w:szCs w:val="24"/>
    </w:rPr>
  </w:style>
  <w:style w:type="paragraph" w:customStyle="1" w:styleId="196">
    <w:name w:val="报告书表格"/>
    <w:basedOn w:val="1"/>
    <w:qFormat/>
    <w:uiPriority w:val="0"/>
    <w:pPr>
      <w:spacing w:before="60" w:after="60" w:line="240" w:lineRule="atLeast"/>
      <w:jc w:val="center"/>
      <w:textAlignment w:val="baseline"/>
    </w:pPr>
    <w:rPr>
      <w:rFonts w:cs="Times New Roman"/>
      <w:kern w:val="0"/>
      <w:szCs w:val="20"/>
    </w:rPr>
  </w:style>
  <w:style w:type="paragraph" w:customStyle="1" w:styleId="197">
    <w:name w:val="Char1"/>
    <w:basedOn w:val="1"/>
    <w:qFormat/>
    <w:uiPriority w:val="0"/>
    <w:rPr>
      <w:rFonts w:cs="Times New Roman"/>
      <w:szCs w:val="24"/>
    </w:rPr>
  </w:style>
  <w:style w:type="paragraph" w:customStyle="1" w:styleId="198">
    <w:name w:val="表格式"/>
    <w:basedOn w:val="37"/>
    <w:qFormat/>
    <w:uiPriority w:val="0"/>
    <w:pPr>
      <w:spacing w:line="400" w:lineRule="exact"/>
      <w:ind w:left="0" w:firstLine="0" w:firstLineChars="0"/>
      <w:jc w:val="center"/>
    </w:pPr>
    <w:rPr>
      <w:rFonts w:ascii="宋体"/>
      <w:szCs w:val="20"/>
    </w:rPr>
  </w:style>
  <w:style w:type="paragraph" w:customStyle="1" w:styleId="199">
    <w:name w:val="样式 样式 行距: 1.5 倍行距 + 首行缩进:  2 字符"/>
    <w:basedOn w:val="1"/>
    <w:qFormat/>
    <w:uiPriority w:val="0"/>
    <w:pPr>
      <w:ind w:firstLine="420"/>
    </w:pPr>
    <w:rPr>
      <w:rFonts w:cs="宋体"/>
      <w:szCs w:val="20"/>
    </w:rPr>
  </w:style>
  <w:style w:type="paragraph" w:customStyle="1" w:styleId="200">
    <w:name w:val="Char4"/>
    <w:basedOn w:val="1"/>
    <w:qFormat/>
    <w:uiPriority w:val="0"/>
    <w:rPr>
      <w:rFonts w:cs="Times New Roman"/>
      <w:sz w:val="28"/>
      <w:szCs w:val="20"/>
    </w:rPr>
  </w:style>
  <w:style w:type="paragraph" w:customStyle="1" w:styleId="201">
    <w:name w:val="表格标题11"/>
    <w:next w:val="202"/>
    <w:qFormat/>
    <w:uiPriority w:val="0"/>
    <w:pPr>
      <w:keepNext/>
      <w:adjustRightInd w:val="0"/>
      <w:snapToGrid w:val="0"/>
      <w:spacing w:before="50" w:beforeLines="50"/>
      <w:jc w:val="center"/>
      <w:textAlignment w:val="baseline"/>
    </w:pPr>
    <w:rPr>
      <w:rFonts w:ascii="Times New Roman" w:hAnsi="Times New Roman" w:eastAsia="黑体" w:cs="Times New Roman"/>
      <w:kern w:val="2"/>
      <w:sz w:val="21"/>
      <w:szCs w:val="21"/>
      <w:lang w:val="en-US" w:eastAsia="zh-CN" w:bidi="ar-SA"/>
    </w:rPr>
  </w:style>
  <w:style w:type="paragraph" w:customStyle="1" w:styleId="202">
    <w:name w:val="报告表格"/>
    <w:basedOn w:val="1"/>
    <w:qFormat/>
    <w:uiPriority w:val="0"/>
    <w:pPr>
      <w:autoSpaceDE w:val="0"/>
      <w:autoSpaceDN w:val="0"/>
      <w:spacing w:before="40" w:after="40"/>
      <w:jc w:val="center"/>
      <w:textAlignment w:val="bottom"/>
    </w:pPr>
    <w:rPr>
      <w:rFonts w:cs="Times New Roman"/>
      <w:kern w:val="0"/>
      <w:szCs w:val="20"/>
    </w:rPr>
  </w:style>
  <w:style w:type="paragraph" w:customStyle="1" w:styleId="203">
    <w:name w:val="+正文"/>
    <w:basedOn w:val="1"/>
    <w:qFormat/>
    <w:uiPriority w:val="0"/>
    <w:rPr>
      <w:rFonts w:cs="Times New Roman"/>
      <w:szCs w:val="24"/>
    </w:rPr>
  </w:style>
  <w:style w:type="paragraph" w:customStyle="1" w:styleId="204">
    <w:name w:val="1"/>
    <w:basedOn w:val="1"/>
    <w:qFormat/>
    <w:uiPriority w:val="0"/>
    <w:pPr>
      <w:ind w:firstLine="538" w:firstLineChars="192"/>
    </w:pPr>
    <w:rPr>
      <w:rFonts w:ascii="宋体" w:hAnsi="宋体" w:cs="Times New Roman"/>
      <w:bCs/>
      <w:sz w:val="28"/>
      <w:szCs w:val="28"/>
    </w:rPr>
  </w:style>
  <w:style w:type="paragraph" w:customStyle="1" w:styleId="205">
    <w:name w:val="Char"/>
    <w:basedOn w:val="1"/>
    <w:qFormat/>
    <w:uiPriority w:val="0"/>
    <w:rPr>
      <w:rFonts w:cs="Times New Roman"/>
      <w:szCs w:val="24"/>
    </w:rPr>
  </w:style>
  <w:style w:type="paragraph" w:customStyle="1" w:styleId="206">
    <w:name w:val="edri-正文"/>
    <w:basedOn w:val="1"/>
    <w:qFormat/>
    <w:uiPriority w:val="0"/>
    <w:pPr>
      <w:jc w:val="center"/>
      <w:textAlignment w:val="baseline"/>
    </w:pPr>
    <w:rPr>
      <w:rFonts w:ascii="黑体" w:eastAsia="黑体" w:cs="Times New Roman"/>
      <w:snapToGrid w:val="0"/>
      <w:kern w:val="0"/>
      <w:szCs w:val="20"/>
    </w:rPr>
  </w:style>
  <w:style w:type="paragraph" w:customStyle="1" w:styleId="207">
    <w:name w:val="默认段落字体 Para Char Char Char Char"/>
    <w:basedOn w:val="1"/>
    <w:qFormat/>
    <w:uiPriority w:val="0"/>
    <w:rPr>
      <w:rFonts w:cs="Times New Roman"/>
      <w:szCs w:val="24"/>
    </w:rPr>
  </w:style>
  <w:style w:type="paragraph" w:customStyle="1" w:styleId="208">
    <w:name w:val="1表格"/>
    <w:basedOn w:val="1"/>
    <w:qFormat/>
    <w:uiPriority w:val="0"/>
    <w:pPr>
      <w:spacing w:line="160" w:lineRule="atLeast"/>
      <w:jc w:val="center"/>
    </w:pPr>
    <w:rPr>
      <w:rFonts w:eastAsia="仿宋_GB2312" w:cs="Times New Roman"/>
      <w:szCs w:val="20"/>
    </w:rPr>
  </w:style>
  <w:style w:type="paragraph" w:customStyle="1" w:styleId="209">
    <w:name w:val="Char Char Char Char Char Char1 Char"/>
    <w:basedOn w:val="1"/>
    <w:qFormat/>
    <w:uiPriority w:val="0"/>
    <w:pPr>
      <w:widowControl/>
      <w:spacing w:after="160" w:line="240" w:lineRule="exact"/>
      <w:jc w:val="left"/>
    </w:pPr>
    <w:rPr>
      <w:rFonts w:cs="Times New Roman"/>
      <w:szCs w:val="24"/>
    </w:rPr>
  </w:style>
  <w:style w:type="paragraph" w:customStyle="1" w:styleId="210">
    <w:name w:val="报告"/>
    <w:basedOn w:val="1"/>
    <w:qFormat/>
    <w:uiPriority w:val="0"/>
    <w:pPr>
      <w:ind w:firstLine="505"/>
      <w:textAlignment w:val="baseline"/>
    </w:pPr>
    <w:rPr>
      <w:rFonts w:cs="Times New Roman"/>
      <w:kern w:val="0"/>
      <w:szCs w:val="20"/>
    </w:rPr>
  </w:style>
  <w:style w:type="paragraph" w:customStyle="1" w:styleId="211">
    <w:name w:val="Char1 Char Char Char"/>
    <w:basedOn w:val="1"/>
    <w:qFormat/>
    <w:uiPriority w:val="0"/>
    <w:rPr>
      <w:rFonts w:cs="Times New Roman"/>
      <w:szCs w:val="24"/>
    </w:rPr>
  </w:style>
  <w:style w:type="paragraph" w:customStyle="1" w:styleId="212">
    <w:name w:val="char"/>
    <w:basedOn w:val="1"/>
    <w:qFormat/>
    <w:uiPriority w:val="0"/>
    <w:pPr>
      <w:widowControl/>
      <w:spacing w:after="160" w:line="240" w:lineRule="exact"/>
      <w:jc w:val="left"/>
    </w:pPr>
    <w:rPr>
      <w:rFonts w:cs="Times New Roman"/>
      <w:szCs w:val="24"/>
    </w:rPr>
  </w:style>
  <w:style w:type="paragraph" w:customStyle="1" w:styleId="213">
    <w:name w:val="正文(首行缩进)宋旭峰"/>
    <w:basedOn w:val="13"/>
    <w:qFormat/>
    <w:uiPriority w:val="99"/>
    <w:pPr>
      <w:ind w:firstLine="0"/>
    </w:pPr>
    <w:rPr>
      <w:snapToGrid w:val="0"/>
      <w:szCs w:val="20"/>
    </w:rPr>
  </w:style>
  <w:style w:type="paragraph" w:customStyle="1" w:styleId="214">
    <w:name w:val="列表段落1"/>
    <w:basedOn w:val="1"/>
    <w:qFormat/>
    <w:uiPriority w:val="34"/>
    <w:pPr>
      <w:ind w:firstLine="420"/>
    </w:pPr>
    <w:rPr>
      <w:rFonts w:cs="Times New Roman"/>
      <w:szCs w:val="24"/>
    </w:rPr>
  </w:style>
  <w:style w:type="character" w:customStyle="1" w:styleId="215">
    <w:name w:val="纯文本 Char1"/>
    <w:qFormat/>
    <w:uiPriority w:val="0"/>
    <w:rPr>
      <w:rFonts w:ascii="宋体" w:hAnsi="Courier New" w:cs="Courier New"/>
      <w:kern w:val="2"/>
      <w:sz w:val="21"/>
      <w:szCs w:val="21"/>
    </w:rPr>
  </w:style>
  <w:style w:type="character" w:customStyle="1" w:styleId="216">
    <w:name w:val="正文文本 2 字符"/>
    <w:basedOn w:val="57"/>
    <w:qFormat/>
    <w:uiPriority w:val="0"/>
    <w:rPr>
      <w:sz w:val="22"/>
      <w:szCs w:val="22"/>
      <w:lang w:eastAsia="en-US"/>
    </w:rPr>
  </w:style>
  <w:style w:type="character" w:customStyle="1" w:styleId="217">
    <w:name w:val="题注 Char"/>
    <w:qFormat/>
    <w:uiPriority w:val="0"/>
    <w:rPr>
      <w:rFonts w:ascii="Calibri" w:hAnsi="Calibri" w:cs="黑体"/>
      <w:kern w:val="2"/>
      <w:sz w:val="21"/>
      <w:szCs w:val="24"/>
      <w:lang w:val="en-US" w:eastAsia="zh-CN" w:bidi="ar-SA"/>
    </w:rPr>
  </w:style>
  <w:style w:type="character" w:customStyle="1" w:styleId="218">
    <w:name w:val="lh151"/>
    <w:basedOn w:val="57"/>
    <w:qFormat/>
    <w:uiPriority w:val="0"/>
  </w:style>
  <w:style w:type="character" w:customStyle="1" w:styleId="219">
    <w:name w:val="正文文本 字符1"/>
    <w:semiHidden/>
    <w:qFormat/>
    <w:uiPriority w:val="0"/>
    <w:rPr>
      <w:rFonts w:ascii="Times New Roman" w:hAnsi="Times New Roman" w:eastAsia="宋体" w:cs="Times New Roman"/>
      <w:sz w:val="24"/>
      <w:szCs w:val="24"/>
    </w:rPr>
  </w:style>
  <w:style w:type="paragraph" w:customStyle="1" w:styleId="220">
    <w:name w:val="本正文"/>
    <w:basedOn w:val="21"/>
    <w:qFormat/>
    <w:uiPriority w:val="0"/>
    <w:pPr>
      <w:spacing w:line="300" w:lineRule="auto"/>
      <w:ind w:firstLine="420"/>
    </w:pPr>
    <w:rPr>
      <w:szCs w:val="21"/>
    </w:rPr>
  </w:style>
  <w:style w:type="character" w:customStyle="1" w:styleId="221">
    <w:name w:val="fontstyle01"/>
    <w:basedOn w:val="57"/>
    <w:qFormat/>
    <w:uiPriority w:val="0"/>
    <w:rPr>
      <w:rFonts w:ascii="仿宋_GB2312" w:hAnsi="仿宋_GB2312" w:eastAsia="仿宋_GB2312" w:cs="仿宋_GB2312"/>
      <w:color w:val="000000"/>
      <w:sz w:val="28"/>
      <w:szCs w:val="28"/>
    </w:rPr>
  </w:style>
  <w:style w:type="character" w:customStyle="1" w:styleId="222">
    <w:name w:val="fontstyle21"/>
    <w:basedOn w:val="57"/>
    <w:qFormat/>
    <w:uiPriority w:val="0"/>
    <w:rPr>
      <w:rFonts w:ascii="Calibri" w:hAnsi="Calibri" w:cs="Calibri"/>
      <w:color w:val="000000"/>
      <w:sz w:val="22"/>
      <w:szCs w:val="22"/>
    </w:rPr>
  </w:style>
  <w:style w:type="paragraph" w:customStyle="1" w:styleId="223">
    <w:name w:val="0环评标题2"/>
    <w:basedOn w:val="3"/>
    <w:qFormat/>
    <w:uiPriority w:val="0"/>
    <w:pPr>
      <w:adjustRightInd/>
      <w:spacing w:line="480" w:lineRule="exact"/>
      <w:ind w:firstLine="200"/>
    </w:pPr>
    <w:rPr>
      <w:rFonts w:ascii="ˎ̥" w:hAnsi="ˎ̥" w:eastAsia="Arial" w:cs="Arial"/>
      <w:kern w:val="2"/>
      <w:sz w:val="26"/>
    </w:rPr>
  </w:style>
  <w:style w:type="paragraph" w:customStyle="1" w:styleId="224">
    <w:name w:val="样式 正文 首行缩进:  2 字符 SL CON + 首行缩进:  2 字符"/>
    <w:basedOn w:val="225"/>
    <w:qFormat/>
    <w:uiPriority w:val="0"/>
    <w:pPr>
      <w:tabs>
        <w:tab w:val="left" w:pos="377"/>
      </w:tabs>
      <w:ind w:firstLine="480"/>
    </w:pPr>
  </w:style>
  <w:style w:type="paragraph" w:customStyle="1" w:styleId="225">
    <w:name w:val="正文 首行缩进:  2 字符 SL CON"/>
    <w:basedOn w:val="1"/>
    <w:qFormat/>
    <w:uiPriority w:val="0"/>
    <w:pPr>
      <w:widowControl/>
      <w:tabs>
        <w:tab w:val="left" w:pos="377"/>
      </w:tabs>
      <w:jc w:val="left"/>
    </w:pPr>
    <w:rPr>
      <w:rFonts w:ascii="宋体" w:hAnsi="Calibri" w:cs="宋体"/>
      <w:kern w:val="0"/>
      <w:lang w:eastAsia="en-US"/>
    </w:rPr>
  </w:style>
  <w:style w:type="paragraph" w:customStyle="1" w:styleId="226">
    <w:name w:val="图名使用"/>
    <w:basedOn w:val="1"/>
    <w:qFormat/>
    <w:uiPriority w:val="0"/>
    <w:pPr>
      <w:widowControl/>
      <w:spacing w:line="440" w:lineRule="exact"/>
      <w:jc w:val="center"/>
    </w:pPr>
    <w:rPr>
      <w:rFonts w:ascii="Calibri" w:hAnsi="Calibri" w:eastAsia="黑体" w:cs="Times New Roman"/>
      <w:sz w:val="22"/>
      <w:szCs w:val="21"/>
      <w:lang w:eastAsia="en-US"/>
    </w:rPr>
  </w:style>
  <w:style w:type="paragraph" w:customStyle="1" w:styleId="227">
    <w:name w:val="Body Text 22"/>
    <w:basedOn w:val="1"/>
    <w:qFormat/>
    <w:uiPriority w:val="0"/>
    <w:pPr>
      <w:widowControl/>
      <w:spacing w:line="440" w:lineRule="atLeast"/>
      <w:ind w:firstLine="480"/>
      <w:jc w:val="left"/>
    </w:pPr>
    <w:rPr>
      <w:rFonts w:ascii="仿宋_GB2312" w:hAnsi="仿宋_GB2312" w:eastAsia="ˎ̥" w:cs="仿宋_GB2312"/>
      <w:sz w:val="22"/>
      <w:lang w:eastAsia="en-US"/>
    </w:rPr>
  </w:style>
  <w:style w:type="paragraph" w:customStyle="1" w:styleId="228">
    <w:name w:val="0环评正文"/>
    <w:basedOn w:val="1"/>
    <w:qFormat/>
    <w:uiPriority w:val="0"/>
    <w:pPr>
      <w:widowControl/>
      <w:spacing w:line="480" w:lineRule="exact"/>
      <w:jc w:val="left"/>
    </w:pPr>
    <w:rPr>
      <w:rFonts w:ascii="Calibri" w:hAnsi="Calibri" w:cs="Times New Roman"/>
      <w:sz w:val="26"/>
      <w:lang w:eastAsia="en-US"/>
    </w:rPr>
  </w:style>
  <w:style w:type="paragraph" w:customStyle="1" w:styleId="229">
    <w:name w:val="二级无标题条"/>
    <w:basedOn w:val="1"/>
    <w:qFormat/>
    <w:uiPriority w:val="0"/>
    <w:pPr>
      <w:widowControl/>
      <w:jc w:val="left"/>
    </w:pPr>
    <w:rPr>
      <w:rFonts w:ascii="Calibri" w:hAnsi="Calibri" w:cs="Times New Roman"/>
      <w:lang w:eastAsia="en-US"/>
    </w:rPr>
  </w:style>
  <w:style w:type="paragraph" w:customStyle="1" w:styleId="230">
    <w:name w:val="表头使用"/>
    <w:basedOn w:val="1"/>
    <w:qFormat/>
    <w:uiPriority w:val="0"/>
    <w:pPr>
      <w:widowControl/>
      <w:jc w:val="right"/>
    </w:pPr>
    <w:rPr>
      <w:rFonts w:ascii="Calibri" w:hAnsi="Calibri" w:eastAsia="黑体" w:cs="Times New Roman"/>
      <w:kern w:val="0"/>
      <w:sz w:val="22"/>
      <w:szCs w:val="24"/>
      <w:lang w:eastAsia="en-US"/>
    </w:rPr>
  </w:style>
  <w:style w:type="paragraph" w:customStyle="1" w:styleId="231">
    <w:name w:val="纯文本2"/>
    <w:basedOn w:val="1"/>
    <w:qFormat/>
    <w:uiPriority w:val="0"/>
    <w:pPr>
      <w:widowControl/>
      <w:jc w:val="left"/>
    </w:pPr>
    <w:rPr>
      <w:rFonts w:ascii="宋体" w:hAnsi="Courier New" w:cs="Courier New"/>
      <w:kern w:val="0"/>
      <w:sz w:val="20"/>
      <w:szCs w:val="21"/>
      <w:lang w:eastAsia="en-US"/>
    </w:rPr>
  </w:style>
  <w:style w:type="paragraph" w:customStyle="1" w:styleId="232">
    <w:name w:val="正文（科宏）"/>
    <w:qFormat/>
    <w:uiPriority w:val="0"/>
    <w:pPr>
      <w:widowControl w:val="0"/>
      <w:spacing w:line="360" w:lineRule="auto"/>
      <w:ind w:firstLine="200" w:firstLineChars="200"/>
      <w:jc w:val="both"/>
    </w:pPr>
    <w:rPr>
      <w:rFonts w:ascii="Arial" w:hAnsi="Arial" w:eastAsia="仿宋_GB2312" w:cs="Times New Roman"/>
      <w:sz w:val="28"/>
      <w:lang w:val="en-US" w:eastAsia="zh-CN" w:bidi="ar-SA"/>
    </w:rPr>
  </w:style>
  <w:style w:type="character" w:customStyle="1" w:styleId="233">
    <w:name w:val="样式 样式 正文 首行缩进:  2 字符 SL CON + 首行缩进:  2 字符 + 宋体 Char Char Char"/>
    <w:qFormat/>
    <w:uiPriority w:val="0"/>
    <w:rPr>
      <w:kern w:val="2"/>
      <w:sz w:val="24"/>
      <w:szCs w:val="21"/>
    </w:rPr>
  </w:style>
  <w:style w:type="paragraph" w:customStyle="1" w:styleId="234">
    <w:name w:val="样式 样式 正文 首行缩进:  2 字符 SL CON + 首行缩进:  2 字符 + 宋体"/>
    <w:basedOn w:val="224"/>
    <w:qFormat/>
    <w:uiPriority w:val="0"/>
    <w:rPr>
      <w:rFonts w:ascii="Calibri"/>
    </w:rPr>
  </w:style>
  <w:style w:type="paragraph" w:customStyle="1" w:styleId="235">
    <w:name w:val="普通(网站)2"/>
    <w:basedOn w:val="1"/>
    <w:qFormat/>
    <w:uiPriority w:val="0"/>
    <w:pPr>
      <w:widowControl/>
      <w:spacing w:before="100" w:beforeAutospacing="1" w:after="100" w:afterAutospacing="1"/>
      <w:jc w:val="left"/>
    </w:pPr>
    <w:rPr>
      <w:rFonts w:ascii="宋体" w:hAnsi="宋体" w:cs="Times New Roman"/>
      <w:szCs w:val="20"/>
    </w:rPr>
  </w:style>
  <w:style w:type="character" w:customStyle="1" w:styleId="236">
    <w:name w:val="样式 小四 Char Char"/>
    <w:link w:val="237"/>
    <w:qFormat/>
    <w:uiPriority w:val="0"/>
    <w:rPr>
      <w:szCs w:val="24"/>
      <w:lang w:val="zh-CN"/>
    </w:rPr>
  </w:style>
  <w:style w:type="paragraph" w:customStyle="1" w:styleId="237">
    <w:name w:val="样式 小四"/>
    <w:basedOn w:val="1"/>
    <w:link w:val="236"/>
    <w:qFormat/>
    <w:uiPriority w:val="0"/>
    <w:pPr>
      <w:ind w:firstLine="480"/>
    </w:pPr>
    <w:rPr>
      <w:rFonts w:cs="Times New Roman"/>
      <w:kern w:val="0"/>
      <w:sz w:val="20"/>
      <w:szCs w:val="24"/>
      <w:lang w:val="zh-CN"/>
    </w:rPr>
  </w:style>
  <w:style w:type="paragraph" w:customStyle="1" w:styleId="238">
    <w:name w:val="C正文"/>
    <w:basedOn w:val="1"/>
    <w:qFormat/>
    <w:uiPriority w:val="0"/>
    <w:pPr>
      <w:contextualSpacing/>
    </w:pPr>
    <w:rPr>
      <w:rFonts w:cs="Times New Roman"/>
      <w:szCs w:val="24"/>
    </w:rPr>
  </w:style>
  <w:style w:type="paragraph" w:customStyle="1" w:styleId="239">
    <w:name w:val="C表格"/>
    <w:basedOn w:val="1"/>
    <w:next w:val="238"/>
    <w:qFormat/>
    <w:uiPriority w:val="0"/>
    <w:pPr>
      <w:ind w:firstLine="480"/>
      <w:contextualSpacing/>
      <w:jc w:val="center"/>
    </w:pPr>
    <w:rPr>
      <w:rFonts w:eastAsia="黑体" w:cs="Times New Roman"/>
      <w:szCs w:val="24"/>
    </w:rPr>
  </w:style>
  <w:style w:type="character" w:customStyle="1" w:styleId="240">
    <w:name w:val="泸县焦化三级标题 Char Char"/>
    <w:link w:val="241"/>
    <w:qFormat/>
    <w:uiPriority w:val="0"/>
    <w:rPr>
      <w:b/>
      <w:bCs/>
      <w:sz w:val="24"/>
      <w:szCs w:val="24"/>
    </w:rPr>
  </w:style>
  <w:style w:type="paragraph" w:customStyle="1" w:styleId="241">
    <w:name w:val="泸县焦化三级标题"/>
    <w:basedOn w:val="1"/>
    <w:link w:val="240"/>
    <w:qFormat/>
    <w:uiPriority w:val="0"/>
    <w:pPr>
      <w:keepNext/>
      <w:keepLines/>
      <w:autoSpaceDE w:val="0"/>
      <w:autoSpaceDN w:val="0"/>
      <w:outlineLvl w:val="2"/>
    </w:pPr>
    <w:rPr>
      <w:rFonts w:cs="Times New Roman"/>
      <w:b/>
      <w:bCs/>
      <w:kern w:val="0"/>
      <w:szCs w:val="24"/>
    </w:rPr>
  </w:style>
  <w:style w:type="paragraph" w:customStyle="1" w:styleId="242">
    <w:name w:val="p_MsoNormal"/>
    <w:basedOn w:val="1"/>
    <w:qFormat/>
    <w:uiPriority w:val="0"/>
    <w:pPr>
      <w:widowControl/>
      <w:autoSpaceDE w:val="0"/>
      <w:autoSpaceDN w:val="0"/>
      <w:spacing w:line="400" w:lineRule="atLeast"/>
      <w:ind w:firstLine="482"/>
      <w:jc w:val="left"/>
      <w:textAlignment w:val="baseline"/>
    </w:pPr>
    <w:rPr>
      <w:rFonts w:ascii="宋体" w:hAnsi="宋体" w:cs="宋体"/>
      <w:kern w:val="0"/>
      <w:szCs w:val="24"/>
    </w:rPr>
  </w:style>
  <w:style w:type="character" w:customStyle="1" w:styleId="243">
    <w:name w:val="批注文字 Char1"/>
    <w:qFormat/>
    <w:uiPriority w:val="0"/>
    <w:rPr>
      <w:rFonts w:ascii="Times New Roman" w:hAnsi="Times New Roman" w:eastAsia="宋体" w:cs="Times New Roman"/>
      <w:szCs w:val="24"/>
    </w:rPr>
  </w:style>
  <w:style w:type="character" w:customStyle="1" w:styleId="244">
    <w:name w:val="标题 字符"/>
    <w:basedOn w:val="57"/>
    <w:link w:val="48"/>
    <w:qFormat/>
    <w:uiPriority w:val="10"/>
    <w:rPr>
      <w:rFonts w:ascii="Arial" w:hAnsi="Arial"/>
      <w:b/>
      <w:sz w:val="32"/>
    </w:rPr>
  </w:style>
  <w:style w:type="character" w:customStyle="1" w:styleId="245">
    <w:name w:val="sub"/>
    <w:qFormat/>
    <w:uiPriority w:val="0"/>
    <w:rPr>
      <w:rFonts w:ascii="宋体" w:hAnsi="宋体" w:eastAsia="宋体" w:cs="宋体"/>
      <w:color w:val="000000"/>
      <w:sz w:val="18"/>
      <w:szCs w:val="18"/>
    </w:rPr>
  </w:style>
  <w:style w:type="character" w:customStyle="1" w:styleId="246">
    <w:name w:val="sup"/>
    <w:qFormat/>
    <w:uiPriority w:val="0"/>
    <w:rPr>
      <w:rFonts w:ascii="宋体" w:hAnsi="宋体" w:eastAsia="宋体" w:cs="宋体"/>
      <w:color w:val="000000"/>
      <w:sz w:val="18"/>
      <w:szCs w:val="18"/>
    </w:rPr>
  </w:style>
  <w:style w:type="paragraph" w:customStyle="1" w:styleId="247">
    <w:name w:val="表格内格式"/>
    <w:basedOn w:val="1"/>
    <w:next w:val="1"/>
    <w:qFormat/>
    <w:uiPriority w:val="0"/>
    <w:pPr>
      <w:autoSpaceDE w:val="0"/>
      <w:autoSpaceDN w:val="0"/>
      <w:jc w:val="center"/>
      <w:textAlignment w:val="baseline"/>
    </w:pPr>
    <w:rPr>
      <w:rFonts w:cs="Times New Roman"/>
      <w:kern w:val="0"/>
      <w:szCs w:val="20"/>
    </w:rPr>
  </w:style>
  <w:style w:type="paragraph" w:customStyle="1" w:styleId="248">
    <w:name w:val="正文格式"/>
    <w:basedOn w:val="1"/>
    <w:qFormat/>
    <w:uiPriority w:val="0"/>
    <w:pPr>
      <w:autoSpaceDE w:val="0"/>
      <w:autoSpaceDN w:val="0"/>
      <w:ind w:firstLine="480"/>
      <w:textAlignment w:val="baseline"/>
    </w:pPr>
    <w:rPr>
      <w:rFonts w:cs="Times New Roman"/>
      <w:kern w:val="0"/>
      <w:szCs w:val="20"/>
    </w:rPr>
  </w:style>
  <w:style w:type="character" w:customStyle="1" w:styleId="249">
    <w:name w:val="Unresolved Mention"/>
    <w:basedOn w:val="57"/>
    <w:semiHidden/>
    <w:unhideWhenUsed/>
    <w:qFormat/>
    <w:uiPriority w:val="99"/>
    <w:rPr>
      <w:color w:val="605E5C"/>
      <w:shd w:val="clear" w:color="auto" w:fill="E1DFDD"/>
    </w:rPr>
  </w:style>
  <w:style w:type="paragraph" w:customStyle="1" w:styleId="250">
    <w:name w:val="正文（川油）"/>
    <w:qFormat/>
    <w:uiPriority w:val="0"/>
    <w:pPr>
      <w:widowControl w:val="0"/>
      <w:spacing w:line="360" w:lineRule="auto"/>
      <w:ind w:firstLine="200" w:firstLineChars="200"/>
      <w:jc w:val="both"/>
    </w:pPr>
    <w:rPr>
      <w:rFonts w:ascii="Times New Roman" w:hAnsi="Times New Roman" w:eastAsia="宋体" w:cs="Times New Roman"/>
      <w:sz w:val="24"/>
      <w:lang w:val="en-US" w:eastAsia="zh-CN" w:bidi="ar-SA"/>
    </w:rPr>
  </w:style>
  <w:style w:type="paragraph" w:customStyle="1" w:styleId="251">
    <w:name w:val="表标题名"/>
    <w:basedOn w:val="148"/>
    <w:link w:val="252"/>
    <w:qFormat/>
    <w:uiPriority w:val="0"/>
    <w:pPr>
      <w:tabs>
        <w:tab w:val="left" w:pos="1350"/>
      </w:tabs>
      <w:autoSpaceDE w:val="0"/>
      <w:autoSpaceDN w:val="0"/>
      <w:spacing w:before="0"/>
    </w:pPr>
    <w:rPr>
      <w:rFonts w:ascii="Times New Roman" w:hAnsi="Times New Roman" w:eastAsia="宋体"/>
      <w:shd w:val="clear" w:color="auto" w:fill="FFFFFF"/>
    </w:rPr>
  </w:style>
  <w:style w:type="character" w:customStyle="1" w:styleId="252">
    <w:name w:val="表标题名 Char"/>
    <w:link w:val="251"/>
    <w:qFormat/>
    <w:uiPriority w:val="0"/>
    <w:rPr>
      <w:kern w:val="2"/>
      <w:sz w:val="21"/>
      <w:szCs w:val="24"/>
    </w:rPr>
  </w:style>
  <w:style w:type="paragraph" w:customStyle="1" w:styleId="253">
    <w:name w:val="0表格正文"/>
    <w:link w:val="254"/>
    <w:qFormat/>
    <w:uiPriority w:val="0"/>
    <w:pPr>
      <w:jc w:val="center"/>
    </w:pPr>
    <w:rPr>
      <w:rFonts w:ascii="Times New Roman" w:hAnsi="Times New Roman" w:eastAsia="宋体" w:cstheme="minorBidi"/>
      <w:sz w:val="21"/>
      <w:szCs w:val="21"/>
      <w:lang w:val="en-US" w:eastAsia="zh-CN" w:bidi="ar-SA"/>
    </w:rPr>
  </w:style>
  <w:style w:type="character" w:customStyle="1" w:styleId="254">
    <w:name w:val="0表格正文 字符"/>
    <w:basedOn w:val="57"/>
    <w:link w:val="253"/>
    <w:qFormat/>
    <w:uiPriority w:val="0"/>
    <w:rPr>
      <w:rFonts w:cstheme="minorBidi"/>
      <w:sz w:val="21"/>
      <w:szCs w:val="21"/>
    </w:rPr>
  </w:style>
  <w:style w:type="character" w:customStyle="1" w:styleId="255">
    <w:name w:val="【表内字】 Char"/>
    <w:link w:val="256"/>
    <w:qFormat/>
    <w:uiPriority w:val="0"/>
    <w:rPr>
      <w:sz w:val="21"/>
      <w:szCs w:val="24"/>
    </w:rPr>
  </w:style>
  <w:style w:type="paragraph" w:customStyle="1" w:styleId="256">
    <w:name w:val="【表内字】"/>
    <w:basedOn w:val="1"/>
    <w:link w:val="255"/>
    <w:qFormat/>
    <w:uiPriority w:val="0"/>
    <w:pPr>
      <w:jc w:val="center"/>
    </w:pPr>
    <w:rPr>
      <w:rFonts w:cs="Times New Roman"/>
      <w:kern w:val="0"/>
      <w:szCs w:val="24"/>
    </w:rPr>
  </w:style>
  <w:style w:type="character" w:customStyle="1" w:styleId="257">
    <w:name w:val="日期 字符"/>
    <w:basedOn w:val="57"/>
    <w:link w:val="29"/>
    <w:qFormat/>
    <w:uiPriority w:val="99"/>
    <w:rPr>
      <w:rFonts w:ascii="宋体" w:cs="宋体" w:eastAsiaTheme="minorEastAsia"/>
      <w:sz w:val="24"/>
      <w:szCs w:val="24"/>
    </w:rPr>
  </w:style>
  <w:style w:type="paragraph" w:customStyle="1" w:styleId="258">
    <w:name w:val="1、L表名、图名"/>
    <w:basedOn w:val="1"/>
    <w:qFormat/>
    <w:uiPriority w:val="0"/>
    <w:pPr>
      <w:jc w:val="center"/>
    </w:pPr>
    <w:rPr>
      <w:rFonts w:cs="Times New Roman"/>
      <w:bCs/>
      <w:szCs w:val="18"/>
    </w:rPr>
  </w:style>
  <w:style w:type="paragraph" w:customStyle="1" w:styleId="259">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260">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table" w:customStyle="1" w:styleId="261">
    <w:name w:val="S表格正文"/>
    <w:basedOn w:val="52"/>
    <w:qFormat/>
    <w:uiPriority w:val="99"/>
    <w:rPr>
      <w:rFonts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paragraph" w:customStyle="1" w:styleId="262">
    <w:name w:val="0表头"/>
    <w:basedOn w:val="253"/>
    <w:link w:val="263"/>
    <w:qFormat/>
    <w:uiPriority w:val="0"/>
    <w:rPr>
      <w:rFonts w:eastAsia="黑体"/>
      <w:b/>
    </w:rPr>
  </w:style>
  <w:style w:type="character" w:customStyle="1" w:styleId="263">
    <w:name w:val="0表头 字符"/>
    <w:basedOn w:val="254"/>
    <w:link w:val="262"/>
    <w:qFormat/>
    <w:uiPriority w:val="0"/>
    <w:rPr>
      <w:rFonts w:eastAsia="黑体" w:cstheme="minorBidi"/>
      <w:b/>
      <w:sz w:val="21"/>
      <w:szCs w:val="21"/>
    </w:rPr>
  </w:style>
  <w:style w:type="character" w:customStyle="1" w:styleId="264">
    <w:name w:val="SSEC 表字居中 字符"/>
    <w:link w:val="265"/>
    <w:qFormat/>
    <w:uiPriority w:val="0"/>
    <w:rPr>
      <w:rFonts w:ascii="宋体"/>
      <w:kern w:val="2"/>
      <w:sz w:val="21"/>
      <w:szCs w:val="21"/>
    </w:rPr>
  </w:style>
  <w:style w:type="paragraph" w:customStyle="1" w:styleId="265">
    <w:name w:val="SSEC 表字居中"/>
    <w:link w:val="264"/>
    <w:qFormat/>
    <w:uiPriority w:val="0"/>
    <w:pPr>
      <w:widowControl w:val="0"/>
      <w:adjustRightInd w:val="0"/>
      <w:snapToGrid w:val="0"/>
      <w:jc w:val="center"/>
      <w:textAlignment w:val="center"/>
    </w:pPr>
    <w:rPr>
      <w:rFonts w:ascii="宋体" w:hAnsi="Times New Roman" w:eastAsia="宋体" w:cs="Times New Roman"/>
      <w:kern w:val="2"/>
      <w:sz w:val="21"/>
      <w:szCs w:val="21"/>
      <w:lang w:val="en-US" w:eastAsia="zh-CN" w:bidi="ar-SA"/>
    </w:rPr>
  </w:style>
  <w:style w:type="paragraph" w:customStyle="1" w:styleId="266">
    <w:name w:val="1 Char Char Char Char"/>
    <w:basedOn w:val="1"/>
    <w:qFormat/>
    <w:uiPriority w:val="0"/>
    <w:rPr>
      <w:rFonts w:cs="Times New Roman"/>
      <w:szCs w:val="24"/>
    </w:rPr>
  </w:style>
  <w:style w:type="character" w:customStyle="1" w:styleId="267">
    <w:name w:val="SSEC表字居中 20150323 Char"/>
    <w:link w:val="268"/>
    <w:qFormat/>
    <w:locked/>
    <w:uiPriority w:val="0"/>
    <w:rPr>
      <w:rFonts w:ascii="宋体" w:hAnsi="宋体"/>
      <w:kern w:val="2"/>
      <w:sz w:val="21"/>
      <w:szCs w:val="21"/>
    </w:rPr>
  </w:style>
  <w:style w:type="paragraph" w:customStyle="1" w:styleId="268">
    <w:name w:val="SSEC表字居中 20150323"/>
    <w:link w:val="267"/>
    <w:qFormat/>
    <w:uiPriority w:val="0"/>
    <w:pPr>
      <w:adjustRightInd w:val="0"/>
      <w:snapToGrid w:val="0"/>
      <w:jc w:val="center"/>
    </w:pPr>
    <w:rPr>
      <w:rFonts w:ascii="宋体" w:hAnsi="宋体" w:eastAsia="宋体" w:cs="Times New Roman"/>
      <w:kern w:val="2"/>
      <w:sz w:val="21"/>
      <w:szCs w:val="21"/>
      <w:lang w:val="en-US" w:eastAsia="zh-CN" w:bidi="ar-SA"/>
    </w:rPr>
  </w:style>
  <w:style w:type="character" w:customStyle="1" w:styleId="269">
    <w:name w:val="【正文】 Char Char"/>
    <w:qFormat/>
    <w:uiPriority w:val="0"/>
    <w:rPr>
      <w:sz w:val="24"/>
      <w:lang w:bidi="ar-SA"/>
    </w:rPr>
  </w:style>
  <w:style w:type="paragraph" w:customStyle="1" w:styleId="270">
    <w:name w:val="TOC 标题11"/>
    <w:next w:val="1"/>
    <w:unhideWhenUsed/>
    <w:qFormat/>
    <w:uiPriority w:val="39"/>
    <w:pPr>
      <w:spacing w:line="360" w:lineRule="auto"/>
      <w:jc w:val="center"/>
    </w:pPr>
    <w:rPr>
      <w:rFonts w:ascii="Times New Roman" w:hAnsi="Times New Roman" w:eastAsia="Times New Roman" w:cstheme="majorBidi"/>
      <w:b/>
      <w:bCs/>
      <w:sz w:val="21"/>
      <w:szCs w:val="28"/>
      <w:lang w:val="en-US" w:eastAsia="zh-CN" w:bidi="ar-SA"/>
    </w:rPr>
  </w:style>
  <w:style w:type="table" w:customStyle="1" w:styleId="271">
    <w:name w:val="S表格样式"/>
    <w:basedOn w:val="52"/>
    <w:qFormat/>
    <w:uiPriority w:val="99"/>
    <w:rPr>
      <w:rFonts w:eastAsiaTheme="minorEastAsia"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blHeader/>
      <w:jc w:val="center"/>
    </w:trPr>
    <w:tcPr>
      <w:vAlign w:val="center"/>
    </w:tcPr>
  </w:style>
  <w:style w:type="table" w:customStyle="1" w:styleId="272">
    <w:name w:val="表格正文"/>
    <w:basedOn w:val="53"/>
    <w:qFormat/>
    <w:uiPriority w:val="99"/>
    <w:pPr>
      <w:jc w:val="center"/>
    </w:pPr>
    <w:rPr>
      <w:rFonts w:eastAsiaTheme="minorEastAsia" w:cstheme="minorBidi"/>
      <w:sz w:val="21"/>
      <w:szCs w:val="21"/>
    </w:rPr>
    <w:tblPr>
      <w:jc w:val="center"/>
    </w:tblPr>
    <w:trPr>
      <w:jc w:val="center"/>
    </w:trPr>
    <w:tcPr>
      <w:vAlign w:val="center"/>
    </w:tcPr>
  </w:style>
  <w:style w:type="table" w:customStyle="1" w:styleId="273">
    <w:name w:val="样式1"/>
    <w:basedOn w:val="52"/>
    <w:qFormat/>
    <w:uiPriority w:val="99"/>
    <w:rPr>
      <w:rFonts w:asciiTheme="minorHAnsi" w:hAnsiTheme="minorHAnsi" w:eastAsiaTheme="minorEastAsia" w:cstheme="minorBidi"/>
      <w:kern w:val="2"/>
      <w:sz w:val="21"/>
      <w:szCs w:val="21"/>
    </w:rPr>
    <w:tblStylePr w:type="firstRow">
      <w:rPr>
        <w:rFonts w:ascii="Times New Roman" w:hAnsi="Times New Roman" w:eastAsia="宋体"/>
        <w:b/>
        <w:i w:val="0"/>
        <w:sz w:val="21"/>
      </w:rPr>
      <w:tblPr>
        <w:jc w:val="center"/>
      </w:tblPr>
      <w:trPr>
        <w:jc w:val="center"/>
      </w:trPr>
      <w:tcPr>
        <w:vAlign w:val="center"/>
      </w:tcPr>
    </w:tblStylePr>
  </w:style>
  <w:style w:type="table" w:customStyle="1" w:styleId="274">
    <w:name w:val="表格标题行"/>
    <w:basedOn w:val="52"/>
    <w:qFormat/>
    <w:uiPriority w:val="99"/>
    <w:rPr>
      <w:rFonts w:asciiTheme="minorHAnsi" w:hAnsiTheme="minorHAnsi" w:eastAsiaTheme="minorEastAsia" w:cstheme="minorBidi"/>
      <w:kern w:val="2"/>
      <w:sz w:val="21"/>
      <w:szCs w:val="21"/>
    </w:rPr>
    <w:tblStylePr w:type="firstRow">
      <w:pPr>
        <w:wordWrap/>
        <w:spacing w:line="240" w:lineRule="auto"/>
      </w:pPr>
      <w:rPr>
        <w:rFonts w:ascii="Times New Roman" w:hAnsi="Times New Roman" w:eastAsia="宋体"/>
        <w:b/>
        <w:i w:val="0"/>
        <w:sz w:val="21"/>
      </w:rPr>
      <w:tblPr>
        <w:jc w:val="center"/>
      </w:tblPr>
      <w:trPr>
        <w:jc w:val="center"/>
      </w:trPr>
      <w:tcPr>
        <w:tcBorders>
          <w:top w:val="nil"/>
          <w:left w:val="nil"/>
          <w:bottom w:val="nil"/>
          <w:right w:val="nil"/>
          <w:insideH w:val="nil"/>
          <w:insideV w:val="nil"/>
        </w:tcBorders>
        <w:vAlign w:val="center"/>
      </w:tcPr>
    </w:tblStylePr>
  </w:style>
  <w:style w:type="paragraph" w:customStyle="1" w:styleId="275">
    <w:name w:val="表格标题"/>
    <w:basedOn w:val="1"/>
    <w:link w:val="276"/>
    <w:qFormat/>
    <w:uiPriority w:val="0"/>
    <w:pPr>
      <w:jc w:val="center"/>
    </w:pPr>
    <w:rPr>
      <w:kern w:val="0"/>
      <w:szCs w:val="21"/>
    </w:rPr>
  </w:style>
  <w:style w:type="character" w:customStyle="1" w:styleId="276">
    <w:name w:val="表格标题 字符"/>
    <w:basedOn w:val="57"/>
    <w:link w:val="275"/>
    <w:qFormat/>
    <w:uiPriority w:val="0"/>
    <w:rPr>
      <w:rFonts w:cstheme="minorBidi"/>
      <w:sz w:val="24"/>
      <w:szCs w:val="21"/>
    </w:rPr>
  </w:style>
  <w:style w:type="paragraph" w:customStyle="1" w:styleId="277">
    <w:name w:val="文本框"/>
    <w:basedOn w:val="27"/>
    <w:qFormat/>
    <w:uiPriority w:val="0"/>
    <w:pPr>
      <w:framePr w:wrap="around" w:vAnchor="text" w:hAnchor="text" w:y="1"/>
    </w:pPr>
    <w:rPr>
      <w:rFonts w:ascii="Times New Roman" w:hAnsi="Times New Roman" w:eastAsia="华文仿宋"/>
      <w:kern w:val="0"/>
      <w:szCs w:val="21"/>
    </w:rPr>
  </w:style>
  <w:style w:type="paragraph" w:customStyle="1" w:styleId="278">
    <w:name w:val="正文_1"/>
    <w:qFormat/>
    <w:uiPriority w:val="0"/>
    <w:pPr>
      <w:widowControl w:val="0"/>
      <w:jc w:val="both"/>
    </w:pPr>
    <w:rPr>
      <w:rFonts w:ascii="Times New Roman" w:hAnsi="Times New Roman" w:eastAsia="宋体" w:cs="Times New Roman"/>
      <w:kern w:val="2"/>
      <w:sz w:val="21"/>
      <w:szCs w:val="24"/>
      <w:lang w:val="en-US" w:eastAsia="zh-CN" w:bidi="ar-SA"/>
    </w:rPr>
  </w:style>
  <w:style w:type="table" w:customStyle="1" w:styleId="279">
    <w:name w:val="表格内容V"/>
    <w:basedOn w:val="52"/>
    <w:qFormat/>
    <w:uiPriority w:val="99"/>
    <w:rPr>
      <w:rFonts w:asciiTheme="minorHAnsi" w:hAnsiTheme="minorHAnsi" w:eastAsiaTheme="minorEastAsia" w:cstheme="minorBidi"/>
      <w:kern w:val="2"/>
      <w:sz w:val="21"/>
      <w:szCs w:val="21"/>
    </w:rPr>
    <w:tblPr>
      <w:jc w:val="center"/>
      <w:tblCellSpacing w:w="11" w:type="dxa"/>
    </w:tblPr>
    <w:trPr>
      <w:tblCellSpacing w:w="11" w:type="dxa"/>
      <w:jc w:val="center"/>
    </w:trPr>
    <w:tcPr>
      <w:vAlign w:val="center"/>
    </w:tcPr>
  </w:style>
  <w:style w:type="table" w:customStyle="1" w:styleId="280">
    <w:name w:val="0表格内容"/>
    <w:basedOn w:val="52"/>
    <w:qFormat/>
    <w:uiPriority w:val="99"/>
    <w:rPr>
      <w:rFonts w:cstheme="minorBidi"/>
      <w:sz w:val="21"/>
      <w:szCs w:val="21"/>
    </w:rPr>
    <w:tblPr>
      <w:jc w:val="center"/>
    </w:tblPr>
    <w:trPr>
      <w:jc w:val="center"/>
    </w:trPr>
    <w:tcPr>
      <w:vAlign w:val="center"/>
    </w:tcPr>
  </w:style>
  <w:style w:type="table" w:customStyle="1" w:styleId="281">
    <w:name w:val="表格正文1"/>
    <w:basedOn w:val="53"/>
    <w:qFormat/>
    <w:uiPriority w:val="99"/>
    <w:pPr>
      <w:jc w:val="center"/>
    </w:pPr>
    <w:rPr>
      <w:rFonts w:eastAsiaTheme="minorEastAsia" w:cstheme="minorBidi"/>
      <w:sz w:val="21"/>
      <w:szCs w:val="21"/>
    </w:rPr>
    <w:tblPr>
      <w:jc w:val="center"/>
    </w:tblPr>
    <w:trPr>
      <w:jc w:val="center"/>
    </w:trPr>
    <w:tcPr>
      <w:vAlign w:val="center"/>
    </w:tcPr>
  </w:style>
  <w:style w:type="character" w:styleId="282">
    <w:name w:val="Placeholder Text"/>
    <w:basedOn w:val="57"/>
    <w:semiHidden/>
    <w:qFormat/>
    <w:uiPriority w:val="99"/>
    <w:rPr>
      <w:color w:val="808080"/>
    </w:rPr>
  </w:style>
  <w:style w:type="table" w:customStyle="1" w:styleId="283">
    <w:name w:val="网格型1"/>
    <w:basedOn w:val="52"/>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4">
    <w:name w:val="网格型2"/>
    <w:basedOn w:val="52"/>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5">
    <w:name w:val="网格型3"/>
    <w:basedOn w:val="52"/>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6">
    <w:name w:val="S表格正文1"/>
    <w:basedOn w:val="52"/>
    <w:qFormat/>
    <w:uiPriority w:val="99"/>
    <w:rPr>
      <w:rFonts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paragraph" w:customStyle="1" w:styleId="287">
    <w:name w:val="TOC Heading"/>
    <w:basedOn w:val="2"/>
    <w:next w:val="1"/>
    <w:unhideWhenUsed/>
    <w:qFormat/>
    <w:uiPriority w:val="39"/>
    <w:pPr>
      <w:spacing w:before="240" w:beforeLines="100" w:after="0" w:line="259" w:lineRule="auto"/>
      <w:outlineLvl w:val="9"/>
    </w:pPr>
    <w:rPr>
      <w:rFonts w:asciiTheme="majorHAnsi" w:hAnsiTheme="majorHAnsi" w:eastAsiaTheme="majorEastAsia" w:cstheme="majorBidi"/>
      <w:b/>
      <w:bCs w:val="0"/>
      <w:color w:val="2F5597" w:themeColor="accent1" w:themeShade="BF"/>
      <w:kern w:val="0"/>
      <w:szCs w:val="32"/>
      <w:lang w:eastAsia="zh-CN"/>
    </w:rPr>
  </w:style>
  <w:style w:type="paragraph" w:customStyle="1" w:styleId="288">
    <w:name w:val="正文_0"/>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customStyle="1" w:styleId="289">
    <w:name w:val="Normal_2"/>
    <w:qFormat/>
    <w:uiPriority w:val="0"/>
    <w:pPr>
      <w:widowControl w:val="0"/>
      <w:jc w:val="both"/>
    </w:pPr>
    <w:rPr>
      <w:rFonts w:ascii="Times New Roman" w:hAnsi="Times New Roman" w:eastAsia="宋体" w:cs="Times New Roman"/>
      <w:kern w:val="2"/>
      <w:sz w:val="21"/>
      <w:szCs w:val="24"/>
      <w:lang w:val="en-US" w:eastAsia="zh-CN" w:bidi="ar-SA"/>
    </w:rPr>
  </w:style>
  <w:style w:type="table" w:customStyle="1" w:styleId="290">
    <w:name w:val="表格正文2"/>
    <w:basedOn w:val="53"/>
    <w:qFormat/>
    <w:uiPriority w:val="99"/>
    <w:pPr>
      <w:jc w:val="center"/>
    </w:pPr>
    <w:rPr>
      <w:rFonts w:eastAsiaTheme="minorEastAsia" w:cstheme="minorBidi"/>
      <w:sz w:val="21"/>
      <w:szCs w:val="21"/>
    </w:rPr>
    <w:tblPr>
      <w:jc w:val="center"/>
    </w:tblPr>
    <w:trPr>
      <w:jc w:val="center"/>
    </w:trPr>
    <w:tcPr>
      <w:vAlign w:val="center"/>
    </w:tcPr>
  </w:style>
  <w:style w:type="character" w:customStyle="1" w:styleId="291">
    <w:name w:val="表格 Char Char"/>
    <w:link w:val="292"/>
    <w:qFormat/>
    <w:uiPriority w:val="0"/>
    <w:rPr>
      <w:rFonts w:ascii="宋体" w:hAnsi="宋体" w:cs="宋体"/>
      <w:sz w:val="24"/>
    </w:rPr>
  </w:style>
  <w:style w:type="paragraph" w:customStyle="1" w:styleId="292">
    <w:name w:val="表格"/>
    <w:basedOn w:val="1"/>
    <w:link w:val="291"/>
    <w:qFormat/>
    <w:uiPriority w:val="0"/>
    <w:pPr>
      <w:widowControl/>
      <w:jc w:val="center"/>
      <w:textAlignment w:val="baseline"/>
    </w:pPr>
    <w:rPr>
      <w:rFonts w:ascii="宋体" w:hAnsi="宋体" w:cs="宋体"/>
      <w:kern w:val="0"/>
      <w:szCs w:val="20"/>
    </w:rPr>
  </w:style>
  <w:style w:type="paragraph" w:customStyle="1" w:styleId="293">
    <w:name w:val="表内文字"/>
    <w:basedOn w:val="1"/>
    <w:qFormat/>
    <w:uiPriority w:val="0"/>
    <w:pPr>
      <w:widowControl/>
      <w:ind w:left="57" w:right="57"/>
      <w:jc w:val="center"/>
    </w:pPr>
    <w:rPr>
      <w:rFonts w:ascii="Times" w:hAnsi="Times" w:cs="Times"/>
      <w:snapToGrid w:val="0"/>
      <w:spacing w:val="-20"/>
      <w:kern w:val="0"/>
      <w:szCs w:val="21"/>
    </w:rPr>
  </w:style>
  <w:style w:type="paragraph" w:customStyle="1" w:styleId="294">
    <w:name w:val="L-正文"/>
    <w:basedOn w:val="1"/>
    <w:qFormat/>
    <w:uiPriority w:val="0"/>
    <w:pPr>
      <w:ind w:firstLine="480"/>
    </w:pPr>
    <w:rPr>
      <w:rFonts w:ascii="宋体" w:cs="Tahoma"/>
      <w:color w:val="444444"/>
      <w:kern w:val="0"/>
      <w:szCs w:val="27"/>
      <w:shd w:val="clear" w:color="auto" w:fill="FFFFFF"/>
    </w:rPr>
  </w:style>
  <w:style w:type="paragraph" w:customStyle="1" w:styleId="295">
    <w:name w:val="表格内容11"/>
    <w:next w:val="21"/>
    <w:qFormat/>
    <w:uiPriority w:val="0"/>
    <w:pPr>
      <w:adjustRightInd w:val="0"/>
      <w:snapToGrid w:val="0"/>
      <w:jc w:val="center"/>
      <w:textAlignment w:val="baseline"/>
    </w:pPr>
    <w:rPr>
      <w:rFonts w:ascii="Times New Roman" w:hAnsi="Times New Roman" w:eastAsia="宋体" w:cs="Times New Roman"/>
      <w:kern w:val="2"/>
      <w:sz w:val="21"/>
      <w:lang w:val="en-US" w:eastAsia="zh-CN" w:bidi="ar-SA"/>
    </w:rPr>
  </w:style>
  <w:style w:type="table" w:customStyle="1" w:styleId="296">
    <w:name w:val="网格型ZHJICIA1"/>
    <w:basedOn w:val="52"/>
    <w:qFormat/>
    <w:uiPriority w:val="59"/>
    <w:pPr>
      <w:widowControl w:val="0"/>
      <w:spacing w:before="120" w:after="120" w:line="360" w:lineRule="exact"/>
      <w:ind w:firstLine="482"/>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97">
    <w:name w:val="标题 7 字符"/>
    <w:basedOn w:val="57"/>
    <w:link w:val="8"/>
    <w:qFormat/>
    <w:uiPriority w:val="0"/>
    <w:rPr>
      <w:b/>
      <w:bCs/>
      <w:kern w:val="2"/>
      <w:sz w:val="24"/>
      <w:szCs w:val="24"/>
    </w:rPr>
  </w:style>
  <w:style w:type="character" w:customStyle="1" w:styleId="298">
    <w:name w:val="注释标题 字符"/>
    <w:basedOn w:val="57"/>
    <w:link w:val="12"/>
    <w:qFormat/>
    <w:uiPriority w:val="0"/>
    <w:rPr>
      <w:kern w:val="2"/>
      <w:sz w:val="30"/>
    </w:rPr>
  </w:style>
  <w:style w:type="paragraph" w:customStyle="1" w:styleId="299">
    <w:name w:val="正文1"/>
    <w:basedOn w:val="22"/>
    <w:qFormat/>
    <w:uiPriority w:val="0"/>
    <w:pPr>
      <w:widowControl w:val="0"/>
      <w:spacing w:line="500" w:lineRule="exact"/>
      <w:ind w:firstLine="520"/>
      <w:jc w:val="both"/>
    </w:pPr>
    <w:rPr>
      <w:rFonts w:ascii="Times New Roman" w:hAnsi="Times New Roman"/>
      <w:kern w:val="2"/>
      <w:sz w:val="26"/>
      <w:szCs w:val="26"/>
      <w:lang w:eastAsia="zh-CN"/>
    </w:rPr>
  </w:style>
  <w:style w:type="paragraph" w:customStyle="1" w:styleId="300">
    <w:name w:val="报告正文"/>
    <w:basedOn w:val="50"/>
    <w:qFormat/>
    <w:uiPriority w:val="0"/>
    <w:pPr>
      <w:ind w:firstLine="480" w:firstLineChars="200"/>
    </w:pPr>
    <w:rPr>
      <w:rFonts w:ascii="宋体" w:hAnsi="宋体"/>
      <w:sz w:val="24"/>
    </w:rPr>
  </w:style>
  <w:style w:type="character" w:customStyle="1" w:styleId="301">
    <w:name w:val="正文文本首行缩进 字符"/>
    <w:basedOn w:val="77"/>
    <w:link w:val="50"/>
    <w:qFormat/>
    <w:uiPriority w:val="0"/>
    <w:rPr>
      <w:rFonts w:ascii="宋体" w:hAnsi="宋体"/>
      <w:kern w:val="2"/>
      <w:sz w:val="21"/>
      <w:szCs w:val="24"/>
      <w:lang w:eastAsia="en-US"/>
    </w:rPr>
  </w:style>
  <w:style w:type="character" w:customStyle="1" w:styleId="302">
    <w:name w:val="HTML 预设格式 字符"/>
    <w:basedOn w:val="57"/>
    <w:link w:val="45"/>
    <w:qFormat/>
    <w:uiPriority w:val="0"/>
    <w:rPr>
      <w:rFonts w:ascii="Arial" w:hAnsi="Arial" w:cs="Arial"/>
      <w:sz w:val="24"/>
      <w:szCs w:val="24"/>
    </w:rPr>
  </w:style>
  <w:style w:type="character" w:customStyle="1" w:styleId="303">
    <w:name w:val="样式 Char4 Char Char Char + Times New Roman Char"/>
    <w:link w:val="304"/>
    <w:qFormat/>
    <w:uiPriority w:val="0"/>
    <w:rPr>
      <w:rFonts w:cs="宋体"/>
      <w:kern w:val="2"/>
      <w:sz w:val="24"/>
      <w:szCs w:val="26"/>
    </w:rPr>
  </w:style>
  <w:style w:type="paragraph" w:customStyle="1" w:styleId="304">
    <w:name w:val="样式 Char4 Char Char Char + Times New Roman"/>
    <w:basedOn w:val="305"/>
    <w:link w:val="303"/>
    <w:qFormat/>
    <w:uiPriority w:val="0"/>
    <w:rPr>
      <w:rFonts w:ascii="Times New Roman" w:hAnsi="Times New Roman"/>
    </w:rPr>
  </w:style>
  <w:style w:type="paragraph" w:customStyle="1" w:styleId="305">
    <w:name w:val="Char4 Char Char Char"/>
    <w:basedOn w:val="1"/>
    <w:qFormat/>
    <w:uiPriority w:val="0"/>
    <w:pPr>
      <w:spacing w:line="400" w:lineRule="exact"/>
    </w:pPr>
    <w:rPr>
      <w:rFonts w:ascii="宋体" w:hAnsi="宋体" w:cs="宋体"/>
      <w:szCs w:val="26"/>
    </w:rPr>
  </w:style>
  <w:style w:type="character" w:customStyle="1" w:styleId="306">
    <w:name w:val="标准样式 Char Char"/>
    <w:qFormat/>
    <w:uiPriority w:val="0"/>
    <w:rPr>
      <w:rFonts w:eastAsia="宋体"/>
      <w:kern w:val="2"/>
      <w:sz w:val="28"/>
      <w:lang w:val="en-US" w:eastAsia="zh-CN" w:bidi="ar-SA"/>
    </w:rPr>
  </w:style>
  <w:style w:type="character" w:customStyle="1" w:styleId="307">
    <w:name w:val="样式105 Char"/>
    <w:link w:val="308"/>
    <w:qFormat/>
    <w:uiPriority w:val="0"/>
    <w:rPr>
      <w:rFonts w:ascii="宋体" w:hAnsi="宋体" w:cs="宋体"/>
      <w:sz w:val="26"/>
      <w:szCs w:val="26"/>
    </w:rPr>
  </w:style>
  <w:style w:type="paragraph" w:customStyle="1" w:styleId="308">
    <w:name w:val="样式105"/>
    <w:link w:val="307"/>
    <w:qFormat/>
    <w:uiPriority w:val="0"/>
    <w:pPr>
      <w:adjustRightInd w:val="0"/>
      <w:snapToGrid w:val="0"/>
      <w:spacing w:line="460" w:lineRule="exact"/>
      <w:ind w:firstLine="520" w:firstLineChars="200"/>
    </w:pPr>
    <w:rPr>
      <w:rFonts w:ascii="宋体" w:hAnsi="宋体" w:eastAsia="宋体" w:cs="宋体"/>
      <w:sz w:val="26"/>
      <w:szCs w:val="26"/>
      <w:lang w:val="en-US" w:eastAsia="zh-CN" w:bidi="ar-SA"/>
    </w:rPr>
  </w:style>
  <w:style w:type="character" w:customStyle="1" w:styleId="309">
    <w:name w:val="样式1 Char"/>
    <w:qFormat/>
    <w:uiPriority w:val="0"/>
    <w:rPr>
      <w:rFonts w:eastAsia="黑体"/>
      <w:kern w:val="2"/>
      <w:sz w:val="28"/>
      <w:lang w:val="en-US" w:eastAsia="zh-CN" w:bidi="ar-SA"/>
    </w:rPr>
  </w:style>
  <w:style w:type="character" w:customStyle="1" w:styleId="310">
    <w:name w:val="fontstyle11"/>
    <w:qFormat/>
    <w:uiPriority w:val="0"/>
    <w:rPr>
      <w:rFonts w:hint="default" w:ascii="Times New Roman" w:hAnsi="Times New Roman" w:cs="Times New Roman"/>
      <w:color w:val="000000"/>
      <w:sz w:val="22"/>
      <w:szCs w:val="22"/>
    </w:rPr>
  </w:style>
  <w:style w:type="character" w:customStyle="1" w:styleId="311">
    <w:name w:val="font01"/>
    <w:qFormat/>
    <w:uiPriority w:val="0"/>
    <w:rPr>
      <w:rFonts w:hint="eastAsia" w:ascii="宋体" w:hAnsi="宋体" w:eastAsia="宋体" w:cs="宋体"/>
      <w:color w:val="000000"/>
      <w:sz w:val="24"/>
      <w:szCs w:val="24"/>
      <w:u w:val="none"/>
      <w:vertAlign w:val="superscript"/>
    </w:rPr>
  </w:style>
  <w:style w:type="character" w:customStyle="1" w:styleId="312">
    <w:name w:val="标准样式 Char1"/>
    <w:link w:val="313"/>
    <w:qFormat/>
    <w:uiPriority w:val="0"/>
    <w:rPr>
      <w:rFonts w:ascii="宋体"/>
      <w:sz w:val="28"/>
    </w:rPr>
  </w:style>
  <w:style w:type="paragraph" w:customStyle="1" w:styleId="313">
    <w:name w:val="标准样式"/>
    <w:link w:val="312"/>
    <w:qFormat/>
    <w:uiPriority w:val="0"/>
    <w:pPr>
      <w:widowControl w:val="0"/>
      <w:spacing w:line="600" w:lineRule="exact"/>
      <w:ind w:firstLine="567"/>
      <w:jc w:val="both"/>
    </w:pPr>
    <w:rPr>
      <w:rFonts w:ascii="宋体" w:hAnsi="Times New Roman" w:eastAsia="宋体" w:cs="Times New Roman"/>
      <w:sz w:val="28"/>
      <w:lang w:val="en-US" w:eastAsia="zh-CN" w:bidi="ar-SA"/>
    </w:rPr>
  </w:style>
  <w:style w:type="character" w:customStyle="1" w:styleId="314">
    <w:name w:val="标题节 Char"/>
    <w:qFormat/>
    <w:uiPriority w:val="0"/>
    <w:rPr>
      <w:rFonts w:eastAsia="宋体"/>
      <w:b/>
      <w:kern w:val="2"/>
      <w:sz w:val="26"/>
      <w:szCs w:val="32"/>
      <w:lang w:val="en-US" w:eastAsia="zh-CN" w:bidi="ar-SA"/>
    </w:rPr>
  </w:style>
  <w:style w:type="character" w:customStyle="1" w:styleId="315">
    <w:name w:val="页码2"/>
    <w:basedOn w:val="57"/>
    <w:qFormat/>
    <w:uiPriority w:val="0"/>
  </w:style>
  <w:style w:type="character" w:customStyle="1" w:styleId="316">
    <w:name w:val="三级标题 Char"/>
    <w:qFormat/>
    <w:uiPriority w:val="0"/>
    <w:rPr>
      <w:rFonts w:eastAsia="宋体"/>
      <w:b/>
      <w:kern w:val="2"/>
      <w:sz w:val="26"/>
      <w:szCs w:val="26"/>
      <w:lang w:val="en-US" w:eastAsia="zh-CN" w:bidi="ar-SA"/>
    </w:rPr>
  </w:style>
  <w:style w:type="character" w:customStyle="1" w:styleId="317">
    <w:name w:val="apple-style-span"/>
    <w:basedOn w:val="57"/>
    <w:qFormat/>
    <w:uiPriority w:val="0"/>
  </w:style>
  <w:style w:type="character" w:customStyle="1" w:styleId="318">
    <w:name w:val="正文（首行缩进2字） Char"/>
    <w:link w:val="319"/>
    <w:qFormat/>
    <w:uiPriority w:val="0"/>
    <w:rPr>
      <w:kern w:val="2"/>
      <w:sz w:val="28"/>
      <w:szCs w:val="30"/>
    </w:rPr>
  </w:style>
  <w:style w:type="paragraph" w:customStyle="1" w:styleId="319">
    <w:name w:val="正文（首行缩进2字）"/>
    <w:basedOn w:val="1"/>
    <w:link w:val="318"/>
    <w:qFormat/>
    <w:uiPriority w:val="0"/>
    <w:pPr>
      <w:spacing w:line="500" w:lineRule="exact"/>
      <w:ind w:firstLine="560"/>
    </w:pPr>
    <w:rPr>
      <w:rFonts w:cs="Times New Roman"/>
      <w:sz w:val="28"/>
      <w:szCs w:val="30"/>
    </w:rPr>
  </w:style>
  <w:style w:type="character" w:customStyle="1" w:styleId="320">
    <w:name w:val="引用 Char"/>
    <w:link w:val="321"/>
    <w:qFormat/>
    <w:uiPriority w:val="0"/>
    <w:rPr>
      <w:iCs/>
      <w:color w:val="000000"/>
      <w:kern w:val="2"/>
      <w:sz w:val="22"/>
      <w:szCs w:val="24"/>
    </w:rPr>
  </w:style>
  <w:style w:type="paragraph" w:customStyle="1" w:styleId="321">
    <w:name w:val="引用1"/>
    <w:basedOn w:val="1"/>
    <w:next w:val="1"/>
    <w:link w:val="320"/>
    <w:qFormat/>
    <w:uiPriority w:val="0"/>
    <w:rPr>
      <w:rFonts w:cs="Times New Roman"/>
      <w:iCs/>
      <w:color w:val="000000"/>
      <w:sz w:val="22"/>
      <w:szCs w:val="24"/>
    </w:rPr>
  </w:style>
  <w:style w:type="character" w:customStyle="1" w:styleId="322">
    <w:name w:val="样式 标题 1 + 段后: 1.5 行 Char"/>
    <w:qFormat/>
    <w:uiPriority w:val="0"/>
    <w:rPr>
      <w:rFonts w:ascii="宋体" w:hAnsi="宋体" w:eastAsia="宋体" w:cs="宋体"/>
      <w:b/>
      <w:bCs/>
      <w:kern w:val="44"/>
      <w:sz w:val="32"/>
      <w:szCs w:val="44"/>
      <w:lang w:val="en-US" w:eastAsia="zh-CN" w:bidi="ar-SA"/>
    </w:rPr>
  </w:style>
  <w:style w:type="character" w:customStyle="1" w:styleId="323">
    <w:name w:val="style81"/>
    <w:qFormat/>
    <w:uiPriority w:val="0"/>
    <w:rPr>
      <w:sz w:val="20"/>
      <w:szCs w:val="20"/>
    </w:rPr>
  </w:style>
  <w:style w:type="character" w:customStyle="1" w:styleId="324">
    <w:name w:val="表头排版 Char"/>
    <w:link w:val="325"/>
    <w:qFormat/>
    <w:uiPriority w:val="0"/>
    <w:rPr>
      <w:kern w:val="2"/>
      <w:sz w:val="26"/>
      <w:szCs w:val="21"/>
    </w:rPr>
  </w:style>
  <w:style w:type="paragraph" w:customStyle="1" w:styleId="325">
    <w:name w:val="表头排版"/>
    <w:basedOn w:val="1"/>
    <w:link w:val="324"/>
    <w:qFormat/>
    <w:uiPriority w:val="0"/>
    <w:pPr>
      <w:spacing w:line="480" w:lineRule="exact"/>
      <w:jc w:val="right"/>
    </w:pPr>
    <w:rPr>
      <w:rFonts w:cs="Times New Roman"/>
      <w:sz w:val="26"/>
      <w:szCs w:val="21"/>
    </w:rPr>
  </w:style>
  <w:style w:type="character" w:customStyle="1" w:styleId="326">
    <w:name w:val="style61"/>
    <w:qFormat/>
    <w:uiPriority w:val="0"/>
    <w:rPr>
      <w:color w:val="333333"/>
      <w:sz w:val="21"/>
      <w:szCs w:val="21"/>
    </w:rPr>
  </w:style>
  <w:style w:type="character" w:customStyle="1" w:styleId="327">
    <w:name w:val="f91"/>
    <w:qFormat/>
    <w:uiPriority w:val="0"/>
    <w:rPr>
      <w:rFonts w:hint="default"/>
      <w:sz w:val="18"/>
      <w:szCs w:val="18"/>
    </w:rPr>
  </w:style>
  <w:style w:type="character" w:customStyle="1" w:styleId="328">
    <w:name w:val="标题1"/>
    <w:basedOn w:val="57"/>
    <w:qFormat/>
    <w:uiPriority w:val="0"/>
  </w:style>
  <w:style w:type="character" w:customStyle="1" w:styleId="329">
    <w:name w:val="样式2 Char Char"/>
    <w:qFormat/>
    <w:uiPriority w:val="0"/>
    <w:rPr>
      <w:rFonts w:ascii="黑体" w:hAnsi="宋体" w:eastAsia="黑体"/>
      <w:b/>
      <w:kern w:val="2"/>
      <w:sz w:val="28"/>
      <w:szCs w:val="28"/>
      <w:lang w:val="en-US" w:eastAsia="zh-CN" w:bidi="ar-SA"/>
    </w:rPr>
  </w:style>
  <w:style w:type="character" w:customStyle="1" w:styleId="330">
    <w:name w:val="样式92 Char"/>
    <w:link w:val="331"/>
    <w:qFormat/>
    <w:uiPriority w:val="0"/>
    <w:rPr>
      <w:rFonts w:cs="宋体"/>
      <w:sz w:val="26"/>
      <w:szCs w:val="26"/>
    </w:rPr>
  </w:style>
  <w:style w:type="paragraph" w:customStyle="1" w:styleId="331">
    <w:name w:val="样式92"/>
    <w:basedOn w:val="1"/>
    <w:link w:val="330"/>
    <w:qFormat/>
    <w:uiPriority w:val="0"/>
    <w:pPr>
      <w:widowControl/>
      <w:spacing w:line="460" w:lineRule="exact"/>
      <w:ind w:firstLine="567" w:firstLineChars="218"/>
      <w:jc w:val="left"/>
    </w:pPr>
    <w:rPr>
      <w:rFonts w:cs="宋体"/>
      <w:kern w:val="0"/>
      <w:sz w:val="26"/>
      <w:szCs w:val="26"/>
    </w:rPr>
  </w:style>
  <w:style w:type="character" w:customStyle="1" w:styleId="332">
    <w:name w:val="正文首行缩进 Char"/>
    <w:qFormat/>
    <w:uiPriority w:val="0"/>
    <w:rPr>
      <w:rFonts w:eastAsia="宋体"/>
      <w:kern w:val="2"/>
      <w:sz w:val="28"/>
      <w:szCs w:val="28"/>
      <w:lang w:val="en-US" w:eastAsia="zh-CN" w:bidi="ar-SA"/>
    </w:rPr>
  </w:style>
  <w:style w:type="character" w:customStyle="1" w:styleId="333">
    <w:name w:val="txtbreak"/>
    <w:basedOn w:val="57"/>
    <w:qFormat/>
    <w:uiPriority w:val="0"/>
  </w:style>
  <w:style w:type="character" w:customStyle="1" w:styleId="334">
    <w:name w:val="UserStyle_0"/>
    <w:qFormat/>
    <w:uiPriority w:val="0"/>
    <w:rPr>
      <w:rFonts w:ascii="宋体" w:hAnsi="宋体" w:eastAsia="宋体"/>
      <w:color w:val="000000"/>
      <w:sz w:val="24"/>
      <w:szCs w:val="24"/>
      <w:vertAlign w:val="superscript"/>
    </w:rPr>
  </w:style>
  <w:style w:type="character" w:customStyle="1" w:styleId="335">
    <w:name w:val="表格 Char"/>
    <w:qFormat/>
    <w:uiPriority w:val="0"/>
    <w:rPr>
      <w:kern w:val="2"/>
      <w:sz w:val="22"/>
      <w:szCs w:val="22"/>
      <w:lang w:val="en-US" w:eastAsia="zh-CN" w:bidi="ar-SA"/>
    </w:rPr>
  </w:style>
  <w:style w:type="character" w:customStyle="1" w:styleId="336">
    <w:name w:val="样式2 Char"/>
    <w:link w:val="134"/>
    <w:qFormat/>
    <w:uiPriority w:val="0"/>
    <w:rPr>
      <w:color w:val="000000"/>
      <w:kern w:val="2"/>
      <w:sz w:val="28"/>
      <w:szCs w:val="28"/>
      <w:lang w:val="zh-CN"/>
    </w:rPr>
  </w:style>
  <w:style w:type="paragraph" w:customStyle="1" w:styleId="337">
    <w:name w:val="样式 标题 2标题节标题 2 Char Char + 段前: 2 行"/>
    <w:basedOn w:val="3"/>
    <w:next w:val="1"/>
    <w:qFormat/>
    <w:uiPriority w:val="0"/>
    <w:pPr>
      <w:widowControl w:val="0"/>
      <w:spacing w:before="156" w:beforeLines="50" w:line="460" w:lineRule="exact"/>
      <w:ind w:firstLine="200"/>
      <w:jc w:val="both"/>
    </w:pPr>
    <w:rPr>
      <w:rFonts w:hAnsi="Arial"/>
      <w:b/>
      <w:bCs w:val="0"/>
      <w:kern w:val="2"/>
      <w:sz w:val="26"/>
      <w:szCs w:val="20"/>
      <w:lang w:eastAsia="zh-CN"/>
    </w:rPr>
  </w:style>
  <w:style w:type="character" w:customStyle="1" w:styleId="338">
    <w:name w:val="排版正文 Char"/>
    <w:qFormat/>
    <w:uiPriority w:val="0"/>
    <w:rPr>
      <w:szCs w:val="24"/>
    </w:rPr>
  </w:style>
  <w:style w:type="character" w:customStyle="1" w:styleId="339">
    <w:name w:val="表头 Char1"/>
    <w:qFormat/>
    <w:uiPriority w:val="0"/>
    <w:rPr>
      <w:rFonts w:eastAsia="宋体"/>
      <w:spacing w:val="2"/>
      <w:kern w:val="2"/>
      <w:sz w:val="26"/>
      <w:szCs w:val="26"/>
      <w:lang w:val="en-US" w:eastAsia="zh-CN" w:bidi="ar-SA"/>
    </w:rPr>
  </w:style>
  <w:style w:type="character" w:customStyle="1" w:styleId="340">
    <w:name w:val="t141"/>
    <w:qFormat/>
    <w:uiPriority w:val="0"/>
    <w:rPr>
      <w:rFonts w:hint="default" w:ascii="ˎ̥" w:hAnsi="ˎ̥"/>
      <w:sz w:val="21"/>
      <w:szCs w:val="21"/>
    </w:rPr>
  </w:style>
  <w:style w:type="character" w:customStyle="1" w:styleId="341">
    <w:name w:val="标准样式1 Char"/>
    <w:link w:val="342"/>
    <w:qFormat/>
    <w:uiPriority w:val="0"/>
    <w:rPr>
      <w:rFonts w:ascii="宋体" w:hAnsi="宋体"/>
      <w:bCs/>
      <w:kern w:val="2"/>
      <w:sz w:val="28"/>
      <w:szCs w:val="24"/>
    </w:rPr>
  </w:style>
  <w:style w:type="paragraph" w:customStyle="1" w:styleId="342">
    <w:name w:val="标准样式1"/>
    <w:basedOn w:val="1"/>
    <w:link w:val="341"/>
    <w:qFormat/>
    <w:uiPriority w:val="0"/>
    <w:pPr>
      <w:spacing w:line="600" w:lineRule="exact"/>
      <w:ind w:firstLine="150" w:firstLineChars="150"/>
    </w:pPr>
    <w:rPr>
      <w:rFonts w:ascii="宋体" w:hAnsi="宋体" w:cs="Times New Roman"/>
      <w:bCs/>
      <w:sz w:val="28"/>
      <w:szCs w:val="24"/>
    </w:rPr>
  </w:style>
  <w:style w:type="character" w:customStyle="1" w:styleId="343">
    <w:name w:val="title10"/>
    <w:basedOn w:val="57"/>
    <w:qFormat/>
    <w:uiPriority w:val="0"/>
  </w:style>
  <w:style w:type="character" w:customStyle="1" w:styleId="344">
    <w:name w:val="表文字 Char"/>
    <w:link w:val="345"/>
    <w:qFormat/>
    <w:uiPriority w:val="0"/>
    <w:rPr>
      <w:kern w:val="2"/>
      <w:sz w:val="21"/>
      <w:szCs w:val="21"/>
    </w:rPr>
  </w:style>
  <w:style w:type="paragraph" w:customStyle="1" w:styleId="345">
    <w:name w:val="表文字"/>
    <w:basedOn w:val="1"/>
    <w:link w:val="344"/>
    <w:qFormat/>
    <w:uiPriority w:val="0"/>
    <w:pPr>
      <w:topLinePunct/>
      <w:spacing w:line="240" w:lineRule="exact"/>
      <w:textAlignment w:val="baseline"/>
    </w:pPr>
    <w:rPr>
      <w:rFonts w:cs="Times New Roman"/>
      <w:szCs w:val="21"/>
    </w:rPr>
  </w:style>
  <w:style w:type="character" w:customStyle="1" w:styleId="346">
    <w:name w:val="环评证文 Char"/>
    <w:link w:val="347"/>
    <w:qFormat/>
    <w:uiPriority w:val="0"/>
    <w:rPr>
      <w:rFonts w:ascii="宋体" w:hAnsi="宋体"/>
      <w:color w:val="000000"/>
      <w:kern w:val="2"/>
      <w:sz w:val="24"/>
      <w:szCs w:val="24"/>
    </w:rPr>
  </w:style>
  <w:style w:type="paragraph" w:customStyle="1" w:styleId="347">
    <w:name w:val="环评证文"/>
    <w:basedOn w:val="1"/>
    <w:link w:val="346"/>
    <w:qFormat/>
    <w:uiPriority w:val="0"/>
    <w:pPr>
      <w:spacing w:line="440" w:lineRule="exact"/>
      <w:ind w:firstLine="480"/>
    </w:pPr>
    <w:rPr>
      <w:rFonts w:ascii="宋体" w:hAnsi="宋体" w:cs="Times New Roman"/>
      <w:color w:val="000000"/>
      <w:szCs w:val="24"/>
    </w:rPr>
  </w:style>
  <w:style w:type="character" w:customStyle="1" w:styleId="348">
    <w:name w:val="环评正文 Char"/>
    <w:link w:val="349"/>
    <w:qFormat/>
    <w:uiPriority w:val="0"/>
    <w:rPr>
      <w:rFonts w:ascii="宋体" w:hAnsi="宋体"/>
      <w:color w:val="000000"/>
      <w:kern w:val="2"/>
      <w:sz w:val="24"/>
      <w:szCs w:val="24"/>
    </w:rPr>
  </w:style>
  <w:style w:type="paragraph" w:customStyle="1" w:styleId="349">
    <w:name w:val="环评正文"/>
    <w:basedOn w:val="1"/>
    <w:link w:val="348"/>
    <w:qFormat/>
    <w:uiPriority w:val="0"/>
    <w:pPr>
      <w:spacing w:line="440" w:lineRule="exact"/>
    </w:pPr>
    <w:rPr>
      <w:rFonts w:ascii="宋体" w:hAnsi="宋体" w:cs="Times New Roman"/>
      <w:color w:val="000000"/>
      <w:szCs w:val="24"/>
    </w:rPr>
  </w:style>
  <w:style w:type="character" w:customStyle="1" w:styleId="350">
    <w:name w:val="样式5 Char Char"/>
    <w:qFormat/>
    <w:uiPriority w:val="0"/>
    <w:rPr>
      <w:rFonts w:eastAsia="宋体"/>
      <w:color w:val="FF0000"/>
      <w:kern w:val="2"/>
      <w:sz w:val="24"/>
      <w:lang w:val="en-US" w:eastAsia="zh-CN" w:bidi="ar-SA"/>
    </w:rPr>
  </w:style>
  <w:style w:type="character" w:customStyle="1" w:styleId="351">
    <w:name w:val="NormalCharacter"/>
    <w:semiHidden/>
    <w:qFormat/>
    <w:uiPriority w:val="0"/>
  </w:style>
  <w:style w:type="character" w:customStyle="1" w:styleId="352">
    <w:name w:val="表内字 Char Char"/>
    <w:link w:val="353"/>
    <w:qFormat/>
    <w:uiPriority w:val="0"/>
    <w:rPr>
      <w:rFonts w:ascii="Tahoma" w:hAnsi="Tahoma"/>
      <w:sz w:val="21"/>
      <w:szCs w:val="21"/>
    </w:rPr>
  </w:style>
  <w:style w:type="paragraph" w:customStyle="1" w:styleId="353">
    <w:name w:val="表内字"/>
    <w:basedOn w:val="37"/>
    <w:link w:val="352"/>
    <w:qFormat/>
    <w:uiPriority w:val="0"/>
    <w:pPr>
      <w:autoSpaceDE w:val="0"/>
      <w:autoSpaceDN w:val="0"/>
      <w:ind w:left="0" w:firstLine="0" w:firstLineChars="0"/>
      <w:jc w:val="center"/>
    </w:pPr>
    <w:rPr>
      <w:rFonts w:ascii="Tahoma" w:hAnsi="Tahoma"/>
      <w:kern w:val="0"/>
      <w:szCs w:val="21"/>
    </w:rPr>
  </w:style>
  <w:style w:type="character" w:customStyle="1" w:styleId="354">
    <w:name w:val="表号 Char"/>
    <w:link w:val="144"/>
    <w:qFormat/>
    <w:locked/>
    <w:uiPriority w:val="0"/>
    <w:rPr>
      <w:kern w:val="2"/>
      <w:sz w:val="21"/>
      <w:szCs w:val="24"/>
    </w:rPr>
  </w:style>
  <w:style w:type="character" w:customStyle="1" w:styleId="355">
    <w:name w:val="正文1 Char"/>
    <w:qFormat/>
    <w:uiPriority w:val="0"/>
    <w:rPr>
      <w:rFonts w:eastAsia="宋体"/>
      <w:kern w:val="2"/>
      <w:sz w:val="26"/>
      <w:szCs w:val="26"/>
      <w:lang w:val="en-US" w:eastAsia="zh-CN" w:bidi="ar-SA"/>
    </w:rPr>
  </w:style>
  <w:style w:type="character" w:customStyle="1" w:styleId="356">
    <w:name w:val="标准样式 Char"/>
    <w:qFormat/>
    <w:uiPriority w:val="0"/>
    <w:rPr>
      <w:rFonts w:ascii="宋体" w:eastAsia="宋体"/>
      <w:sz w:val="28"/>
      <w:szCs w:val="28"/>
      <w:lang w:val="en-US" w:eastAsia="zh-CN" w:bidi="ar-SA"/>
    </w:rPr>
  </w:style>
  <w:style w:type="character" w:customStyle="1" w:styleId="357">
    <w:name w:val="样式115 Char"/>
    <w:link w:val="358"/>
    <w:qFormat/>
    <w:uiPriority w:val="0"/>
    <w:rPr>
      <w:rFonts w:cs="宋体"/>
      <w:sz w:val="26"/>
      <w:szCs w:val="26"/>
    </w:rPr>
  </w:style>
  <w:style w:type="paragraph" w:customStyle="1" w:styleId="358">
    <w:name w:val="样式115"/>
    <w:basedOn w:val="1"/>
    <w:link w:val="357"/>
    <w:qFormat/>
    <w:uiPriority w:val="0"/>
    <w:pPr>
      <w:widowControl/>
      <w:spacing w:line="460" w:lineRule="exact"/>
      <w:ind w:firstLine="567" w:firstLineChars="218"/>
      <w:jc w:val="left"/>
    </w:pPr>
    <w:rPr>
      <w:rFonts w:cs="宋体"/>
      <w:kern w:val="0"/>
      <w:sz w:val="26"/>
      <w:szCs w:val="26"/>
    </w:rPr>
  </w:style>
  <w:style w:type="character" w:customStyle="1" w:styleId="359">
    <w:name w:val="样式 13 磅 行距: 固定值 23 磅 Char"/>
    <w:qFormat/>
    <w:uiPriority w:val="0"/>
    <w:rPr>
      <w:rFonts w:eastAsia="宋体" w:cs="宋体"/>
      <w:kern w:val="2"/>
      <w:sz w:val="26"/>
      <w:lang w:val="en-US" w:eastAsia="zh-CN" w:bidi="ar-SA"/>
    </w:rPr>
  </w:style>
  <w:style w:type="character" w:customStyle="1" w:styleId="360">
    <w:name w:val="样式 表头 + 小四 Char"/>
    <w:link w:val="361"/>
    <w:qFormat/>
    <w:uiPriority w:val="0"/>
    <w:rPr>
      <w:b/>
      <w:bCs/>
      <w:spacing w:val="2"/>
      <w:kern w:val="2"/>
      <w:sz w:val="24"/>
      <w:szCs w:val="24"/>
    </w:rPr>
  </w:style>
  <w:style w:type="paragraph" w:customStyle="1" w:styleId="361">
    <w:name w:val="样式 表头 + 小四"/>
    <w:basedOn w:val="167"/>
    <w:link w:val="360"/>
    <w:qFormat/>
    <w:uiPriority w:val="0"/>
    <w:pPr>
      <w:tabs>
        <w:tab w:val="left" w:pos="2040"/>
      </w:tabs>
      <w:adjustRightInd/>
      <w:spacing w:after="50" w:afterLines="50"/>
      <w:ind w:firstLine="420"/>
    </w:pPr>
    <w:rPr>
      <w:bCs/>
      <w:spacing w:val="2"/>
      <w:szCs w:val="24"/>
    </w:rPr>
  </w:style>
  <w:style w:type="character" w:customStyle="1" w:styleId="362">
    <w:name w:val="样式18 Char Char"/>
    <w:qFormat/>
    <w:uiPriority w:val="0"/>
    <w:rPr>
      <w:sz w:val="26"/>
      <w:szCs w:val="26"/>
    </w:rPr>
  </w:style>
  <w:style w:type="character" w:customStyle="1" w:styleId="363">
    <w:name w:val="样式 四号"/>
    <w:qFormat/>
    <w:uiPriority w:val="0"/>
    <w:rPr>
      <w:rFonts w:eastAsia="仿宋_GB2312"/>
      <w:sz w:val="28"/>
    </w:rPr>
  </w:style>
  <w:style w:type="character" w:customStyle="1" w:styleId="364">
    <w:name w:val="标题 3 Char Char Char"/>
    <w:qFormat/>
    <w:uiPriority w:val="0"/>
    <w:rPr>
      <w:rFonts w:eastAsia="宋体"/>
      <w:b/>
      <w:sz w:val="26"/>
      <w:szCs w:val="28"/>
      <w:lang w:val="en-US" w:eastAsia="zh-CN" w:bidi="ar-SA"/>
    </w:rPr>
  </w:style>
  <w:style w:type="character" w:customStyle="1" w:styleId="365">
    <w:name w:val="txt1"/>
    <w:qFormat/>
    <w:uiPriority w:val="0"/>
    <w:rPr>
      <w:spacing w:val="60"/>
      <w:sz w:val="14"/>
      <w:szCs w:val="14"/>
    </w:rPr>
  </w:style>
  <w:style w:type="character" w:customStyle="1" w:styleId="366">
    <w:name w:val="fontstyle31"/>
    <w:qFormat/>
    <w:uiPriority w:val="0"/>
    <w:rPr>
      <w:rFonts w:hint="default" w:ascii="Times New Roman" w:hAnsi="Times New Roman" w:cs="Times New Roman"/>
      <w:b/>
      <w:bCs/>
      <w:color w:val="000000"/>
      <w:sz w:val="24"/>
      <w:szCs w:val="24"/>
    </w:rPr>
  </w:style>
  <w:style w:type="character" w:customStyle="1" w:styleId="367">
    <w:name w:val="表头 Char"/>
    <w:qFormat/>
    <w:uiPriority w:val="0"/>
    <w:rPr>
      <w:rFonts w:eastAsia="宋体"/>
      <w:spacing w:val="2"/>
      <w:kern w:val="2"/>
      <w:sz w:val="26"/>
      <w:szCs w:val="26"/>
      <w:lang w:val="en-US" w:eastAsia="zh-CN" w:bidi="ar-SA"/>
    </w:rPr>
  </w:style>
  <w:style w:type="character" w:customStyle="1" w:styleId="368">
    <w:name w:val="câ-¹"/>
    <w:basedOn w:val="57"/>
    <w:qFormat/>
    <w:uiPriority w:val="0"/>
  </w:style>
  <w:style w:type="character" w:customStyle="1" w:styleId="369">
    <w:name w:val="样式 13 磅 行距: 固定值 23 磅 Char1"/>
    <w:qFormat/>
    <w:uiPriority w:val="0"/>
    <w:rPr>
      <w:rFonts w:eastAsia="宋体" w:cs="宋体"/>
      <w:kern w:val="2"/>
      <w:sz w:val="26"/>
      <w:lang w:val="en-US" w:eastAsia="zh-CN" w:bidi="ar-SA"/>
    </w:rPr>
  </w:style>
  <w:style w:type="character" w:customStyle="1" w:styleId="370">
    <w:name w:val="标题11"/>
    <w:basedOn w:val="57"/>
    <w:qFormat/>
    <w:uiPriority w:val="0"/>
  </w:style>
  <w:style w:type="character" w:customStyle="1" w:styleId="371">
    <w:name w:val="样式5 Char"/>
    <w:link w:val="372"/>
    <w:qFormat/>
    <w:uiPriority w:val="0"/>
    <w:rPr>
      <w:kern w:val="2"/>
      <w:sz w:val="24"/>
    </w:rPr>
  </w:style>
  <w:style w:type="paragraph" w:customStyle="1" w:styleId="372">
    <w:name w:val="样式5"/>
    <w:basedOn w:val="30"/>
    <w:link w:val="371"/>
    <w:qFormat/>
    <w:uiPriority w:val="0"/>
    <w:pPr>
      <w:spacing w:line="500" w:lineRule="exact"/>
      <w:ind w:firstLine="200"/>
    </w:pPr>
    <w:rPr>
      <w:rFonts w:ascii="Times New Roman" w:eastAsia="宋体"/>
      <w:b w:val="0"/>
      <w:bCs w:val="0"/>
      <w:szCs w:val="20"/>
    </w:rPr>
  </w:style>
  <w:style w:type="character" w:customStyle="1" w:styleId="373">
    <w:name w:val="环评证文 Char Char Char"/>
    <w:qFormat/>
    <w:uiPriority w:val="0"/>
    <w:rPr>
      <w:rFonts w:ascii="宋体" w:hAnsi="宋体" w:eastAsia="宋体"/>
      <w:color w:val="000000"/>
      <w:kern w:val="2"/>
      <w:sz w:val="24"/>
      <w:szCs w:val="24"/>
      <w:lang w:val="en-US" w:eastAsia="zh-CN" w:bidi="ar-SA"/>
    </w:rPr>
  </w:style>
  <w:style w:type="character" w:customStyle="1" w:styleId="374">
    <w:name w:val="zhou11"/>
    <w:qFormat/>
    <w:uiPriority w:val="0"/>
    <w:rPr>
      <w:color w:val="000000"/>
      <w:sz w:val="21"/>
      <w:szCs w:val="21"/>
    </w:rPr>
  </w:style>
  <w:style w:type="character" w:customStyle="1" w:styleId="375">
    <w:name w:val="标题 3 Char1"/>
    <w:qFormat/>
    <w:uiPriority w:val="0"/>
    <w:rPr>
      <w:rFonts w:eastAsia="宋体"/>
      <w:b/>
      <w:sz w:val="26"/>
      <w:szCs w:val="28"/>
      <w:lang w:val="en-US" w:eastAsia="zh-CN" w:bidi="ar-SA"/>
    </w:rPr>
  </w:style>
  <w:style w:type="character" w:customStyle="1" w:styleId="376">
    <w:name w:val="标题 Char"/>
    <w:qFormat/>
    <w:uiPriority w:val="0"/>
    <w:rPr>
      <w:rFonts w:ascii="Arial" w:hAnsi="Arial"/>
      <w:bCs/>
      <w:kern w:val="2"/>
      <w:sz w:val="24"/>
      <w:szCs w:val="32"/>
    </w:rPr>
  </w:style>
  <w:style w:type="character" w:customStyle="1" w:styleId="377">
    <w:name w:val="样式 样式 Char4 Char Char Char + Times New Roman + (符号) 宋体 Char"/>
    <w:link w:val="378"/>
    <w:qFormat/>
    <w:uiPriority w:val="0"/>
    <w:rPr>
      <w:rFonts w:cs="宋体"/>
      <w:kern w:val="2"/>
      <w:sz w:val="24"/>
      <w:szCs w:val="26"/>
    </w:rPr>
  </w:style>
  <w:style w:type="paragraph" w:customStyle="1" w:styleId="378">
    <w:name w:val="样式 样式 Char4 Char Char Char + Times New Roman + (符号) 宋体"/>
    <w:basedOn w:val="1"/>
    <w:link w:val="377"/>
    <w:qFormat/>
    <w:uiPriority w:val="0"/>
    <w:pPr>
      <w:spacing w:line="400" w:lineRule="exact"/>
      <w:ind w:firstLine="480"/>
    </w:pPr>
    <w:rPr>
      <w:rFonts w:cs="宋体"/>
      <w:szCs w:val="26"/>
    </w:rPr>
  </w:style>
  <w:style w:type="character" w:customStyle="1" w:styleId="379">
    <w:name w:val="content3"/>
    <w:basedOn w:val="57"/>
    <w:qFormat/>
    <w:uiPriority w:val="0"/>
  </w:style>
  <w:style w:type="character" w:customStyle="1" w:styleId="380">
    <w:name w:val="普通文字 Char1"/>
    <w:qFormat/>
    <w:uiPriority w:val="0"/>
    <w:rPr>
      <w:rFonts w:ascii="宋体" w:hAnsi="Courier New" w:eastAsia="宋体"/>
      <w:kern w:val="2"/>
      <w:sz w:val="21"/>
      <w:lang w:val="en-US" w:eastAsia="zh-CN" w:bidi="ar-SA"/>
    </w:rPr>
  </w:style>
  <w:style w:type="character" w:customStyle="1" w:styleId="381">
    <w:name w:val="apple-converted-space"/>
    <w:basedOn w:val="57"/>
    <w:qFormat/>
    <w:uiPriority w:val="0"/>
  </w:style>
  <w:style w:type="character" w:customStyle="1" w:styleId="382">
    <w:name w:val="样式18 Char"/>
    <w:link w:val="383"/>
    <w:qFormat/>
    <w:uiPriority w:val="0"/>
    <w:rPr>
      <w:sz w:val="26"/>
      <w:szCs w:val="26"/>
    </w:rPr>
  </w:style>
  <w:style w:type="paragraph" w:customStyle="1" w:styleId="383">
    <w:name w:val="样式18"/>
    <w:basedOn w:val="358"/>
    <w:link w:val="382"/>
    <w:qFormat/>
    <w:uiPriority w:val="0"/>
    <w:rPr>
      <w:rFonts w:cs="Times New Roman"/>
    </w:rPr>
  </w:style>
  <w:style w:type="character" w:customStyle="1" w:styleId="384">
    <w:name w:val="样式4 Char"/>
    <w:link w:val="135"/>
    <w:qFormat/>
    <w:uiPriority w:val="0"/>
    <w:rPr>
      <w:bCs/>
      <w:kern w:val="2"/>
      <w:sz w:val="24"/>
      <w:szCs w:val="24"/>
      <w:lang w:val="zh-CN"/>
    </w:rPr>
  </w:style>
  <w:style w:type="character" w:customStyle="1" w:styleId="385">
    <w:name w:val="share Char"/>
    <w:link w:val="386"/>
    <w:qFormat/>
    <w:uiPriority w:val="0"/>
    <w:rPr>
      <w:b/>
      <w:kern w:val="2"/>
      <w:sz w:val="24"/>
      <w:szCs w:val="24"/>
    </w:rPr>
  </w:style>
  <w:style w:type="paragraph" w:customStyle="1" w:styleId="386">
    <w:name w:val="share"/>
    <w:basedOn w:val="1"/>
    <w:link w:val="385"/>
    <w:qFormat/>
    <w:uiPriority w:val="0"/>
    <w:pPr>
      <w:spacing w:line="400" w:lineRule="exact"/>
      <w:ind w:firstLine="482"/>
    </w:pPr>
    <w:rPr>
      <w:rFonts w:cs="Times New Roman"/>
      <w:b/>
      <w:szCs w:val="24"/>
    </w:rPr>
  </w:style>
  <w:style w:type="character" w:customStyle="1" w:styleId="387">
    <w:name w:val="正文 首行缩进:  2 字符 Char"/>
    <w:link w:val="388"/>
    <w:qFormat/>
    <w:uiPriority w:val="0"/>
    <w:rPr>
      <w:kern w:val="2"/>
      <w:sz w:val="28"/>
    </w:rPr>
  </w:style>
  <w:style w:type="paragraph" w:customStyle="1" w:styleId="388">
    <w:name w:val="正文 首行缩进:  2 字符"/>
    <w:basedOn w:val="1"/>
    <w:link w:val="387"/>
    <w:qFormat/>
    <w:uiPriority w:val="0"/>
    <w:pPr>
      <w:ind w:firstLine="579"/>
    </w:pPr>
    <w:rPr>
      <w:rFonts w:cs="Times New Roman"/>
      <w:sz w:val="28"/>
      <w:szCs w:val="20"/>
    </w:rPr>
  </w:style>
  <w:style w:type="character" w:customStyle="1" w:styleId="389">
    <w:name w:val="标题 1 Char"/>
    <w:qFormat/>
    <w:uiPriority w:val="0"/>
    <w:rPr>
      <w:rFonts w:ascii="宋体" w:hAnsi="宋体" w:eastAsia="宋体"/>
      <w:b/>
      <w:bCs/>
      <w:kern w:val="2"/>
      <w:sz w:val="36"/>
      <w:szCs w:val="24"/>
      <w:lang w:val="en-US" w:eastAsia="zh-CN" w:bidi="ar-SA"/>
    </w:rPr>
  </w:style>
  <w:style w:type="character" w:customStyle="1" w:styleId="390">
    <w:name w:val="纯文本 Char2"/>
    <w:qFormat/>
    <w:uiPriority w:val="0"/>
    <w:rPr>
      <w:rFonts w:ascii="宋体" w:hAnsi="Courier New" w:eastAsia="宋体"/>
      <w:kern w:val="2"/>
      <w:sz w:val="24"/>
      <w:lang w:val="en-US" w:eastAsia="zh-CN" w:bidi="ar-SA"/>
    </w:rPr>
  </w:style>
  <w:style w:type="character" w:customStyle="1" w:styleId="391">
    <w:name w:val="正文文字 Char Char"/>
    <w:qFormat/>
    <w:uiPriority w:val="0"/>
    <w:rPr>
      <w:rFonts w:eastAsia="宋体"/>
      <w:kern w:val="2"/>
      <w:sz w:val="26"/>
      <w:szCs w:val="26"/>
      <w:lang w:val="en-US" w:eastAsia="zh-CN" w:bidi="ar-SA"/>
    </w:rPr>
  </w:style>
  <w:style w:type="character" w:customStyle="1" w:styleId="392">
    <w:name w:val="正文缩进 Char Char1"/>
    <w:qFormat/>
    <w:uiPriority w:val="0"/>
    <w:rPr>
      <w:rFonts w:eastAsia="宋体"/>
      <w:kern w:val="2"/>
      <w:sz w:val="26"/>
      <w:lang w:val="en-US" w:eastAsia="zh-CN" w:bidi="ar-SA"/>
    </w:rPr>
  </w:style>
  <w:style w:type="character" w:customStyle="1" w:styleId="393">
    <w:name w:val="font21"/>
    <w:basedOn w:val="57"/>
    <w:qFormat/>
    <w:uiPriority w:val="0"/>
    <w:rPr>
      <w:rFonts w:hint="default" w:ascii="Times New Roman" w:hAnsi="Times New Roman" w:cs="Times New Roman"/>
      <w:color w:val="000000"/>
      <w:sz w:val="18"/>
      <w:szCs w:val="18"/>
      <w:u w:val="none"/>
    </w:rPr>
  </w:style>
  <w:style w:type="character" w:customStyle="1" w:styleId="394">
    <w:name w:val="样式20 Char"/>
    <w:link w:val="395"/>
    <w:qFormat/>
    <w:uiPriority w:val="0"/>
    <w:rPr>
      <w:sz w:val="26"/>
      <w:szCs w:val="26"/>
    </w:rPr>
  </w:style>
  <w:style w:type="paragraph" w:customStyle="1" w:styleId="395">
    <w:name w:val="样式20"/>
    <w:basedOn w:val="1"/>
    <w:link w:val="394"/>
    <w:qFormat/>
    <w:uiPriority w:val="0"/>
    <w:pPr>
      <w:keepNext/>
      <w:widowControl/>
      <w:tabs>
        <w:tab w:val="left" w:pos="630"/>
      </w:tabs>
      <w:spacing w:line="460" w:lineRule="exact"/>
      <w:jc w:val="center"/>
      <w:outlineLvl w:val="5"/>
    </w:pPr>
    <w:rPr>
      <w:rFonts w:cs="Times New Roman"/>
      <w:kern w:val="0"/>
      <w:sz w:val="26"/>
      <w:szCs w:val="26"/>
    </w:rPr>
  </w:style>
  <w:style w:type="paragraph" w:customStyle="1" w:styleId="396">
    <w:name w:val="章"/>
    <w:basedOn w:val="397"/>
    <w:qFormat/>
    <w:uiPriority w:val="0"/>
    <w:pPr>
      <w:tabs>
        <w:tab w:val="left" w:pos="2160"/>
      </w:tabs>
      <w:spacing w:before="0" w:beforeLines="0" w:after="0" w:afterLines="0" w:line="360" w:lineRule="auto"/>
    </w:pPr>
    <w:rPr>
      <w:rFonts w:hAnsi="宋体" w:cs="Times New Roman"/>
      <w:bCs w:val="0"/>
      <w:szCs w:val="32"/>
    </w:rPr>
  </w:style>
  <w:style w:type="paragraph" w:customStyle="1" w:styleId="397">
    <w:name w:val="样式 标题 1 + 段后: 1.5 行"/>
    <w:basedOn w:val="2"/>
    <w:qFormat/>
    <w:uiPriority w:val="0"/>
    <w:pPr>
      <w:widowControl w:val="0"/>
      <w:tabs>
        <w:tab w:val="left" w:pos="2160"/>
      </w:tabs>
      <w:spacing w:before="312" w:beforeLines="100" w:after="312" w:afterLines="100" w:line="460" w:lineRule="exact"/>
    </w:pPr>
    <w:rPr>
      <w:rFonts w:ascii="黑体" w:hAnsi="Arial" w:cs="Arial"/>
      <w:szCs w:val="20"/>
      <w:lang w:eastAsia="zh-CN"/>
    </w:rPr>
  </w:style>
  <w:style w:type="paragraph" w:customStyle="1" w:styleId="398">
    <w:name w:val="中文报告书样式"/>
    <w:basedOn w:val="1"/>
    <w:qFormat/>
    <w:uiPriority w:val="0"/>
    <w:pPr>
      <w:spacing w:line="480" w:lineRule="atLeast"/>
      <w:ind w:firstLine="482"/>
      <w:textAlignment w:val="baseline"/>
    </w:pPr>
    <w:rPr>
      <w:rFonts w:cs="Times New Roman"/>
      <w:kern w:val="24"/>
      <w:szCs w:val="20"/>
    </w:rPr>
  </w:style>
  <w:style w:type="paragraph" w:customStyle="1" w:styleId="399">
    <w:name w:val="Char Char Char Char Char Char Char Char Char Char Char Char Char Char Char Char"/>
    <w:basedOn w:val="1"/>
    <w:next w:val="1"/>
    <w:qFormat/>
    <w:uiPriority w:val="0"/>
    <w:rPr>
      <w:rFonts w:cs="Times New Roman"/>
      <w:szCs w:val="24"/>
    </w:rPr>
  </w:style>
  <w:style w:type="paragraph" w:customStyle="1" w:styleId="400">
    <w:name w:val="排版正文"/>
    <w:basedOn w:val="1"/>
    <w:qFormat/>
    <w:uiPriority w:val="0"/>
    <w:pPr>
      <w:spacing w:line="460" w:lineRule="exact"/>
      <w:ind w:firstLine="560"/>
    </w:pPr>
    <w:rPr>
      <w:rFonts w:cs="Times New Roman"/>
      <w:color w:val="000000"/>
      <w:sz w:val="28"/>
      <w:szCs w:val="24"/>
    </w:rPr>
  </w:style>
  <w:style w:type="paragraph" w:customStyle="1" w:styleId="401">
    <w:name w:val="样式 标题 2节 + (西文) 宋体 (中文) 宋体 小四 段前: 0 磅 段后: 0 磅 行距: 1.5 倍行距"/>
    <w:basedOn w:val="3"/>
    <w:qFormat/>
    <w:uiPriority w:val="0"/>
    <w:pPr>
      <w:widowControl w:val="0"/>
      <w:adjustRightInd/>
      <w:snapToGrid/>
      <w:spacing w:line="480" w:lineRule="exact"/>
      <w:jc w:val="both"/>
    </w:pPr>
    <w:rPr>
      <w:rFonts w:ascii="黑体" w:hAnsi="宋体" w:cs="宋体"/>
      <w:b/>
      <w:kern w:val="2"/>
      <w:szCs w:val="28"/>
      <w:lang w:eastAsia="zh-CN"/>
    </w:rPr>
  </w:style>
  <w:style w:type="paragraph" w:customStyle="1" w:styleId="402">
    <w:name w:val="4 Char Char Char Char Char Char Char Char Char Char Char Char Char Char Char Char Char Char"/>
    <w:basedOn w:val="1"/>
    <w:semiHidden/>
    <w:qFormat/>
    <w:uiPriority w:val="0"/>
    <w:rPr>
      <w:rFonts w:ascii="宋体" w:hAnsi="宋体" w:cs="宋体"/>
      <w:sz w:val="30"/>
      <w:szCs w:val="30"/>
    </w:rPr>
  </w:style>
  <w:style w:type="paragraph" w:customStyle="1" w:styleId="403">
    <w:name w:val="样式 标题 2节 + (西文) 宋体 (中文) 宋体 四号 段前: 0 磅 段后: 0 磅 行距: 固定值 25 磅"/>
    <w:basedOn w:val="3"/>
    <w:qFormat/>
    <w:uiPriority w:val="0"/>
    <w:pPr>
      <w:widowControl w:val="0"/>
      <w:adjustRightInd/>
      <w:snapToGrid/>
      <w:spacing w:line="480" w:lineRule="exact"/>
      <w:jc w:val="both"/>
    </w:pPr>
    <w:rPr>
      <w:rFonts w:ascii="宋体" w:hAnsi="宋体" w:cs="宋体"/>
      <w:b/>
      <w:kern w:val="2"/>
      <w:szCs w:val="28"/>
      <w:lang w:eastAsia="zh-CN"/>
    </w:rPr>
  </w:style>
  <w:style w:type="paragraph" w:customStyle="1" w:styleId="404">
    <w:name w:val="样式 正文缩进首行缩进两字特点 Char正文缩进 Char正文（首行缩进两字） Char正文（首行缩进两字） Char..."/>
    <w:basedOn w:val="1"/>
    <w:qFormat/>
    <w:uiPriority w:val="0"/>
    <w:pPr>
      <w:ind w:firstLine="480"/>
    </w:pPr>
    <w:rPr>
      <w:rFonts w:cs="Times New Roman"/>
      <w:szCs w:val="24"/>
    </w:rPr>
  </w:style>
  <w:style w:type="paragraph" w:customStyle="1" w:styleId="405">
    <w:name w:val="Heading1"/>
    <w:basedOn w:val="1"/>
    <w:next w:val="1"/>
    <w:qFormat/>
    <w:uiPriority w:val="0"/>
    <w:pPr>
      <w:keepNext/>
      <w:keepLines/>
      <w:tabs>
        <w:tab w:val="left" w:pos="1230"/>
      </w:tabs>
      <w:spacing w:before="240" w:after="120"/>
      <w:ind w:left="1230" w:hanging="1230"/>
      <w:jc w:val="center"/>
    </w:pPr>
    <w:rPr>
      <w:rFonts w:eastAsia="黑体" w:cs="Times New Roman"/>
      <w:b/>
      <w:kern w:val="44"/>
      <w:sz w:val="42"/>
      <w:szCs w:val="24"/>
    </w:rPr>
  </w:style>
  <w:style w:type="paragraph" w:customStyle="1" w:styleId="406">
    <w:name w:val="pic-info"/>
    <w:basedOn w:val="1"/>
    <w:qFormat/>
    <w:uiPriority w:val="0"/>
    <w:pPr>
      <w:widowControl/>
      <w:spacing w:before="100" w:beforeAutospacing="1" w:after="100" w:afterAutospacing="1"/>
      <w:jc w:val="left"/>
    </w:pPr>
    <w:rPr>
      <w:rFonts w:ascii="宋体" w:hAnsi="宋体" w:cs="宋体"/>
      <w:kern w:val="0"/>
      <w:szCs w:val="24"/>
    </w:rPr>
  </w:style>
  <w:style w:type="paragraph" w:customStyle="1" w:styleId="407">
    <w:name w:val="Char2"/>
    <w:basedOn w:val="1"/>
    <w:qFormat/>
    <w:uiPriority w:val="0"/>
    <w:rPr>
      <w:rFonts w:cs="Times New Roman"/>
      <w:color w:val="000000"/>
      <w:kern w:val="0"/>
      <w:szCs w:val="21"/>
      <w:lang w:val="zh-CN"/>
    </w:rPr>
  </w:style>
  <w:style w:type="paragraph" w:customStyle="1" w:styleId="408">
    <w:name w:val="111111111111111111222"/>
    <w:basedOn w:val="1"/>
    <w:qFormat/>
    <w:uiPriority w:val="0"/>
    <w:pPr>
      <w:spacing w:line="440" w:lineRule="exact"/>
      <w:ind w:firstLine="480"/>
    </w:pPr>
    <w:rPr>
      <w:rFonts w:ascii="宋体" w:hAnsi="宋体" w:cs="Times New Roman"/>
      <w:szCs w:val="24"/>
    </w:rPr>
  </w:style>
  <w:style w:type="paragraph" w:customStyle="1" w:styleId="409">
    <w:name w:val="样式116"/>
    <w:basedOn w:val="331"/>
    <w:qFormat/>
    <w:uiPriority w:val="0"/>
    <w:pPr>
      <w:spacing w:line="240" w:lineRule="exact"/>
    </w:pPr>
  </w:style>
  <w:style w:type="paragraph" w:customStyle="1" w:styleId="410">
    <w:name w:val="样式 样式 标题 2标题节标题 2 Char Char + 段前: 2 行 + 左侧:  1 字符4"/>
    <w:basedOn w:val="337"/>
    <w:qFormat/>
    <w:uiPriority w:val="0"/>
    <w:pPr>
      <w:spacing w:before="50" w:beforeLines="0" w:after="50"/>
    </w:pPr>
    <w:rPr>
      <w:rFonts w:hAnsi="Times New Roman" w:eastAsia="宋体" w:cs="宋体"/>
      <w:bCs/>
    </w:rPr>
  </w:style>
  <w:style w:type="paragraph" w:customStyle="1" w:styleId="411">
    <w:name w:val="z正文 Char Char Char"/>
    <w:basedOn w:val="1"/>
    <w:qFormat/>
    <w:uiPriority w:val="0"/>
    <w:rPr>
      <w:rFonts w:ascii="宋体" w:hAnsi="宋体" w:eastAsia="仿宋_GB2312" w:cs="宋体"/>
      <w:sz w:val="28"/>
      <w:szCs w:val="28"/>
    </w:rPr>
  </w:style>
  <w:style w:type="paragraph" w:customStyle="1" w:styleId="412">
    <w:name w:val="表文排版"/>
    <w:basedOn w:val="21"/>
    <w:next w:val="1"/>
    <w:qFormat/>
    <w:uiPriority w:val="0"/>
    <w:pPr>
      <w:widowControl w:val="0"/>
      <w:spacing w:before="0"/>
      <w:ind w:left="0"/>
      <w:jc w:val="center"/>
    </w:pPr>
    <w:rPr>
      <w:rFonts w:ascii="Times New Roman" w:hAnsi="Times New Roman"/>
      <w:kern w:val="2"/>
      <w:sz w:val="22"/>
      <w:lang w:eastAsia="zh-CN"/>
    </w:rPr>
  </w:style>
  <w:style w:type="paragraph" w:customStyle="1" w:styleId="413">
    <w:name w:val="UserStyle_3"/>
    <w:basedOn w:val="414"/>
    <w:next w:val="1"/>
    <w:qFormat/>
    <w:uiPriority w:val="0"/>
    <w:pPr>
      <w:keepLines/>
      <w:spacing w:line="460" w:lineRule="exact"/>
      <w:ind w:firstLine="200" w:firstLineChars="200"/>
    </w:pPr>
    <w:rPr>
      <w:rFonts w:ascii="Times New Roman"/>
      <w:sz w:val="26"/>
      <w:szCs w:val="20"/>
    </w:rPr>
  </w:style>
  <w:style w:type="paragraph" w:customStyle="1" w:styleId="414">
    <w:name w:val="Heading2"/>
    <w:basedOn w:val="1"/>
    <w:next w:val="1"/>
    <w:qFormat/>
    <w:uiPriority w:val="0"/>
    <w:pPr>
      <w:keepNext/>
      <w:spacing w:before="156" w:line="440" w:lineRule="exact"/>
      <w:ind w:firstLine="472" w:firstLineChars="196"/>
    </w:pPr>
    <w:rPr>
      <w:rFonts w:ascii="Arial" w:hAnsi="Arial" w:eastAsia="黑体" w:cs="Times New Roman"/>
      <w:b/>
      <w:color w:val="000000"/>
      <w:szCs w:val="24"/>
    </w:rPr>
  </w:style>
  <w:style w:type="paragraph" w:customStyle="1" w:styleId="415">
    <w:name w:val="样式 标题 3 + 四号"/>
    <w:basedOn w:val="4"/>
    <w:qFormat/>
    <w:uiPriority w:val="0"/>
    <w:pPr>
      <w:widowControl w:val="0"/>
      <w:spacing w:before="100" w:after="100" w:line="460" w:lineRule="exact"/>
      <w:jc w:val="both"/>
    </w:pPr>
    <w:rPr>
      <w:rFonts w:ascii="宋体" w:hAnsi="宋体"/>
      <w:b/>
      <w:kern w:val="2"/>
      <w:sz w:val="26"/>
      <w:szCs w:val="28"/>
      <w:lang w:eastAsia="zh-CN"/>
    </w:rPr>
  </w:style>
  <w:style w:type="paragraph" w:customStyle="1" w:styleId="416">
    <w:name w:val="NormalIndent"/>
    <w:basedOn w:val="1"/>
    <w:next w:val="1"/>
    <w:qFormat/>
    <w:uiPriority w:val="0"/>
    <w:pPr>
      <w:ind w:firstLine="420"/>
    </w:pPr>
    <w:rPr>
      <w:rFonts w:cs="Times New Roman"/>
      <w:szCs w:val="24"/>
    </w:rPr>
  </w:style>
  <w:style w:type="paragraph" w:customStyle="1" w:styleId="417">
    <w:name w:val="Body Text 21"/>
    <w:basedOn w:val="1"/>
    <w:qFormat/>
    <w:uiPriority w:val="0"/>
    <w:pPr>
      <w:spacing w:line="312" w:lineRule="auto"/>
      <w:textAlignment w:val="baseline"/>
    </w:pPr>
    <w:rPr>
      <w:rFonts w:cs="Times New Roman"/>
      <w:kern w:val="0"/>
      <w:sz w:val="28"/>
      <w:szCs w:val="20"/>
    </w:rPr>
  </w:style>
  <w:style w:type="paragraph" w:customStyle="1" w:styleId="418">
    <w:name w:val="何家沟正文"/>
    <w:basedOn w:val="1"/>
    <w:qFormat/>
    <w:uiPriority w:val="0"/>
    <w:pPr>
      <w:ind w:firstLine="460"/>
    </w:pPr>
    <w:rPr>
      <w:rFonts w:hAnsi="宋体" w:cs="宋体"/>
      <w:sz w:val="23"/>
      <w:szCs w:val="23"/>
    </w:rPr>
  </w:style>
  <w:style w:type="paragraph" w:customStyle="1" w:styleId="419">
    <w:name w:val="样式 标题 2节 + (西文) 宋体 (中文) 宋体 四号 段前: 0 磅 段后: 0 磅 行距: 1.5 倍行距"/>
    <w:basedOn w:val="3"/>
    <w:qFormat/>
    <w:uiPriority w:val="0"/>
    <w:pPr>
      <w:widowControl w:val="0"/>
      <w:adjustRightInd/>
      <w:snapToGrid/>
      <w:spacing w:line="500" w:lineRule="exact"/>
      <w:jc w:val="both"/>
    </w:pPr>
    <w:rPr>
      <w:rFonts w:ascii="宋体" w:hAnsi="宋体" w:eastAsia="宋体" w:cs="宋体"/>
      <w:b/>
      <w:kern w:val="2"/>
      <w:szCs w:val="28"/>
      <w:lang w:eastAsia="zh-CN"/>
    </w:rPr>
  </w:style>
  <w:style w:type="paragraph" w:customStyle="1" w:styleId="420">
    <w:name w:val="样式 样式 标题 2标题节标题 2 Char Char + 段前: 2 行 + 首行缩进:  2 字符 段前: 0.5 行 ...1"/>
    <w:basedOn w:val="337"/>
    <w:next w:val="1"/>
    <w:qFormat/>
    <w:uiPriority w:val="0"/>
    <w:pPr>
      <w:spacing w:before="0" w:beforeLines="0" w:line="240" w:lineRule="auto"/>
      <w:ind w:firstLine="482"/>
    </w:pPr>
    <w:rPr>
      <w:rFonts w:ascii="Arial"/>
      <w:bCs/>
      <w:sz w:val="24"/>
      <w:szCs w:val="24"/>
    </w:rPr>
  </w:style>
  <w:style w:type="paragraph" w:customStyle="1" w:styleId="421">
    <w:name w:val="正文(首行缩进)"/>
    <w:basedOn w:val="1"/>
    <w:qFormat/>
    <w:uiPriority w:val="0"/>
    <w:pPr>
      <w:ind w:firstLine="510"/>
    </w:pPr>
    <w:rPr>
      <w:rFonts w:ascii="宋体" w:hAnsi="宋体" w:cs="Times New Roman"/>
      <w:snapToGrid w:val="0"/>
      <w:kern w:val="0"/>
      <w:szCs w:val="20"/>
    </w:rPr>
  </w:style>
  <w:style w:type="paragraph" w:customStyle="1" w:styleId="422">
    <w:name w:val="标书标题1"/>
    <w:basedOn w:val="2"/>
    <w:qFormat/>
    <w:uiPriority w:val="0"/>
    <w:pPr>
      <w:keepNext w:val="0"/>
      <w:keepLines w:val="0"/>
      <w:widowControl w:val="0"/>
      <w:tabs>
        <w:tab w:val="left" w:pos="360"/>
      </w:tabs>
      <w:spacing w:before="480" w:beforeLines="100" w:after="240" w:afterLines="100" w:line="460" w:lineRule="exact"/>
      <w:ind w:left="284" w:hanging="284"/>
    </w:pPr>
    <w:rPr>
      <w:rFonts w:ascii="Arial Narrow" w:hAnsi="Arial Narrow"/>
      <w:b/>
      <w:bCs w:val="0"/>
      <w:snapToGrid w:val="0"/>
      <w:kern w:val="0"/>
      <w:sz w:val="30"/>
      <w:lang w:eastAsia="zh-CN"/>
    </w:rPr>
  </w:style>
  <w:style w:type="paragraph" w:customStyle="1" w:styleId="423">
    <w:name w:val="样式15"/>
    <w:basedOn w:val="1"/>
    <w:qFormat/>
    <w:uiPriority w:val="0"/>
    <w:pPr>
      <w:keepNext/>
      <w:keepLines/>
      <w:widowControl/>
      <w:spacing w:before="360" w:after="360"/>
      <w:jc w:val="center"/>
      <w:outlineLvl w:val="0"/>
    </w:pPr>
    <w:rPr>
      <w:rFonts w:cs="Times New Roman"/>
      <w:b/>
      <w:bCs/>
      <w:sz w:val="32"/>
      <w:szCs w:val="32"/>
    </w:rPr>
  </w:style>
  <w:style w:type="paragraph" w:customStyle="1" w:styleId="424">
    <w:name w:val="Char21"/>
    <w:basedOn w:val="1"/>
    <w:qFormat/>
    <w:uiPriority w:val="0"/>
    <w:rPr>
      <w:rFonts w:cs="Times New Roman"/>
      <w:sz w:val="30"/>
      <w:szCs w:val="20"/>
    </w:rPr>
  </w:style>
  <w:style w:type="paragraph" w:customStyle="1" w:styleId="425">
    <w:name w:val="xl31"/>
    <w:basedOn w:val="1"/>
    <w:semiHidden/>
    <w:qFormat/>
    <w:uiPriority w:val="0"/>
    <w:pPr>
      <w:widowControl/>
      <w:spacing w:before="100" w:beforeAutospacing="1" w:after="100" w:afterAutospacing="1"/>
      <w:jc w:val="center"/>
    </w:pPr>
    <w:rPr>
      <w:rFonts w:cs="Times New Roman"/>
      <w:kern w:val="0"/>
      <w:szCs w:val="24"/>
    </w:rPr>
  </w:style>
  <w:style w:type="paragraph" w:customStyle="1" w:styleId="426">
    <w:name w:val="样式 首行缩进:  2 字符1"/>
    <w:basedOn w:val="1"/>
    <w:qFormat/>
    <w:uiPriority w:val="0"/>
    <w:pPr>
      <w:spacing w:before="120" w:line="440" w:lineRule="atLeast"/>
      <w:ind w:firstLine="497" w:firstLineChars="207"/>
    </w:pPr>
    <w:rPr>
      <w:rFonts w:ascii="Arial" w:hAnsi="宋体" w:cs="Arial"/>
      <w:szCs w:val="24"/>
    </w:rPr>
  </w:style>
  <w:style w:type="paragraph" w:customStyle="1" w:styleId="427">
    <w:name w:val="样式 样式 标题 2标题节标题 2 Char Char + 段前: 2 行 + 段前: 0.5 行 段后: 0.5 行1"/>
    <w:basedOn w:val="337"/>
    <w:qFormat/>
    <w:uiPriority w:val="0"/>
  </w:style>
  <w:style w:type="paragraph" w:customStyle="1" w:styleId="428">
    <w:name w:val="a3"/>
    <w:basedOn w:val="1"/>
    <w:qFormat/>
    <w:uiPriority w:val="0"/>
    <w:pPr>
      <w:spacing w:line="288" w:lineRule="auto"/>
      <w:jc w:val="center"/>
    </w:pPr>
    <w:rPr>
      <w:rFonts w:cs="Times New Roman"/>
      <w:szCs w:val="24"/>
    </w:rPr>
  </w:style>
  <w:style w:type="paragraph" w:customStyle="1" w:styleId="429">
    <w:name w:val="样式3"/>
    <w:basedOn w:val="27"/>
    <w:qFormat/>
    <w:uiPriority w:val="0"/>
    <w:pPr>
      <w:spacing w:line="500" w:lineRule="exact"/>
      <w:ind w:firstLine="360" w:firstLineChars="150"/>
    </w:pPr>
    <w:rPr>
      <w:rFonts w:hAnsi="宋体" w:cs="宋体"/>
      <w:b/>
      <w:szCs w:val="24"/>
    </w:rPr>
  </w:style>
  <w:style w:type="paragraph" w:customStyle="1" w:styleId="430">
    <w:name w:val="样式 样式 标题 2标题节标题 2 Char Char + 段前: 2 行 + 左侧:  1 字符3"/>
    <w:basedOn w:val="337"/>
    <w:qFormat/>
    <w:uiPriority w:val="0"/>
    <w:pPr>
      <w:spacing w:before="50" w:beforeLines="0" w:after="50"/>
    </w:pPr>
    <w:rPr>
      <w:rFonts w:hAnsi="Times New Roman" w:eastAsia="宋体" w:cs="宋体"/>
      <w:bCs/>
    </w:rPr>
  </w:style>
  <w:style w:type="paragraph" w:customStyle="1" w:styleId="431">
    <w:name w:val="标书标题4"/>
    <w:basedOn w:val="5"/>
    <w:qFormat/>
    <w:uiPriority w:val="0"/>
    <w:pPr>
      <w:keepNext w:val="0"/>
      <w:keepLines w:val="0"/>
      <w:numPr>
        <w:ilvl w:val="0"/>
        <w:numId w:val="0"/>
      </w:numPr>
      <w:tabs>
        <w:tab w:val="left" w:pos="851"/>
      </w:tabs>
      <w:spacing w:before="0" w:line="300" w:lineRule="auto"/>
      <w:ind w:left="851" w:hanging="851" w:firstLineChars="200"/>
    </w:pPr>
    <w:rPr>
      <w:rFonts w:ascii="Arial Narrow" w:hAnsi="Arial Narrow" w:eastAsia="仿宋_GB2312"/>
      <w:b/>
      <w:bCs w:val="0"/>
      <w:kern w:val="0"/>
      <w:sz w:val="28"/>
      <w:szCs w:val="20"/>
    </w:rPr>
  </w:style>
  <w:style w:type="paragraph" w:customStyle="1" w:styleId="432">
    <w:name w:val="Char4 Char Char Char2"/>
    <w:basedOn w:val="1"/>
    <w:semiHidden/>
    <w:qFormat/>
    <w:uiPriority w:val="0"/>
    <w:rPr>
      <w:rFonts w:ascii="宋体" w:hAnsi="宋体" w:cs="宋体"/>
      <w:szCs w:val="26"/>
    </w:rPr>
  </w:style>
  <w:style w:type="paragraph" w:customStyle="1" w:styleId="433">
    <w:name w:val="标书标题3"/>
    <w:basedOn w:val="4"/>
    <w:qFormat/>
    <w:uiPriority w:val="0"/>
    <w:pPr>
      <w:keepNext w:val="0"/>
      <w:keepLines w:val="0"/>
      <w:widowControl w:val="0"/>
      <w:spacing w:before="120" w:after="60" w:line="300" w:lineRule="auto"/>
      <w:ind w:firstLine="522" w:firstLineChars="200"/>
      <w:jc w:val="both"/>
    </w:pPr>
    <w:rPr>
      <w:rFonts w:ascii="宋体" w:hAnsi="宋体"/>
      <w:color w:val="000000"/>
      <w:sz w:val="26"/>
      <w:szCs w:val="26"/>
      <w:lang w:eastAsia="zh-CN"/>
    </w:rPr>
  </w:style>
  <w:style w:type="paragraph" w:customStyle="1" w:styleId="434">
    <w:name w:val="样式 样式 样式 样式 样式 正文A + 首行缩进:  2 字符 + 首行缩进:  2 字符 + 两端对齐 首行缩进:  2 字..."/>
    <w:basedOn w:val="1"/>
    <w:qFormat/>
    <w:uiPriority w:val="0"/>
    <w:pPr>
      <w:tabs>
        <w:tab w:val="left" w:pos="578"/>
        <w:tab w:val="left" w:pos="1074"/>
        <w:tab w:val="left" w:pos="1595"/>
        <w:tab w:val="left" w:pos="2073"/>
        <w:tab w:val="left" w:pos="2507"/>
        <w:tab w:val="left" w:pos="3025"/>
        <w:tab w:val="left" w:pos="3991"/>
      </w:tabs>
      <w:ind w:firstLine="480"/>
    </w:pPr>
    <w:rPr>
      <w:rFonts w:cs="宋体"/>
      <w:kern w:val="0"/>
      <w:szCs w:val="20"/>
    </w:rPr>
  </w:style>
  <w:style w:type="paragraph" w:customStyle="1" w:styleId="435">
    <w:name w:val="标书标题2"/>
    <w:basedOn w:val="3"/>
    <w:qFormat/>
    <w:uiPriority w:val="0"/>
    <w:pPr>
      <w:keepNext w:val="0"/>
      <w:keepLines w:val="0"/>
      <w:widowControl w:val="0"/>
      <w:tabs>
        <w:tab w:val="left" w:pos="574"/>
      </w:tabs>
      <w:spacing w:before="240" w:after="120" w:line="300" w:lineRule="auto"/>
      <w:ind w:firstLine="200"/>
    </w:pPr>
    <w:rPr>
      <w:rFonts w:ascii="Arial Narrow" w:hAnsi="Arial Narrow" w:eastAsia="宋体"/>
      <w:b/>
      <w:bCs w:val="0"/>
      <w:lang w:eastAsia="zh-CN"/>
    </w:rPr>
  </w:style>
  <w:style w:type="paragraph" w:customStyle="1" w:styleId="436">
    <w:name w:val="ygs正文"/>
    <w:basedOn w:val="1"/>
    <w:qFormat/>
    <w:uiPriority w:val="0"/>
    <w:pPr>
      <w:spacing w:line="440" w:lineRule="exact"/>
      <w:ind w:firstLine="480"/>
    </w:pPr>
    <w:rPr>
      <w:rFonts w:ascii="宋体" w:hAnsi="宋体" w:cs="Times New Roman"/>
      <w:bCs/>
      <w:szCs w:val="24"/>
    </w:rPr>
  </w:style>
  <w:style w:type="paragraph" w:customStyle="1" w:styleId="437">
    <w:name w:val="Char Char Char Char Char2 Char"/>
    <w:basedOn w:val="1"/>
    <w:qFormat/>
    <w:uiPriority w:val="0"/>
    <w:rPr>
      <w:rFonts w:ascii="宋体" w:hAnsi="宋体" w:cs="宋体"/>
      <w:szCs w:val="26"/>
    </w:rPr>
  </w:style>
  <w:style w:type="paragraph" w:customStyle="1" w:styleId="438">
    <w:name w:val="declear"/>
    <w:basedOn w:val="1"/>
    <w:qFormat/>
    <w:uiPriority w:val="0"/>
    <w:pPr>
      <w:widowControl/>
      <w:spacing w:before="100" w:beforeAutospacing="1" w:after="100" w:afterAutospacing="1"/>
      <w:jc w:val="left"/>
    </w:pPr>
    <w:rPr>
      <w:rFonts w:ascii="宋体" w:hAnsi="宋体" w:cs="宋体"/>
      <w:kern w:val="0"/>
      <w:szCs w:val="24"/>
    </w:rPr>
  </w:style>
  <w:style w:type="paragraph" w:customStyle="1" w:styleId="439">
    <w:name w:val="正 文"/>
    <w:basedOn w:val="1"/>
    <w:qFormat/>
    <w:uiPriority w:val="0"/>
    <w:pPr>
      <w:spacing w:line="440" w:lineRule="exact"/>
    </w:pPr>
    <w:rPr>
      <w:rFonts w:hAnsi="宋体" w:cs="Times New Roman"/>
      <w:szCs w:val="24"/>
    </w:rPr>
  </w:style>
  <w:style w:type="paragraph" w:customStyle="1" w:styleId="440">
    <w:name w:val="正文   1"/>
    <w:basedOn w:val="1"/>
    <w:qFormat/>
    <w:uiPriority w:val="0"/>
    <w:pPr>
      <w:spacing w:line="460" w:lineRule="atLeast"/>
      <w:ind w:firstLine="520"/>
    </w:pPr>
    <w:rPr>
      <w:rFonts w:cs="Times New Roman"/>
      <w:bCs/>
      <w:sz w:val="26"/>
      <w:szCs w:val="24"/>
    </w:rPr>
  </w:style>
  <w:style w:type="paragraph" w:customStyle="1" w:styleId="441">
    <w:name w:val="表格中的文字"/>
    <w:basedOn w:val="1"/>
    <w:qFormat/>
    <w:uiPriority w:val="0"/>
    <w:pPr>
      <w:jc w:val="center"/>
    </w:pPr>
    <w:rPr>
      <w:rFonts w:cs="Times New Roman"/>
    </w:rPr>
  </w:style>
  <w:style w:type="paragraph" w:customStyle="1" w:styleId="442">
    <w:name w:val="表格体"/>
    <w:basedOn w:val="65"/>
    <w:qFormat/>
    <w:uiPriority w:val="0"/>
    <w:pPr>
      <w:spacing w:line="240" w:lineRule="auto"/>
    </w:pPr>
    <w:rPr>
      <w:rFonts w:eastAsia="宋体"/>
      <w:sz w:val="21"/>
      <w:szCs w:val="22"/>
    </w:rPr>
  </w:style>
  <w:style w:type="paragraph" w:customStyle="1" w:styleId="443">
    <w:name w:val="6表格"/>
    <w:basedOn w:val="1"/>
    <w:qFormat/>
    <w:uiPriority w:val="0"/>
    <w:pPr>
      <w:spacing w:before="120"/>
      <w:jc w:val="center"/>
    </w:pPr>
    <w:rPr>
      <w:rFonts w:cs="Times New Roman"/>
      <w:kern w:val="0"/>
      <w:szCs w:val="20"/>
    </w:rPr>
  </w:style>
  <w:style w:type="paragraph" w:customStyle="1" w:styleId="444">
    <w:name w:val="Char Char2 Char Char Char Char Char Char"/>
    <w:basedOn w:val="1"/>
    <w:semiHidden/>
    <w:qFormat/>
    <w:uiPriority w:val="0"/>
    <w:rPr>
      <w:rFonts w:cs="宋体"/>
      <w:szCs w:val="26"/>
    </w:rPr>
  </w:style>
  <w:style w:type="paragraph" w:customStyle="1" w:styleId="445">
    <w:name w:val="样式 样式 标题 2标题节标题 2 Char Char + 段前: 2 行 + 左侧:  1 字符 右侧:  1 字符1"/>
    <w:basedOn w:val="337"/>
    <w:qFormat/>
    <w:uiPriority w:val="0"/>
    <w:pPr>
      <w:spacing w:before="50" w:beforeLines="0" w:after="50"/>
    </w:pPr>
    <w:rPr>
      <w:rFonts w:hAnsi="Times New Roman" w:eastAsia="宋体" w:cs="宋体"/>
      <w:bCs/>
    </w:rPr>
  </w:style>
  <w:style w:type="paragraph" w:customStyle="1" w:styleId="446">
    <w:name w:val="样式19"/>
    <w:basedOn w:val="1"/>
    <w:qFormat/>
    <w:uiPriority w:val="0"/>
    <w:pPr>
      <w:keepNext/>
      <w:keepLines/>
      <w:widowControl/>
      <w:spacing w:line="460" w:lineRule="exact"/>
      <w:jc w:val="left"/>
      <w:textAlignment w:val="baseline"/>
      <w:outlineLvl w:val="2"/>
    </w:pPr>
    <w:rPr>
      <w:rFonts w:cs="Times New Roman"/>
      <w:b/>
      <w:kern w:val="0"/>
      <w:sz w:val="26"/>
      <w:szCs w:val="26"/>
    </w:rPr>
  </w:style>
  <w:style w:type="paragraph" w:customStyle="1" w:styleId="447">
    <w:name w:val="样式 样式 标题 2标题节标题 2 Char Char + 段前: 2 行 + 左侧:  1 字符2"/>
    <w:basedOn w:val="337"/>
    <w:qFormat/>
    <w:uiPriority w:val="0"/>
    <w:pPr>
      <w:spacing w:before="50" w:beforeLines="0" w:after="50"/>
    </w:pPr>
    <w:rPr>
      <w:rFonts w:hAnsi="Times New Roman" w:eastAsia="宋体" w:cs="宋体"/>
      <w:bCs/>
    </w:rPr>
  </w:style>
  <w:style w:type="paragraph" w:customStyle="1" w:styleId="448">
    <w:name w:val="b"/>
    <w:basedOn w:val="3"/>
    <w:qFormat/>
    <w:uiPriority w:val="0"/>
    <w:pPr>
      <w:keepNext w:val="0"/>
      <w:keepLines w:val="0"/>
      <w:spacing w:before="50" w:beforeLines="50" w:after="50" w:afterLines="50" w:line="240" w:lineRule="auto"/>
      <w:jc w:val="both"/>
      <w:textAlignment w:val="baseline"/>
    </w:pPr>
    <w:rPr>
      <w:rFonts w:eastAsia="仿宋_GB2312"/>
      <w:b/>
      <w:color w:val="000000"/>
      <w:sz w:val="32"/>
      <w:lang w:eastAsia="zh-CN"/>
    </w:rPr>
  </w:style>
  <w:style w:type="paragraph" w:customStyle="1" w:styleId="449">
    <w:name w:val="xl65"/>
    <w:basedOn w:val="1"/>
    <w:qFormat/>
    <w:uiPriority w:val="0"/>
    <w:pPr>
      <w:widowControl/>
      <w:pBdr>
        <w:left w:val="single" w:color="auto" w:sz="4" w:space="0"/>
      </w:pBdr>
      <w:spacing w:before="100" w:beforeAutospacing="1" w:after="100" w:afterAutospacing="1"/>
    </w:pPr>
    <w:rPr>
      <w:rFonts w:ascii="Arial Unicode MS" w:hAnsi="Arial Unicode MS" w:eastAsia="Arial Unicode MS" w:cs="Arial Unicode MS"/>
      <w:kern w:val="0"/>
      <w:szCs w:val="21"/>
    </w:rPr>
  </w:style>
  <w:style w:type="paragraph" w:customStyle="1" w:styleId="450">
    <w:name w:val="样式 正文缩进正文缩进2正文缩进 Char Char正文缩进 Char Char Char Char正文缩进 Char ..."/>
    <w:basedOn w:val="13"/>
    <w:qFormat/>
    <w:uiPriority w:val="0"/>
    <w:pPr>
      <w:ind w:firstLine="200"/>
    </w:pPr>
    <w:rPr>
      <w:rFonts w:cs="宋体"/>
    </w:rPr>
  </w:style>
  <w:style w:type="paragraph" w:customStyle="1" w:styleId="451">
    <w:name w:val="123"/>
    <w:basedOn w:val="1"/>
    <w:next w:val="1"/>
    <w:qFormat/>
    <w:uiPriority w:val="0"/>
    <w:pPr>
      <w:ind w:firstLine="562"/>
    </w:pPr>
    <w:rPr>
      <w:rFonts w:cs="Times New Roman"/>
      <w:b/>
      <w:bCs/>
      <w:color w:val="000000"/>
      <w:sz w:val="28"/>
      <w:szCs w:val="24"/>
    </w:rPr>
  </w:style>
  <w:style w:type="paragraph" w:customStyle="1" w:styleId="452">
    <w:name w:val="样式 13 磅 行距: 固定值 23 磅"/>
    <w:basedOn w:val="1"/>
    <w:qFormat/>
    <w:uiPriority w:val="0"/>
    <w:pPr>
      <w:spacing w:line="460" w:lineRule="exact"/>
      <w:ind w:firstLine="520"/>
    </w:pPr>
    <w:rPr>
      <w:rFonts w:cs="Times New Roman"/>
      <w:sz w:val="26"/>
      <w:szCs w:val="20"/>
    </w:rPr>
  </w:style>
  <w:style w:type="paragraph" w:customStyle="1" w:styleId="453">
    <w:name w:val="样式6565656"/>
    <w:basedOn w:val="1"/>
    <w:qFormat/>
    <w:uiPriority w:val="0"/>
    <w:pPr>
      <w:spacing w:line="460" w:lineRule="atLeast"/>
      <w:ind w:firstLine="480"/>
    </w:pPr>
    <w:rPr>
      <w:rFonts w:cs="Times New Roman"/>
      <w:bCs/>
      <w:szCs w:val="24"/>
    </w:rPr>
  </w:style>
  <w:style w:type="paragraph" w:customStyle="1" w:styleId="454">
    <w:name w:val="样式 样式 标题 2标题节标题 2 Char Char + 段前: 2 行 + 段前: 0.5 行 段后: 0.5 行"/>
    <w:basedOn w:val="337"/>
    <w:next w:val="1"/>
    <w:qFormat/>
    <w:uiPriority w:val="0"/>
    <w:pPr>
      <w:spacing w:before="120" w:beforeLines="0" w:after="120"/>
    </w:pPr>
    <w:rPr>
      <w:rFonts w:hAnsi="Times New Roman" w:eastAsia="宋体" w:cs="宋体"/>
      <w:bCs/>
    </w:rPr>
  </w:style>
  <w:style w:type="paragraph" w:customStyle="1" w:styleId="455">
    <w:name w:val="二级标题"/>
    <w:basedOn w:val="1"/>
    <w:next w:val="1"/>
    <w:qFormat/>
    <w:uiPriority w:val="0"/>
    <w:pPr>
      <w:spacing w:before="156" w:beforeLines="50" w:after="156" w:afterLines="50" w:line="460" w:lineRule="exact"/>
      <w:outlineLvl w:val="1"/>
    </w:pPr>
    <w:rPr>
      <w:rFonts w:cs="Times New Roman"/>
      <w:b/>
      <w:bCs/>
      <w:sz w:val="30"/>
      <w:szCs w:val="30"/>
    </w:rPr>
  </w:style>
  <w:style w:type="paragraph" w:customStyle="1" w:styleId="456">
    <w:name w:val="样式 首行缩进:  0.85 厘米8"/>
    <w:basedOn w:val="1"/>
    <w:qFormat/>
    <w:uiPriority w:val="0"/>
    <w:pPr>
      <w:spacing w:line="288" w:lineRule="auto"/>
      <w:ind w:firstLine="482"/>
    </w:pPr>
    <w:rPr>
      <w:rFonts w:cs="宋体"/>
      <w:szCs w:val="26"/>
    </w:rPr>
  </w:style>
  <w:style w:type="paragraph" w:customStyle="1" w:styleId="457">
    <w:name w:val="Char Char Char3 Char Char Char2 Char"/>
    <w:basedOn w:val="1"/>
    <w:semiHidden/>
    <w:qFormat/>
    <w:uiPriority w:val="0"/>
    <w:rPr>
      <w:rFonts w:ascii="宋体" w:hAnsi="宋体" w:cs="宋体"/>
      <w:szCs w:val="26"/>
    </w:rPr>
  </w:style>
  <w:style w:type="paragraph" w:customStyle="1" w:styleId="458">
    <w:name w:val="编号正文"/>
    <w:basedOn w:val="1"/>
    <w:qFormat/>
    <w:uiPriority w:val="0"/>
    <w:pPr>
      <w:tabs>
        <w:tab w:val="left" w:pos="1260"/>
      </w:tabs>
      <w:spacing w:after="50" w:afterLines="50" w:line="300" w:lineRule="auto"/>
      <w:ind w:left="1260" w:hanging="806"/>
    </w:pPr>
    <w:rPr>
      <w:rFonts w:ascii="Arial Narrow" w:hAnsi="Arial Narrow" w:eastAsia="仿宋_GB2312" w:cs="Times New Roman"/>
      <w:sz w:val="28"/>
      <w:szCs w:val="28"/>
    </w:rPr>
  </w:style>
  <w:style w:type="paragraph" w:customStyle="1" w:styleId="459">
    <w:name w:val="Char3"/>
    <w:basedOn w:val="1"/>
    <w:qFormat/>
    <w:uiPriority w:val="0"/>
    <w:rPr>
      <w:rFonts w:cs="Times New Roman"/>
      <w:szCs w:val="24"/>
    </w:rPr>
  </w:style>
  <w:style w:type="paragraph" w:customStyle="1" w:styleId="460">
    <w:name w:val="表格文字居中"/>
    <w:basedOn w:val="1"/>
    <w:next w:val="1"/>
    <w:qFormat/>
    <w:uiPriority w:val="0"/>
    <w:pPr>
      <w:spacing w:line="460" w:lineRule="exact"/>
      <w:jc w:val="center"/>
    </w:pPr>
    <w:rPr>
      <w:rFonts w:cs="Times New Roman"/>
      <w:color w:val="000000"/>
      <w:sz w:val="22"/>
    </w:rPr>
  </w:style>
  <w:style w:type="paragraph" w:customStyle="1" w:styleId="461">
    <w:name w:val="样式 标题 2 + Times New Roman 非加粗"/>
    <w:basedOn w:val="3"/>
    <w:qFormat/>
    <w:uiPriority w:val="0"/>
    <w:pPr>
      <w:keepLines w:val="0"/>
      <w:widowControl w:val="0"/>
      <w:adjustRightInd/>
      <w:snapToGrid/>
      <w:spacing w:before="156" w:beforeLines="50" w:line="240" w:lineRule="auto"/>
      <w:ind w:firstLine="472" w:firstLineChars="196"/>
      <w:jc w:val="both"/>
    </w:pPr>
    <w:rPr>
      <w:bCs w:val="0"/>
      <w:color w:val="000000"/>
      <w:kern w:val="2"/>
      <w:szCs w:val="24"/>
      <w:lang w:eastAsia="zh-CN"/>
    </w:rPr>
  </w:style>
  <w:style w:type="paragraph" w:customStyle="1" w:styleId="462">
    <w:name w:val="xl27"/>
    <w:basedOn w:val="1"/>
    <w:qFormat/>
    <w:uiPriority w:val="0"/>
    <w:pPr>
      <w:widowControl/>
      <w:pBdr>
        <w:left w:val="single" w:color="auto" w:sz="12" w:space="0"/>
        <w:bottom w:val="single" w:color="auto" w:sz="4" w:space="0"/>
        <w:right w:val="single" w:color="auto" w:sz="4" w:space="0"/>
      </w:pBdr>
      <w:spacing w:before="100" w:beforeAutospacing="1" w:after="100" w:afterAutospacing="1"/>
      <w:jc w:val="center"/>
    </w:pPr>
    <w:rPr>
      <w:rFonts w:ascii="Arial Unicode MS" w:hAnsi="Arial Unicode MS" w:eastAsia="Arial Unicode MS" w:cs="Times New Roman"/>
      <w:color w:val="000000"/>
      <w:kern w:val="0"/>
      <w:szCs w:val="20"/>
    </w:rPr>
  </w:style>
  <w:style w:type="paragraph" w:customStyle="1" w:styleId="463">
    <w:name w:val="Char Char Char1 Char Char Char Char Char Char Char Char Char Char Char Char Char Char Char Char Char Char Char Char Char Char"/>
    <w:basedOn w:val="1"/>
    <w:qFormat/>
    <w:uiPriority w:val="0"/>
    <w:rPr>
      <w:rFonts w:ascii="宋体" w:hAnsi="宋体" w:cs="宋体"/>
      <w:szCs w:val="26"/>
    </w:rPr>
  </w:style>
  <w:style w:type="paragraph" w:customStyle="1" w:styleId="464">
    <w:name w:val="Z7[图表]"/>
    <w:next w:val="1"/>
    <w:qFormat/>
    <w:uiPriority w:val="0"/>
    <w:pPr>
      <w:jc w:val="center"/>
    </w:pPr>
    <w:rPr>
      <w:rFonts w:ascii="Times New Roman" w:hAnsi="Times New Roman" w:eastAsia="仿宋_GB2312" w:cs="Times New Roman"/>
      <w:bCs/>
      <w:sz w:val="21"/>
      <w:szCs w:val="44"/>
      <w:lang w:val="en-US" w:eastAsia="zh-CN" w:bidi="ar-SA"/>
    </w:rPr>
  </w:style>
  <w:style w:type="paragraph" w:customStyle="1" w:styleId="465">
    <w:name w:val="HtmlNormal"/>
    <w:basedOn w:val="1"/>
    <w:qFormat/>
    <w:uiPriority w:val="0"/>
    <w:pPr>
      <w:spacing w:before="100" w:beforeAutospacing="1" w:after="100" w:afterAutospacing="1" w:line="384" w:lineRule="auto"/>
      <w:jc w:val="left"/>
    </w:pPr>
    <w:rPr>
      <w:rFonts w:ascii="Arial Unicode MS" w:hAnsi="Arial Unicode MS" w:eastAsia="Times New Roman" w:cs="Times New Roman"/>
      <w:color w:val="000000"/>
      <w:kern w:val="0"/>
      <w:szCs w:val="21"/>
    </w:rPr>
  </w:style>
  <w:style w:type="paragraph" w:customStyle="1" w:styleId="466">
    <w:name w:val="样式 13 磅 黑色 行距: 固定值 23 磅"/>
    <w:basedOn w:val="1"/>
    <w:qFormat/>
    <w:uiPriority w:val="0"/>
    <w:pPr>
      <w:spacing w:line="440" w:lineRule="exact"/>
      <w:jc w:val="center"/>
    </w:pPr>
    <w:rPr>
      <w:rFonts w:ascii="宋体" w:hAnsi="宋体" w:cs="Arial"/>
      <w:szCs w:val="24"/>
    </w:rPr>
  </w:style>
  <w:style w:type="paragraph" w:customStyle="1" w:styleId="467">
    <w:name w:val="样式 样式 标题 2标题节标题 2 Char Char + 段前: 2 行 + 首行缩进:  2 字符 段前: 0.5 行 ..."/>
    <w:basedOn w:val="337"/>
    <w:qFormat/>
    <w:uiPriority w:val="0"/>
    <w:pPr>
      <w:spacing w:before="0" w:beforeLines="0"/>
      <w:ind w:firstLine="0"/>
    </w:pPr>
    <w:rPr>
      <w:rFonts w:hAnsi="Times New Roman" w:eastAsia="宋体" w:cs="宋体"/>
      <w:bCs/>
    </w:rPr>
  </w:style>
  <w:style w:type="paragraph" w:customStyle="1" w:styleId="468">
    <w:name w:val="xl24"/>
    <w:basedOn w:val="1"/>
    <w:qFormat/>
    <w:uiPriority w:val="0"/>
    <w:pPr>
      <w:widowControl/>
      <w:spacing w:before="100" w:beforeAutospacing="1" w:after="100" w:afterAutospacing="1"/>
      <w:jc w:val="center"/>
      <w:textAlignment w:val="center"/>
    </w:pPr>
    <w:rPr>
      <w:rFonts w:ascii="Arial Unicode MS" w:hAnsi="Arial Unicode MS" w:eastAsia="Arial Unicode MS" w:cs="Times New Roman"/>
      <w:kern w:val="0"/>
      <w:sz w:val="22"/>
    </w:rPr>
  </w:style>
  <w:style w:type="paragraph" w:customStyle="1" w:styleId="469">
    <w:name w:val="xl26"/>
    <w:basedOn w:val="1"/>
    <w:qFormat/>
    <w:uiPriority w:val="0"/>
    <w:pPr>
      <w:widowControl/>
      <w:pBdr>
        <w:bottom w:val="single" w:color="auto" w:sz="4" w:space="0"/>
        <w:right w:val="single" w:color="auto" w:sz="4" w:space="0"/>
      </w:pBdr>
      <w:spacing w:before="100" w:beforeAutospacing="1" w:after="100" w:afterAutospacing="1"/>
      <w:textAlignment w:val="top"/>
    </w:pPr>
    <w:rPr>
      <w:rFonts w:ascii="宋体" w:hAnsi="宋体" w:cs="Times New Roman"/>
      <w:kern w:val="0"/>
      <w:szCs w:val="21"/>
    </w:rPr>
  </w:style>
  <w:style w:type="paragraph" w:customStyle="1" w:styleId="470">
    <w:name w:val="Z2[封面]"/>
    <w:next w:val="1"/>
    <w:qFormat/>
    <w:uiPriority w:val="0"/>
    <w:pPr>
      <w:spacing w:line="360" w:lineRule="auto"/>
      <w:jc w:val="center"/>
    </w:pPr>
    <w:rPr>
      <w:rFonts w:ascii="Times New Roman" w:hAnsi="Times New Roman" w:eastAsia="楷体_GB2312" w:cs="Times New Roman"/>
      <w:bCs/>
      <w:sz w:val="32"/>
      <w:szCs w:val="44"/>
      <w:lang w:val="en-US" w:eastAsia="zh-CN" w:bidi="ar-SA"/>
    </w:rPr>
  </w:style>
  <w:style w:type="paragraph" w:customStyle="1" w:styleId="471">
    <w:name w:val="UserStyle_5"/>
    <w:qFormat/>
    <w:uiPriority w:val="0"/>
    <w:pPr>
      <w:spacing w:line="600" w:lineRule="exact"/>
      <w:ind w:firstLine="567"/>
      <w:jc w:val="both"/>
      <w:textAlignment w:val="baseline"/>
    </w:pPr>
    <w:rPr>
      <w:rFonts w:ascii="宋体" w:hAnsi="Times New Roman" w:eastAsia="宋体" w:cs="Times New Roman"/>
      <w:sz w:val="28"/>
      <w:lang w:val="en-US" w:eastAsia="zh-CN" w:bidi="ar-SA"/>
    </w:rPr>
  </w:style>
  <w:style w:type="paragraph" w:customStyle="1" w:styleId="472">
    <w:name w:val="默认段落字体 Para Char"/>
    <w:basedOn w:val="1"/>
    <w:next w:val="1"/>
    <w:qFormat/>
    <w:uiPriority w:val="0"/>
    <w:rPr>
      <w:rFonts w:cs="Times New Roman"/>
      <w:szCs w:val="24"/>
    </w:rPr>
  </w:style>
  <w:style w:type="paragraph" w:customStyle="1" w:styleId="473">
    <w:name w:val="正"/>
    <w:qFormat/>
    <w:uiPriority w:val="0"/>
    <w:pPr>
      <w:spacing w:line="480" w:lineRule="exact"/>
      <w:ind w:firstLine="470" w:firstLineChars="196"/>
    </w:pPr>
    <w:rPr>
      <w:rFonts w:ascii="Times New Roman" w:hAnsi="Times New Roman" w:eastAsia="宋体" w:cs="Times New Roman"/>
      <w:bCs/>
      <w:kern w:val="2"/>
      <w:sz w:val="24"/>
      <w:szCs w:val="24"/>
      <w:lang w:val="en-US" w:eastAsia="zh-CN" w:bidi="ar-SA"/>
    </w:rPr>
  </w:style>
  <w:style w:type="paragraph" w:customStyle="1" w:styleId="474">
    <w:name w:val="Z5[附件]"/>
    <w:next w:val="1"/>
    <w:qFormat/>
    <w:uiPriority w:val="0"/>
    <w:pPr>
      <w:spacing w:line="360" w:lineRule="auto"/>
      <w:ind w:firstLine="200" w:firstLineChars="200"/>
    </w:pPr>
    <w:rPr>
      <w:rFonts w:ascii="Times New Roman" w:hAnsi="Times New Roman" w:eastAsia="仿宋_GB2312" w:cs="Times New Roman"/>
      <w:b/>
      <w:sz w:val="28"/>
      <w:szCs w:val="24"/>
      <w:lang w:val="en-US" w:eastAsia="zh-CN" w:bidi="ar-SA"/>
    </w:rPr>
  </w:style>
  <w:style w:type="paragraph" w:customStyle="1" w:styleId="475">
    <w:name w:val="xl25"/>
    <w:basedOn w:val="1"/>
    <w:semiHidden/>
    <w:qFormat/>
    <w:uiPriority w:val="0"/>
    <w:pPr>
      <w:widowControl/>
      <w:spacing w:before="100" w:after="100"/>
      <w:jc w:val="center"/>
    </w:pPr>
    <w:rPr>
      <w:rFonts w:eastAsia="Arial Unicode MS" w:cs="Times New Roman"/>
      <w:kern w:val="0"/>
      <w:szCs w:val="20"/>
    </w:rPr>
  </w:style>
  <w:style w:type="paragraph" w:customStyle="1" w:styleId="476">
    <w:name w:val="样式 四号 行距: 固定值 28 磅 首行缩进:  2 字符"/>
    <w:basedOn w:val="1"/>
    <w:qFormat/>
    <w:uiPriority w:val="0"/>
    <w:pPr>
      <w:spacing w:line="560" w:lineRule="exact"/>
      <w:ind w:firstLine="560"/>
    </w:pPr>
    <w:rPr>
      <w:rFonts w:cs="宋体"/>
      <w:sz w:val="28"/>
      <w:szCs w:val="20"/>
    </w:rPr>
  </w:style>
  <w:style w:type="paragraph" w:customStyle="1" w:styleId="477">
    <w:name w:val="样式 样式 标题 2标题节标题 2 Char Char + 段前: 2 行 + 左侧:  1 字符"/>
    <w:basedOn w:val="337"/>
    <w:qFormat/>
    <w:uiPriority w:val="0"/>
    <w:pPr>
      <w:spacing w:before="0" w:beforeLines="0"/>
    </w:pPr>
    <w:rPr>
      <w:rFonts w:hAnsi="Times New Roman" w:eastAsia="宋体" w:cs="宋体"/>
      <w:bCs/>
    </w:rPr>
  </w:style>
  <w:style w:type="paragraph" w:customStyle="1" w:styleId="478">
    <w:name w:val="Char Char Char"/>
    <w:basedOn w:val="1"/>
    <w:qFormat/>
    <w:uiPriority w:val="0"/>
    <w:rPr>
      <w:rFonts w:cs="Times New Roman"/>
      <w:szCs w:val="20"/>
    </w:rPr>
  </w:style>
  <w:style w:type="paragraph" w:customStyle="1" w:styleId="479">
    <w:name w:val="样式 左 首行缩进:  1.01 厘米"/>
    <w:basedOn w:val="1"/>
    <w:qFormat/>
    <w:uiPriority w:val="0"/>
    <w:pPr>
      <w:spacing w:line="460" w:lineRule="exact"/>
    </w:pPr>
    <w:rPr>
      <w:rFonts w:cs="宋体"/>
      <w:sz w:val="26"/>
      <w:szCs w:val="26"/>
    </w:rPr>
  </w:style>
  <w:style w:type="paragraph" w:customStyle="1" w:styleId="480">
    <w:name w:val="样式 13 磅 行距: 固定值 23 磅 首行缩进:  2 字符"/>
    <w:basedOn w:val="1"/>
    <w:qFormat/>
    <w:uiPriority w:val="0"/>
    <w:pPr>
      <w:spacing w:line="460" w:lineRule="exact"/>
      <w:ind w:firstLine="520"/>
    </w:pPr>
    <w:rPr>
      <w:rFonts w:cs="宋体"/>
      <w:sz w:val="26"/>
      <w:szCs w:val="20"/>
    </w:rPr>
  </w:style>
  <w:style w:type="paragraph" w:customStyle="1" w:styleId="481">
    <w:name w:val="表格文字-hao-居中"/>
    <w:qFormat/>
    <w:uiPriority w:val="99"/>
    <w:pPr>
      <w:adjustRightInd w:val="0"/>
      <w:snapToGrid w:val="0"/>
      <w:spacing w:beforeLines="20" w:afterLines="10" w:line="264" w:lineRule="auto"/>
      <w:jc w:val="center"/>
      <w:textAlignment w:val="center"/>
    </w:pPr>
    <w:rPr>
      <w:rFonts w:ascii="Times New Roman" w:hAnsi="Times New Roman" w:eastAsia="宋体" w:cs="Times New Roman"/>
      <w:szCs w:val="24"/>
      <w:lang w:val="en-US" w:eastAsia="zh-CN" w:bidi="ar-SA"/>
    </w:rPr>
  </w:style>
  <w:style w:type="paragraph" w:customStyle="1" w:styleId="482">
    <w:name w:val="Z1[封面]"/>
    <w:next w:val="1"/>
    <w:qFormat/>
    <w:uiPriority w:val="0"/>
    <w:pPr>
      <w:spacing w:line="360" w:lineRule="auto"/>
      <w:jc w:val="center"/>
    </w:pPr>
    <w:rPr>
      <w:rFonts w:ascii="Times New Roman" w:hAnsi="Times New Roman" w:eastAsia="华文中宋" w:cs="Times New Roman"/>
      <w:b/>
      <w:bCs/>
      <w:sz w:val="44"/>
      <w:szCs w:val="44"/>
      <w:lang w:val="en-US" w:eastAsia="zh-CN" w:bidi="ar-SA"/>
    </w:rPr>
  </w:style>
  <w:style w:type="paragraph" w:customStyle="1" w:styleId="483">
    <w:name w:val="Char Char Char Char1"/>
    <w:basedOn w:val="1"/>
    <w:qFormat/>
    <w:uiPriority w:val="0"/>
    <w:rPr>
      <w:rFonts w:ascii="仿宋_GB2312" w:hAnsi="Tahoma" w:eastAsia="仿宋_GB2312" w:cs="Times New Roman"/>
      <w:szCs w:val="21"/>
    </w:rPr>
  </w:style>
  <w:style w:type="paragraph" w:customStyle="1" w:styleId="484">
    <w:name w:val="表格1"/>
    <w:basedOn w:val="1"/>
    <w:qFormat/>
    <w:uiPriority w:val="0"/>
    <w:pPr>
      <w:spacing w:line="360" w:lineRule="exact"/>
      <w:jc w:val="center"/>
    </w:pPr>
    <w:rPr>
      <w:rFonts w:cs="Times New Roman"/>
      <w:color w:val="000000"/>
      <w:szCs w:val="24"/>
    </w:rPr>
  </w:style>
  <w:style w:type="paragraph" w:customStyle="1" w:styleId="485">
    <w:name w:val="正文（首行缩进两字）"/>
    <w:basedOn w:val="1"/>
    <w:qFormat/>
    <w:uiPriority w:val="0"/>
    <w:rPr>
      <w:rFonts w:cs="Times New Roman"/>
      <w:szCs w:val="21"/>
    </w:rPr>
  </w:style>
  <w:style w:type="paragraph" w:customStyle="1" w:styleId="486">
    <w:name w:val="BodyTextIndent2"/>
    <w:basedOn w:val="1"/>
    <w:qFormat/>
    <w:uiPriority w:val="0"/>
    <w:pPr>
      <w:spacing w:after="120" w:line="480" w:lineRule="auto"/>
      <w:ind w:left="420" w:leftChars="200"/>
    </w:pPr>
    <w:rPr>
      <w:rFonts w:cs="Times New Roman"/>
      <w:szCs w:val="24"/>
    </w:rPr>
  </w:style>
  <w:style w:type="paragraph" w:customStyle="1" w:styleId="487">
    <w:name w:val="三级标题"/>
    <w:basedOn w:val="1"/>
    <w:next w:val="1"/>
    <w:semiHidden/>
    <w:qFormat/>
    <w:uiPriority w:val="0"/>
    <w:pPr>
      <w:outlineLvl w:val="2"/>
    </w:pPr>
    <w:rPr>
      <w:rFonts w:cs="Times New Roman"/>
      <w:b/>
      <w:sz w:val="26"/>
      <w:szCs w:val="26"/>
    </w:rPr>
  </w:style>
  <w:style w:type="paragraph" w:customStyle="1" w:styleId="488">
    <w:name w:val="gg_body"/>
    <w:basedOn w:val="1"/>
    <w:qFormat/>
    <w:uiPriority w:val="0"/>
    <w:pPr>
      <w:spacing w:line="460" w:lineRule="exact"/>
    </w:pPr>
    <w:rPr>
      <w:rFonts w:ascii="宋体" w:hAnsi="宋体" w:cs="Times New Roman"/>
      <w:szCs w:val="20"/>
    </w:rPr>
  </w:style>
  <w:style w:type="paragraph" w:customStyle="1" w:styleId="489">
    <w:name w:val="xl52"/>
    <w:basedOn w:val="1"/>
    <w:qFormat/>
    <w:uiPriority w:val="0"/>
    <w:pPr>
      <w:widowControl/>
      <w:pBdr>
        <w:left w:val="single" w:color="auto" w:sz="8" w:space="0"/>
      </w:pBdr>
      <w:spacing w:before="100" w:beforeAutospacing="1" w:after="100" w:afterAutospacing="1"/>
      <w:jc w:val="center"/>
      <w:textAlignment w:val="center"/>
    </w:pPr>
    <w:rPr>
      <w:rFonts w:ascii="Arial Unicode MS" w:hAnsi="Arial Unicode MS" w:eastAsia="Arial Unicode MS" w:cs="Arial Unicode MS"/>
      <w:kern w:val="0"/>
      <w:szCs w:val="24"/>
    </w:rPr>
  </w:style>
  <w:style w:type="paragraph" w:customStyle="1" w:styleId="490">
    <w:name w:val="样式8"/>
    <w:basedOn w:val="4"/>
    <w:qFormat/>
    <w:uiPriority w:val="0"/>
    <w:pPr>
      <w:widowControl w:val="0"/>
      <w:spacing w:line="480" w:lineRule="exact"/>
      <w:jc w:val="both"/>
    </w:pPr>
    <w:rPr>
      <w:kern w:val="2"/>
      <w:sz w:val="26"/>
      <w:szCs w:val="24"/>
      <w:lang w:eastAsia="zh-CN"/>
    </w:rPr>
  </w:style>
  <w:style w:type="paragraph" w:customStyle="1" w:styleId="491">
    <w:name w:val="样式 正文文本缩进 + 宋体"/>
    <w:basedOn w:val="22"/>
    <w:qFormat/>
    <w:uiPriority w:val="0"/>
    <w:pPr>
      <w:widowControl w:val="0"/>
      <w:spacing w:before="93" w:beforeLines="30" w:after="93" w:afterLines="30" w:line="460" w:lineRule="exact"/>
      <w:ind w:left="0" w:firstLine="560"/>
      <w:jc w:val="both"/>
    </w:pPr>
    <w:rPr>
      <w:rFonts w:ascii="宋体" w:hAnsi="宋体"/>
      <w:kern w:val="2"/>
      <w:sz w:val="21"/>
      <w:szCs w:val="28"/>
      <w:lang w:eastAsia="zh-CN"/>
    </w:rPr>
  </w:style>
  <w:style w:type="paragraph" w:customStyle="1" w:styleId="492">
    <w:name w:val="样式 样式 标题 2标题节标题 2 Char Char + 段前: 2 行 + 左侧:  1 字符 右侧:  1 字符"/>
    <w:basedOn w:val="337"/>
    <w:qFormat/>
    <w:uiPriority w:val="0"/>
    <w:rPr>
      <w:szCs w:val="26"/>
    </w:rPr>
  </w:style>
  <w:style w:type="paragraph" w:customStyle="1" w:styleId="493">
    <w:name w:val="00000000000000000000000 Char"/>
    <w:basedOn w:val="1"/>
    <w:qFormat/>
    <w:uiPriority w:val="0"/>
    <w:pPr>
      <w:ind w:firstLine="510"/>
    </w:pPr>
    <w:rPr>
      <w:rFonts w:cs="Times New Roman"/>
      <w:color w:val="000000"/>
      <w:szCs w:val="24"/>
      <w:lang w:val="zh-CN"/>
    </w:rPr>
  </w:style>
  <w:style w:type="paragraph" w:customStyle="1" w:styleId="494">
    <w:name w:val="Char Char Char2 Char Char Char Char Char Char Char Char Char Char"/>
    <w:basedOn w:val="1"/>
    <w:semiHidden/>
    <w:qFormat/>
    <w:uiPriority w:val="0"/>
    <w:rPr>
      <w:rFonts w:ascii="宋体" w:hAnsi="宋体" w:cs="宋体"/>
      <w:szCs w:val="26"/>
    </w:rPr>
  </w:style>
  <w:style w:type="paragraph" w:customStyle="1" w:styleId="495">
    <w:name w:val="样式17"/>
    <w:basedOn w:val="1"/>
    <w:qFormat/>
    <w:uiPriority w:val="0"/>
    <w:pPr>
      <w:keepNext/>
      <w:keepLines/>
      <w:widowControl/>
      <w:spacing w:before="80" w:line="460" w:lineRule="exact"/>
      <w:jc w:val="left"/>
      <w:outlineLvl w:val="1"/>
    </w:pPr>
    <w:rPr>
      <w:rFonts w:eastAsia="黑体" w:cs="Times New Roman"/>
      <w:b/>
      <w:bCs/>
      <w:kern w:val="0"/>
      <w:sz w:val="28"/>
      <w:szCs w:val="28"/>
    </w:rPr>
  </w:style>
  <w:style w:type="paragraph" w:customStyle="1" w:styleId="496">
    <w:name w:val="简单回函地址"/>
    <w:basedOn w:val="1"/>
    <w:qFormat/>
    <w:uiPriority w:val="0"/>
    <w:rPr>
      <w:rFonts w:cs="Times New Roman"/>
      <w:szCs w:val="20"/>
    </w:rPr>
  </w:style>
  <w:style w:type="paragraph" w:customStyle="1" w:styleId="497">
    <w:name w:val="Heading3"/>
    <w:basedOn w:val="1"/>
    <w:next w:val="1"/>
    <w:qFormat/>
    <w:uiPriority w:val="0"/>
    <w:pPr>
      <w:keepNext/>
      <w:keepLines/>
      <w:spacing w:before="156" w:line="440" w:lineRule="exact"/>
      <w:ind w:firstLine="472" w:firstLineChars="196"/>
    </w:pPr>
    <w:rPr>
      <w:rFonts w:ascii="Arial" w:hAnsi="Arial" w:eastAsia="黑体" w:cs="Times New Roman"/>
      <w:b/>
      <w:color w:val="000000"/>
      <w:kern w:val="0"/>
      <w:szCs w:val="24"/>
    </w:rPr>
  </w:style>
  <w:style w:type="paragraph" w:customStyle="1" w:styleId="498">
    <w:name w:val="样式 样式 样式 标题 2标题节标题 2 Char Char + 段前: 2 行 + 左侧:  1 字符 + 段前: 0.5 行..."/>
    <w:basedOn w:val="1"/>
    <w:qFormat/>
    <w:uiPriority w:val="0"/>
    <w:pPr>
      <w:keepNext/>
      <w:keepLines/>
      <w:spacing w:line="460" w:lineRule="exact"/>
      <w:outlineLvl w:val="1"/>
    </w:pPr>
    <w:rPr>
      <w:rFonts w:cs="宋体"/>
      <w:b/>
      <w:bCs/>
      <w:sz w:val="26"/>
      <w:szCs w:val="26"/>
    </w:rPr>
  </w:style>
  <w:style w:type="paragraph" w:customStyle="1" w:styleId="499">
    <w:name w:val="一级标题"/>
    <w:basedOn w:val="1"/>
    <w:next w:val="1"/>
    <w:qFormat/>
    <w:uiPriority w:val="0"/>
    <w:pPr>
      <w:spacing w:before="100" w:beforeAutospacing="1" w:after="156" w:afterLines="50" w:line="460" w:lineRule="exact"/>
      <w:jc w:val="center"/>
      <w:outlineLvl w:val="0"/>
    </w:pPr>
    <w:rPr>
      <w:rFonts w:cs="Times New Roman"/>
      <w:b/>
      <w:bCs/>
      <w:sz w:val="32"/>
      <w:szCs w:val="32"/>
    </w:rPr>
  </w:style>
  <w:style w:type="paragraph" w:customStyle="1" w:styleId="500">
    <w:name w:val="UserStyle_1"/>
    <w:qFormat/>
    <w:uiPriority w:val="0"/>
    <w:pPr>
      <w:spacing w:line="480" w:lineRule="exact"/>
      <w:ind w:firstLine="470" w:firstLineChars="196"/>
      <w:textAlignment w:val="baseline"/>
    </w:pPr>
    <w:rPr>
      <w:rFonts w:ascii="Times New Roman" w:hAnsi="Times New Roman" w:eastAsia="宋体" w:cs="Times New Roman"/>
      <w:bCs/>
      <w:kern w:val="2"/>
      <w:sz w:val="24"/>
      <w:szCs w:val="24"/>
      <w:lang w:val="en-US" w:eastAsia="zh-CN" w:bidi="ar-SA"/>
    </w:rPr>
  </w:style>
  <w:style w:type="paragraph" w:customStyle="1" w:styleId="501">
    <w:name w:val="环评表头"/>
    <w:basedOn w:val="1"/>
    <w:qFormat/>
    <w:uiPriority w:val="0"/>
    <w:pPr>
      <w:spacing w:line="440" w:lineRule="exact"/>
      <w:jc w:val="center"/>
    </w:pPr>
    <w:rPr>
      <w:rFonts w:ascii="黑体" w:hAnsi="Arial" w:eastAsia="黑体" w:cs="Arial"/>
      <w:b/>
      <w:color w:val="000000"/>
      <w:szCs w:val="24"/>
    </w:rPr>
  </w:style>
  <w:style w:type="paragraph" w:customStyle="1" w:styleId="502">
    <w:name w:val="UserStyle_6"/>
    <w:basedOn w:val="503"/>
    <w:qFormat/>
    <w:uiPriority w:val="0"/>
  </w:style>
  <w:style w:type="paragraph" w:customStyle="1" w:styleId="503">
    <w:name w:val="UserStyle_4"/>
    <w:basedOn w:val="1"/>
    <w:qFormat/>
    <w:uiPriority w:val="0"/>
    <w:pPr>
      <w:spacing w:line="460" w:lineRule="exact"/>
      <w:ind w:firstLine="567" w:firstLineChars="218"/>
      <w:jc w:val="left"/>
    </w:pPr>
    <w:rPr>
      <w:rFonts w:cs="Times New Roman"/>
      <w:kern w:val="0"/>
      <w:sz w:val="26"/>
      <w:szCs w:val="26"/>
    </w:rPr>
  </w:style>
  <w:style w:type="paragraph" w:customStyle="1" w:styleId="504">
    <w:name w:val="环评标题"/>
    <w:basedOn w:val="349"/>
    <w:qFormat/>
    <w:uiPriority w:val="0"/>
    <w:pPr>
      <w:ind w:firstLine="482"/>
    </w:pPr>
    <w:rPr>
      <w:rFonts w:ascii="黑体" w:eastAsia="黑体"/>
      <w:b/>
    </w:rPr>
  </w:style>
  <w:style w:type="paragraph" w:customStyle="1" w:styleId="505">
    <w:name w:val="Char Char Char Char Char Char Char"/>
    <w:basedOn w:val="1"/>
    <w:next w:val="1"/>
    <w:qFormat/>
    <w:uiPriority w:val="0"/>
    <w:rPr>
      <w:rFonts w:cs="Times New Roman"/>
      <w:szCs w:val="24"/>
    </w:rPr>
  </w:style>
  <w:style w:type="paragraph" w:customStyle="1" w:styleId="506">
    <w:name w:val="Char Char Char Char Char2 Char Char Char Char"/>
    <w:basedOn w:val="1"/>
    <w:qFormat/>
    <w:uiPriority w:val="0"/>
    <w:rPr>
      <w:rFonts w:ascii="宋体" w:hAnsi="宋体" w:cs="宋体"/>
      <w:szCs w:val="26"/>
    </w:rPr>
  </w:style>
  <w:style w:type="paragraph" w:customStyle="1" w:styleId="507">
    <w:name w:val="Char Char Char1 Char Char Char Char"/>
    <w:basedOn w:val="1"/>
    <w:qFormat/>
    <w:uiPriority w:val="0"/>
    <w:rPr>
      <w:rFonts w:ascii="宋体" w:hAnsi="宋体" w:cs="宋体"/>
      <w:szCs w:val="26"/>
    </w:rPr>
  </w:style>
  <w:style w:type="paragraph" w:customStyle="1" w:styleId="508">
    <w:name w:val="样式 正文（首行缩进两字） + 宋体"/>
    <w:basedOn w:val="13"/>
    <w:qFormat/>
    <w:uiPriority w:val="0"/>
    <w:pPr>
      <w:ind w:firstLine="567"/>
    </w:pPr>
    <w:rPr>
      <w:rFonts w:ascii="宋体" w:hAnsi="宋体"/>
      <w:sz w:val="28"/>
      <w:szCs w:val="20"/>
    </w:rPr>
  </w:style>
  <w:style w:type="paragraph" w:customStyle="1" w:styleId="509">
    <w:name w:val="正文四号"/>
    <w:basedOn w:val="1"/>
    <w:qFormat/>
    <w:uiPriority w:val="0"/>
    <w:rPr>
      <w:rFonts w:ascii="宋体" w:cs="宋体"/>
      <w:kern w:val="0"/>
    </w:rPr>
  </w:style>
  <w:style w:type="paragraph" w:customStyle="1" w:styleId="510">
    <w:name w:val="Char Char Char Char Char Char Char Char Char Char Char Char Char Char Char Char Char Char Char Char Char Char Char Char Char Char Char Char Char Char Char Char Char"/>
    <w:basedOn w:val="1"/>
    <w:qFormat/>
    <w:uiPriority w:val="0"/>
    <w:pPr>
      <w:widowControl/>
      <w:spacing w:after="160" w:line="240" w:lineRule="exact"/>
      <w:jc w:val="left"/>
    </w:pPr>
    <w:rPr>
      <w:rFonts w:ascii="Verdana" w:hAnsi="Verdana" w:eastAsia="仿宋_GB2312" w:cs="Verdana"/>
      <w:color w:val="000000"/>
      <w:kern w:val="0"/>
      <w:szCs w:val="21"/>
      <w:lang w:eastAsia="en-US"/>
    </w:rPr>
  </w:style>
  <w:style w:type="paragraph" w:customStyle="1" w:styleId="511">
    <w:name w:val="Char Char Char1 Char Char Char Char1"/>
    <w:basedOn w:val="1"/>
    <w:semiHidden/>
    <w:qFormat/>
    <w:uiPriority w:val="0"/>
    <w:rPr>
      <w:rFonts w:ascii="宋体" w:hAnsi="宋体" w:cs="宋体"/>
      <w:szCs w:val="26"/>
    </w:rPr>
  </w:style>
  <w:style w:type="paragraph" w:customStyle="1" w:styleId="512">
    <w:name w:val="表格文字"/>
    <w:basedOn w:val="13"/>
    <w:next w:val="1"/>
    <w:qFormat/>
    <w:uiPriority w:val="0"/>
    <w:pPr>
      <w:spacing w:before="60" w:after="60" w:line="460" w:lineRule="exact"/>
      <w:ind w:firstLine="200"/>
    </w:pPr>
    <w:rPr>
      <w:sz w:val="26"/>
      <w:szCs w:val="20"/>
    </w:rPr>
  </w:style>
  <w:style w:type="paragraph" w:customStyle="1" w:styleId="513">
    <w:name w:val="标题3"/>
    <w:basedOn w:val="1"/>
    <w:qFormat/>
    <w:uiPriority w:val="0"/>
    <w:pPr>
      <w:ind w:firstLine="482"/>
    </w:pPr>
    <w:rPr>
      <w:rFonts w:ascii="仿宋_GB2312" w:eastAsia="仿宋_GB2312" w:cs="Times New Roman"/>
      <w:b/>
      <w:szCs w:val="24"/>
    </w:rPr>
  </w:style>
  <w:style w:type="paragraph" w:customStyle="1" w:styleId="514">
    <w:name w:val="样式 正文缩进表格标题正文（首行缩进两字）1正文缩进1正文（首行缩进两字） Char Char Char Char Ch..."/>
    <w:basedOn w:val="13"/>
    <w:qFormat/>
    <w:uiPriority w:val="0"/>
    <w:pPr>
      <w:spacing w:line="440" w:lineRule="exact"/>
      <w:ind w:firstLine="200"/>
    </w:pPr>
    <w:rPr>
      <w:rFonts w:cs="宋体"/>
      <w:b/>
      <w:bCs/>
      <w:sz w:val="28"/>
      <w:szCs w:val="20"/>
    </w:rPr>
  </w:style>
  <w:style w:type="paragraph" w:customStyle="1" w:styleId="515">
    <w:name w:val="标题03"/>
    <w:basedOn w:val="1"/>
    <w:next w:val="1"/>
    <w:qFormat/>
    <w:uiPriority w:val="0"/>
    <w:pPr>
      <w:spacing w:line="480" w:lineRule="atLeast"/>
      <w:ind w:firstLine="480"/>
    </w:pPr>
    <w:rPr>
      <w:rFonts w:cs="Times New Roman"/>
      <w:b/>
      <w:szCs w:val="20"/>
    </w:rPr>
  </w:style>
  <w:style w:type="paragraph" w:customStyle="1" w:styleId="516">
    <w:name w:val="Char4 Char Char Char1"/>
    <w:basedOn w:val="1"/>
    <w:qFormat/>
    <w:uiPriority w:val="0"/>
    <w:rPr>
      <w:rFonts w:ascii="宋体" w:hAnsi="宋体" w:cs="宋体"/>
      <w:szCs w:val="26"/>
    </w:rPr>
  </w:style>
  <w:style w:type="paragraph" w:customStyle="1" w:styleId="517">
    <w:name w:val="样式 样式 标题 2标题节标题 2 Char Char + 段前: 2 行 + 左侧:  1 字符1"/>
    <w:basedOn w:val="337"/>
    <w:qFormat/>
    <w:uiPriority w:val="0"/>
    <w:pPr>
      <w:spacing w:before="50" w:beforeLines="0" w:after="50"/>
    </w:pPr>
    <w:rPr>
      <w:rFonts w:hAnsi="Times New Roman" w:eastAsia="宋体" w:cs="宋体"/>
      <w:bCs/>
    </w:rPr>
  </w:style>
  <w:style w:type="paragraph" w:customStyle="1" w:styleId="518">
    <w:name w:val="xl54"/>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Times New Roman"/>
      <w:b/>
      <w:kern w:val="0"/>
      <w:szCs w:val="20"/>
    </w:rPr>
  </w:style>
  <w:style w:type="paragraph" w:customStyle="1" w:styleId="519">
    <w:name w:val="样式 样式 样式 标题 2标题节标题 2 Char Char + 段前: 2 行 + 段前: 0.5 行 段后: 0.5 行 +..."/>
    <w:basedOn w:val="454"/>
    <w:next w:val="1"/>
    <w:qFormat/>
    <w:uiPriority w:val="0"/>
    <w:pPr>
      <w:spacing w:before="50" w:after="50"/>
      <w:ind w:firstLine="0"/>
    </w:pPr>
  </w:style>
  <w:style w:type="paragraph" w:customStyle="1" w:styleId="520">
    <w:name w:val="样式 正文缩进正文缩进1正文（首行缩进两字） Char Char Char Char Char Char Char文本条款...1"/>
    <w:basedOn w:val="13"/>
    <w:qFormat/>
    <w:uiPriority w:val="0"/>
    <w:pPr>
      <w:tabs>
        <w:tab w:val="left" w:pos="540"/>
        <w:tab w:val="left" w:pos="1050"/>
        <w:tab w:val="left" w:pos="1260"/>
        <w:tab w:val="left" w:pos="1800"/>
      </w:tabs>
      <w:spacing w:line="500" w:lineRule="exact"/>
      <w:ind w:firstLine="560"/>
    </w:pPr>
    <w:rPr>
      <w:rFonts w:cs="宋体"/>
      <w:kern w:val="24"/>
      <w:sz w:val="28"/>
      <w:szCs w:val="28"/>
    </w:rPr>
  </w:style>
  <w:style w:type="paragraph" w:customStyle="1" w:styleId="521">
    <w:name w:val="样式 五号 居中 行距: 单倍行距"/>
    <w:basedOn w:val="1"/>
    <w:qFormat/>
    <w:uiPriority w:val="0"/>
    <w:pPr>
      <w:jc w:val="center"/>
    </w:pPr>
    <w:rPr>
      <w:rFonts w:cs="宋体"/>
      <w:kern w:val="0"/>
      <w:szCs w:val="21"/>
    </w:rPr>
  </w:style>
  <w:style w:type="paragraph" w:customStyle="1" w:styleId="522">
    <w:name w:val="Char Char Char Char Char Char Char1"/>
    <w:basedOn w:val="1"/>
    <w:qFormat/>
    <w:uiPriority w:val="0"/>
    <w:pPr>
      <w:tabs>
        <w:tab w:val="left" w:pos="600"/>
      </w:tabs>
      <w:ind w:left="600" w:hanging="600"/>
    </w:pPr>
    <w:rPr>
      <w:rFonts w:cs="Times New Roman"/>
      <w:sz w:val="28"/>
      <w:szCs w:val="20"/>
    </w:rPr>
  </w:style>
  <w:style w:type="paragraph" w:customStyle="1" w:styleId="523">
    <w:name w:val="样式 样式 2001 + 首行缩进:  2 字符 + 首行缩进:  2 字符"/>
    <w:basedOn w:val="1"/>
    <w:qFormat/>
    <w:uiPriority w:val="0"/>
    <w:pPr>
      <w:spacing w:line="360" w:lineRule="exact"/>
      <w:ind w:firstLine="560"/>
    </w:pPr>
    <w:rPr>
      <w:rFonts w:cs="Times New Roman"/>
      <w:spacing w:val="20"/>
      <w:kern w:val="0"/>
      <w:szCs w:val="20"/>
    </w:rPr>
  </w:style>
  <w:style w:type="paragraph" w:customStyle="1" w:styleId="524">
    <w:name w:val="样式 标题 3标题 3 Char + 左侧:  1 字符 右侧:  1 字符"/>
    <w:basedOn w:val="4"/>
    <w:qFormat/>
    <w:uiPriority w:val="0"/>
    <w:pPr>
      <w:spacing w:before="156" w:line="460" w:lineRule="exact"/>
      <w:ind w:firstLine="200" w:firstLineChars="200"/>
      <w:jc w:val="both"/>
    </w:pPr>
    <w:rPr>
      <w:bCs w:val="0"/>
      <w:color w:val="000000"/>
      <w:sz w:val="26"/>
      <w:szCs w:val="26"/>
      <w:lang w:eastAsia="zh-CN"/>
    </w:rPr>
  </w:style>
  <w:style w:type="paragraph" w:customStyle="1" w:styleId="525">
    <w:name w:val="表标题"/>
    <w:basedOn w:val="6"/>
    <w:link w:val="596"/>
    <w:qFormat/>
    <w:uiPriority w:val="0"/>
    <w:pPr>
      <w:widowControl w:val="0"/>
      <w:spacing w:before="60" w:after="60" w:line="377" w:lineRule="auto"/>
      <w:ind w:firstLine="520"/>
      <w:jc w:val="center"/>
    </w:pPr>
    <w:rPr>
      <w:rFonts w:ascii="Times New Roman" w:hAnsi="Times New Roman" w:eastAsia="黑体"/>
      <w:kern w:val="2"/>
      <w:sz w:val="24"/>
      <w:lang w:eastAsia="zh-CN"/>
    </w:rPr>
  </w:style>
  <w:style w:type="paragraph" w:customStyle="1" w:styleId="526">
    <w:name w:val="样式35"/>
    <w:basedOn w:val="1"/>
    <w:qFormat/>
    <w:uiPriority w:val="0"/>
    <w:pPr>
      <w:spacing w:line="312" w:lineRule="auto"/>
      <w:ind w:firstLine="567"/>
    </w:pPr>
    <w:rPr>
      <w:rFonts w:ascii="宋体" w:cs="Times New Roman"/>
      <w:kern w:val="0"/>
      <w:sz w:val="28"/>
      <w:szCs w:val="20"/>
    </w:rPr>
  </w:style>
  <w:style w:type="paragraph" w:customStyle="1" w:styleId="527">
    <w:name w:val="样式31"/>
    <w:basedOn w:val="1"/>
    <w:qFormat/>
    <w:uiPriority w:val="0"/>
    <w:pPr>
      <w:widowControl/>
      <w:jc w:val="center"/>
    </w:pPr>
    <w:rPr>
      <w:rFonts w:ascii="宋体" w:hAnsi="宋体" w:cs="宋体"/>
      <w:kern w:val="0"/>
      <w:sz w:val="22"/>
    </w:rPr>
  </w:style>
  <w:style w:type="paragraph" w:customStyle="1" w:styleId="528">
    <w:name w:val="标准样式 Char Char2"/>
    <w:basedOn w:val="1"/>
    <w:qFormat/>
    <w:uiPriority w:val="0"/>
    <w:pPr>
      <w:spacing w:line="600" w:lineRule="exact"/>
      <w:ind w:firstLine="567"/>
    </w:pPr>
    <w:rPr>
      <w:rFonts w:ascii="宋体" w:hAnsi="宋体" w:cs="Times New Roman"/>
      <w:sz w:val="28"/>
      <w:szCs w:val="20"/>
    </w:rPr>
  </w:style>
  <w:style w:type="paragraph" w:customStyle="1" w:styleId="529">
    <w:name w:val="font0"/>
    <w:basedOn w:val="1"/>
    <w:qFormat/>
    <w:uiPriority w:val="0"/>
    <w:pPr>
      <w:widowControl/>
      <w:spacing w:before="100" w:beforeAutospacing="1" w:after="100" w:afterAutospacing="1"/>
      <w:jc w:val="left"/>
    </w:pPr>
    <w:rPr>
      <w:rFonts w:hint="eastAsia" w:ascii="宋体" w:hAnsi="宋体" w:cs="Times New Roman"/>
      <w:kern w:val="0"/>
      <w:szCs w:val="24"/>
    </w:rPr>
  </w:style>
  <w:style w:type="paragraph" w:customStyle="1" w:styleId="530">
    <w:name w:val="图"/>
    <w:basedOn w:val="194"/>
    <w:qFormat/>
    <w:uiPriority w:val="0"/>
    <w:pPr>
      <w:spacing w:line="240" w:lineRule="auto"/>
    </w:pPr>
    <w:rPr>
      <w:rFonts w:hAnsi="Times New Roman"/>
      <w:bCs/>
      <w:color w:val="auto"/>
      <w:szCs w:val="22"/>
    </w:rPr>
  </w:style>
  <w:style w:type="paragraph" w:customStyle="1" w:styleId="531">
    <w:name w:val="Char Char Char1"/>
    <w:basedOn w:val="1"/>
    <w:qFormat/>
    <w:uiPriority w:val="0"/>
    <w:rPr>
      <w:rFonts w:cs="Times New Roman"/>
      <w:szCs w:val="20"/>
    </w:rPr>
  </w:style>
  <w:style w:type="paragraph" w:customStyle="1" w:styleId="532">
    <w:name w:val="表签"/>
    <w:basedOn w:val="1"/>
    <w:qFormat/>
    <w:uiPriority w:val="0"/>
    <w:pPr>
      <w:jc w:val="center"/>
    </w:pPr>
    <w:rPr>
      <w:rFonts w:cs="Times New Roman"/>
      <w:b/>
      <w:szCs w:val="24"/>
    </w:rPr>
  </w:style>
  <w:style w:type="paragraph" w:customStyle="1" w:styleId="533">
    <w:name w:val="表格样式1"/>
    <w:basedOn w:val="50"/>
    <w:qFormat/>
    <w:uiPriority w:val="0"/>
    <w:pPr>
      <w:spacing w:after="0"/>
      <w:ind w:firstLine="0" w:firstLineChars="0"/>
      <w:jc w:val="center"/>
    </w:pPr>
    <w:rPr>
      <w:color w:val="000000"/>
      <w:kern w:val="0"/>
      <w:sz w:val="24"/>
      <w:lang w:bidi="en-US"/>
    </w:rPr>
  </w:style>
  <w:style w:type="paragraph" w:customStyle="1" w:styleId="534">
    <w:name w:val="表格文字1"/>
    <w:basedOn w:val="48"/>
    <w:qFormat/>
    <w:uiPriority w:val="0"/>
    <w:pPr>
      <w:spacing w:before="0" w:after="0" w:line="240" w:lineRule="auto"/>
      <w:jc w:val="left"/>
      <w:outlineLvl w:val="9"/>
    </w:pPr>
    <w:rPr>
      <w:b w:val="0"/>
      <w:kern w:val="72"/>
      <w:sz w:val="21"/>
      <w:szCs w:val="72"/>
    </w:rPr>
  </w:style>
  <w:style w:type="paragraph" w:customStyle="1" w:styleId="535">
    <w:name w:val="表体"/>
    <w:basedOn w:val="1"/>
    <w:qFormat/>
    <w:uiPriority w:val="0"/>
    <w:pPr>
      <w:spacing w:line="240" w:lineRule="atLeast"/>
      <w:ind w:left="-63" w:leftChars="-30" w:right="-63" w:rightChars="-30"/>
      <w:jc w:val="center"/>
    </w:pPr>
    <w:rPr>
      <w:rFonts w:cs="Times New Roman"/>
      <w:color w:val="000000"/>
      <w:kern w:val="0"/>
      <w:sz w:val="18"/>
      <w:szCs w:val="18"/>
    </w:rPr>
  </w:style>
  <w:style w:type="paragraph" w:customStyle="1" w:styleId="536">
    <w:name w:val="正文11111111"/>
    <w:basedOn w:val="1"/>
    <w:qFormat/>
    <w:uiPriority w:val="0"/>
    <w:pPr>
      <w:spacing w:line="440" w:lineRule="exact"/>
    </w:pPr>
    <w:rPr>
      <w:rFonts w:cs="宋体"/>
      <w:szCs w:val="24"/>
    </w:rPr>
  </w:style>
  <w:style w:type="character" w:customStyle="1" w:styleId="537">
    <w:name w:val="search_content1"/>
    <w:qFormat/>
    <w:uiPriority w:val="0"/>
    <w:rPr>
      <w:sz w:val="16"/>
      <w:szCs w:val="16"/>
    </w:rPr>
  </w:style>
  <w:style w:type="paragraph" w:customStyle="1" w:styleId="538">
    <w:name w:val="L正文"/>
    <w:basedOn w:val="1"/>
    <w:qFormat/>
    <w:uiPriority w:val="0"/>
    <w:rPr>
      <w:rFonts w:cs="Times New Roman"/>
      <w:szCs w:val="24"/>
    </w:rPr>
  </w:style>
  <w:style w:type="paragraph" w:customStyle="1" w:styleId="539">
    <w:name w:val="表内容-L"/>
    <w:basedOn w:val="540"/>
    <w:qFormat/>
    <w:uiPriority w:val="0"/>
    <w:rPr>
      <w:kern w:val="0"/>
    </w:rPr>
  </w:style>
  <w:style w:type="paragraph" w:customStyle="1" w:styleId="540">
    <w:name w:val="表格内居中"/>
    <w:basedOn w:val="1"/>
    <w:qFormat/>
    <w:uiPriority w:val="0"/>
    <w:pPr>
      <w:jc w:val="center"/>
    </w:pPr>
    <w:rPr>
      <w:rFonts w:cs="Times New Roman"/>
      <w:szCs w:val="20"/>
    </w:rPr>
  </w:style>
  <w:style w:type="paragraph" w:customStyle="1" w:styleId="541">
    <w:name w:val="表-表图题-L"/>
    <w:basedOn w:val="1"/>
    <w:qFormat/>
    <w:uiPriority w:val="0"/>
    <w:pPr>
      <w:jc w:val="center"/>
    </w:pPr>
    <w:rPr>
      <w:rFonts w:cs="Times New Roman"/>
      <w:b/>
      <w:szCs w:val="24"/>
    </w:rPr>
  </w:style>
  <w:style w:type="paragraph" w:customStyle="1" w:styleId="542">
    <w:name w:val="样式 标题 3 + 小四 黑色"/>
    <w:basedOn w:val="4"/>
    <w:qFormat/>
    <w:uiPriority w:val="0"/>
    <w:pPr>
      <w:widowControl w:val="0"/>
      <w:spacing w:before="100" w:beforeAutospacing="1" w:after="100" w:afterAutospacing="1" w:line="240" w:lineRule="auto"/>
      <w:ind w:firstLine="472" w:firstLineChars="196"/>
      <w:jc w:val="both"/>
    </w:pPr>
    <w:rPr>
      <w:rFonts w:ascii="Arial" w:hAnsi="Arial" w:eastAsia="仿宋_GB2312"/>
      <w:color w:val="000000"/>
      <w:sz w:val="28"/>
      <w:lang w:eastAsia="zh-CN"/>
    </w:rPr>
  </w:style>
  <w:style w:type="paragraph" w:customStyle="1" w:styleId="543">
    <w:name w:val="1正文-L"/>
    <w:basedOn w:val="1"/>
    <w:qFormat/>
    <w:uiPriority w:val="0"/>
    <w:pPr>
      <w:ind w:firstLine="480"/>
    </w:pPr>
    <w:rPr>
      <w:rFonts w:cs="Times New Roman"/>
      <w:szCs w:val="24"/>
    </w:rPr>
  </w:style>
  <w:style w:type="paragraph" w:customStyle="1" w:styleId="544">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45">
    <w:name w:val="TOC 标题12"/>
    <w:next w:val="1"/>
    <w:unhideWhenUsed/>
    <w:qFormat/>
    <w:uiPriority w:val="39"/>
    <w:pPr>
      <w:spacing w:line="360" w:lineRule="auto"/>
      <w:jc w:val="center"/>
    </w:pPr>
    <w:rPr>
      <w:rFonts w:ascii="Times New Roman" w:hAnsi="Times New Roman" w:eastAsia="Times New Roman" w:cs="Times New Roman"/>
      <w:b/>
      <w:bCs/>
      <w:sz w:val="21"/>
      <w:szCs w:val="28"/>
      <w:lang w:val="en-US" w:eastAsia="zh-CN" w:bidi="ar-SA"/>
    </w:rPr>
  </w:style>
  <w:style w:type="character" w:customStyle="1" w:styleId="546">
    <w:name w:val="正文缩进 字符1"/>
    <w:qFormat/>
    <w:uiPriority w:val="0"/>
    <w:rPr>
      <w:rFonts w:eastAsia="宋体"/>
    </w:rPr>
  </w:style>
  <w:style w:type="paragraph" w:customStyle="1" w:styleId="547">
    <w:name w:val="【表名】"/>
    <w:basedOn w:val="1"/>
    <w:qFormat/>
    <w:uiPriority w:val="0"/>
    <w:pPr>
      <w:widowControl/>
      <w:spacing w:beforeLines="50"/>
      <w:jc w:val="center"/>
    </w:pPr>
    <w:rPr>
      <w:rFonts w:cs="Arial"/>
      <w:b/>
      <w:kern w:val="0"/>
      <w:szCs w:val="21"/>
      <w:lang w:bidi="en-US"/>
    </w:rPr>
  </w:style>
  <w:style w:type="table" w:customStyle="1" w:styleId="548">
    <w:name w:val="常用"/>
    <w:basedOn w:val="52"/>
    <w:qFormat/>
    <w:uiPriority w:val="99"/>
    <w:pPr>
      <w:jc w:val="center"/>
    </w:pPr>
    <w:rPr>
      <w:rFonts w:eastAsia="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549">
    <w:name w:val="样式61"/>
    <w:basedOn w:val="52"/>
    <w:qFormat/>
    <w:uiPriority w:val="99"/>
    <w:pPr>
      <w:jc w:val="center"/>
    </w:pPr>
    <w:rPr>
      <w:rFonts w:ascii="Calibri" w:hAnsi="Calibri" w:eastAsia="Times New Roman"/>
      <w:kern w:val="2"/>
      <w:sz w:val="21"/>
      <w:szCs w:val="22"/>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550">
    <w:name w:val="表格样式LLL"/>
    <w:basedOn w:val="55"/>
    <w:qFormat/>
    <w:uiPriority w:val="0"/>
    <w:pPr>
      <w:widowControl w:val="0"/>
      <w:jc w:val="center"/>
    </w:pPr>
    <w:tblPr>
      <w:tblBorders>
        <w:top w:val="single" w:color="auto" w:sz="12" w:space="0"/>
        <w:bottom w:val="single" w:color="auto" w:sz="12" w:space="0"/>
        <w:insideH w:val="single" w:color="auto" w:sz="2" w:space="0"/>
        <w:insideV w:val="single" w:color="auto" w:sz="2" w:space="0"/>
      </w:tblBorders>
    </w:tblPr>
    <w:tcPr>
      <w:shd w:val="clear" w:color="auto" w:fill="auto"/>
      <w:vAlign w:val="center"/>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paragraph" w:customStyle="1" w:styleId="551">
    <w:name w:val="A正文居中"/>
    <w:basedOn w:val="1"/>
    <w:qFormat/>
    <w:uiPriority w:val="0"/>
    <w:pPr>
      <w:jc w:val="center"/>
    </w:pPr>
    <w:rPr>
      <w:rFonts w:cs="Times New Roman"/>
      <w:szCs w:val="24"/>
    </w:rPr>
  </w:style>
  <w:style w:type="character" w:customStyle="1" w:styleId="552">
    <w:name w:val="普通文字 Char Char Char2"/>
    <w:qFormat/>
    <w:uiPriority w:val="0"/>
    <w:rPr>
      <w:rFonts w:ascii="宋体" w:hAnsi="Courier New" w:cs="Courier New"/>
      <w:kern w:val="2"/>
      <w:sz w:val="21"/>
      <w:szCs w:val="21"/>
    </w:rPr>
  </w:style>
  <w:style w:type="paragraph" w:customStyle="1" w:styleId="553">
    <w:name w:val="正文样式"/>
    <w:basedOn w:val="1"/>
    <w:link w:val="562"/>
    <w:qFormat/>
    <w:uiPriority w:val="0"/>
    <w:pPr>
      <w:tabs>
        <w:tab w:val="left" w:pos="1440"/>
        <w:tab w:val="left" w:pos="4368"/>
      </w:tabs>
      <w:ind w:firstLine="493"/>
    </w:pPr>
    <w:rPr>
      <w:rFonts w:cs="Times New Roman"/>
      <w:color w:val="000000"/>
      <w:szCs w:val="24"/>
    </w:rPr>
  </w:style>
  <w:style w:type="paragraph" w:customStyle="1" w:styleId="554">
    <w:name w:val="WJ表头文字"/>
    <w:basedOn w:val="1"/>
    <w:link w:val="555"/>
    <w:qFormat/>
    <w:uiPriority w:val="0"/>
    <w:pPr>
      <w:widowControl/>
      <w:spacing w:line="480" w:lineRule="exact"/>
      <w:jc w:val="center"/>
    </w:pPr>
    <w:rPr>
      <w:rFonts w:ascii="黑体" w:hAnsi="黑体" w:eastAsia="黑体" w:cs="Times New Roman"/>
      <w:kern w:val="0"/>
      <w:szCs w:val="24"/>
    </w:rPr>
  </w:style>
  <w:style w:type="character" w:customStyle="1" w:styleId="555">
    <w:name w:val="WJ表头文字 Char"/>
    <w:link w:val="554"/>
    <w:qFormat/>
    <w:uiPriority w:val="0"/>
    <w:rPr>
      <w:rFonts w:ascii="黑体" w:hAnsi="黑体" w:eastAsia="黑体"/>
      <w:sz w:val="24"/>
      <w:szCs w:val="24"/>
    </w:rPr>
  </w:style>
  <w:style w:type="paragraph" w:customStyle="1" w:styleId="556">
    <w:name w:val="WJ表文字"/>
    <w:basedOn w:val="1"/>
    <w:link w:val="557"/>
    <w:qFormat/>
    <w:uiPriority w:val="0"/>
    <w:pPr>
      <w:spacing w:line="360" w:lineRule="exact"/>
      <w:jc w:val="center"/>
    </w:pPr>
    <w:rPr>
      <w:rFonts w:ascii="宋体" w:hAnsi="宋体" w:cs="Times New Roman"/>
      <w:bCs/>
      <w:szCs w:val="21"/>
    </w:rPr>
  </w:style>
  <w:style w:type="character" w:customStyle="1" w:styleId="557">
    <w:name w:val="WJ表文字 Char"/>
    <w:link w:val="556"/>
    <w:qFormat/>
    <w:uiPriority w:val="0"/>
    <w:rPr>
      <w:rFonts w:ascii="宋体" w:hAnsi="宋体"/>
      <w:bCs/>
      <w:kern w:val="2"/>
      <w:sz w:val="21"/>
      <w:szCs w:val="21"/>
    </w:rPr>
  </w:style>
  <w:style w:type="paragraph" w:customStyle="1" w:styleId="558">
    <w:name w:val="正文-欣欣"/>
    <w:basedOn w:val="1"/>
    <w:link w:val="559"/>
    <w:qFormat/>
    <w:uiPriority w:val="0"/>
    <w:rPr>
      <w:rFonts w:ascii="宋体" w:cs="Times New Roman"/>
      <w:kern w:val="0"/>
      <w:szCs w:val="30"/>
    </w:rPr>
  </w:style>
  <w:style w:type="character" w:customStyle="1" w:styleId="559">
    <w:name w:val="正文-欣欣 Char"/>
    <w:link w:val="558"/>
    <w:qFormat/>
    <w:uiPriority w:val="0"/>
    <w:rPr>
      <w:rFonts w:ascii="宋体"/>
      <w:sz w:val="24"/>
      <w:szCs w:val="30"/>
    </w:rPr>
  </w:style>
  <w:style w:type="paragraph" w:customStyle="1" w:styleId="560">
    <w:name w:val="三级标题样式"/>
    <w:basedOn w:val="1"/>
    <w:next w:val="1"/>
    <w:link w:val="561"/>
    <w:qFormat/>
    <w:uiPriority w:val="0"/>
    <w:pPr>
      <w:jc w:val="left"/>
    </w:pPr>
    <w:rPr>
      <w:rFonts w:ascii="宋体" w:eastAsia="黑体" w:cs="Times New Roman"/>
      <w:kern w:val="0"/>
      <w:sz w:val="30"/>
      <w:szCs w:val="20"/>
    </w:rPr>
  </w:style>
  <w:style w:type="character" w:customStyle="1" w:styleId="561">
    <w:name w:val="三级标题样式 Char"/>
    <w:link w:val="560"/>
    <w:qFormat/>
    <w:uiPriority w:val="0"/>
    <w:rPr>
      <w:rFonts w:ascii="宋体" w:eastAsia="黑体"/>
      <w:sz w:val="30"/>
    </w:rPr>
  </w:style>
  <w:style w:type="character" w:customStyle="1" w:styleId="562">
    <w:name w:val="正文样式 Char Char"/>
    <w:link w:val="553"/>
    <w:qFormat/>
    <w:uiPriority w:val="0"/>
    <w:rPr>
      <w:color w:val="000000"/>
      <w:kern w:val="2"/>
      <w:sz w:val="24"/>
      <w:szCs w:val="24"/>
    </w:rPr>
  </w:style>
  <w:style w:type="character" w:customStyle="1" w:styleId="563">
    <w:name w:val="称呼 字符"/>
    <w:basedOn w:val="57"/>
    <w:link w:val="18"/>
    <w:qFormat/>
    <w:uiPriority w:val="0"/>
    <w:rPr>
      <w:rFonts w:ascii="宋体"/>
      <w:kern w:val="2"/>
      <w:sz w:val="28"/>
      <w:szCs w:val="28"/>
    </w:rPr>
  </w:style>
  <w:style w:type="character" w:customStyle="1" w:styleId="564">
    <w:name w:val="页码3"/>
    <w:basedOn w:val="57"/>
    <w:qFormat/>
    <w:uiPriority w:val="0"/>
  </w:style>
  <w:style w:type="character" w:customStyle="1" w:styleId="565">
    <w:name w:val="标题2"/>
    <w:basedOn w:val="57"/>
    <w:semiHidden/>
    <w:qFormat/>
    <w:uiPriority w:val="0"/>
  </w:style>
  <w:style w:type="paragraph" w:customStyle="1" w:styleId="566">
    <w:name w:val="Char Char Char Char Char Char Char Char Char Char Char Char Char Char Char Char1"/>
    <w:basedOn w:val="1"/>
    <w:next w:val="1"/>
    <w:qFormat/>
    <w:uiPriority w:val="0"/>
    <w:rPr>
      <w:rFonts w:cs="Times New Roman"/>
      <w:szCs w:val="24"/>
    </w:rPr>
  </w:style>
  <w:style w:type="paragraph" w:customStyle="1" w:styleId="567">
    <w:name w:val="Char22"/>
    <w:basedOn w:val="1"/>
    <w:qFormat/>
    <w:uiPriority w:val="0"/>
    <w:rPr>
      <w:rFonts w:cs="Times New Roman"/>
      <w:sz w:val="30"/>
      <w:szCs w:val="20"/>
    </w:rPr>
  </w:style>
  <w:style w:type="paragraph" w:customStyle="1" w:styleId="568">
    <w:name w:val="Char4 Char Char Char3"/>
    <w:basedOn w:val="1"/>
    <w:semiHidden/>
    <w:qFormat/>
    <w:uiPriority w:val="0"/>
    <w:rPr>
      <w:rFonts w:ascii="宋体" w:hAnsi="宋体" w:cs="宋体"/>
      <w:szCs w:val="26"/>
    </w:rPr>
  </w:style>
  <w:style w:type="paragraph" w:customStyle="1" w:styleId="569">
    <w:name w:val="Char Char2 Char Char Char Char Char Char1"/>
    <w:basedOn w:val="1"/>
    <w:semiHidden/>
    <w:qFormat/>
    <w:uiPriority w:val="0"/>
    <w:rPr>
      <w:rFonts w:cs="宋体"/>
      <w:szCs w:val="26"/>
    </w:rPr>
  </w:style>
  <w:style w:type="paragraph" w:customStyle="1" w:styleId="570">
    <w:name w:val="Char Char Char3 Char Char Char2 Char1"/>
    <w:basedOn w:val="1"/>
    <w:semiHidden/>
    <w:qFormat/>
    <w:uiPriority w:val="0"/>
    <w:rPr>
      <w:rFonts w:ascii="宋体" w:hAnsi="宋体" w:cs="宋体"/>
      <w:szCs w:val="26"/>
    </w:rPr>
  </w:style>
  <w:style w:type="paragraph" w:customStyle="1" w:styleId="571">
    <w:name w:val="Char5"/>
    <w:basedOn w:val="1"/>
    <w:qFormat/>
    <w:uiPriority w:val="0"/>
    <w:rPr>
      <w:rFonts w:cs="Times New Roman"/>
      <w:szCs w:val="24"/>
    </w:rPr>
  </w:style>
  <w:style w:type="paragraph" w:customStyle="1" w:styleId="572">
    <w:name w:val="Char Char Char Char2"/>
    <w:basedOn w:val="1"/>
    <w:qFormat/>
    <w:uiPriority w:val="0"/>
    <w:rPr>
      <w:rFonts w:ascii="仿宋_GB2312" w:hAnsi="Tahoma" w:eastAsia="仿宋_GB2312" w:cs="Times New Roman"/>
      <w:szCs w:val="21"/>
    </w:rPr>
  </w:style>
  <w:style w:type="paragraph" w:customStyle="1" w:styleId="573">
    <w:name w:val="Char Char Char2 Char Char Char Char Char Char Char Char Char Char1"/>
    <w:basedOn w:val="1"/>
    <w:semiHidden/>
    <w:qFormat/>
    <w:uiPriority w:val="0"/>
    <w:rPr>
      <w:rFonts w:ascii="宋体" w:hAnsi="宋体" w:cs="宋体"/>
      <w:szCs w:val="26"/>
    </w:rPr>
  </w:style>
  <w:style w:type="paragraph" w:customStyle="1" w:styleId="574">
    <w:name w:val="Char Char Char Char Char Char Char2"/>
    <w:basedOn w:val="1"/>
    <w:next w:val="1"/>
    <w:qFormat/>
    <w:uiPriority w:val="0"/>
    <w:rPr>
      <w:rFonts w:cs="Times New Roman"/>
      <w:szCs w:val="24"/>
    </w:rPr>
  </w:style>
  <w:style w:type="paragraph" w:customStyle="1" w:styleId="575">
    <w:name w:val="Char Char Char1 Char Char Char Char2"/>
    <w:basedOn w:val="1"/>
    <w:semiHidden/>
    <w:qFormat/>
    <w:uiPriority w:val="0"/>
    <w:rPr>
      <w:rFonts w:ascii="宋体" w:hAnsi="宋体" w:cs="宋体"/>
      <w:szCs w:val="26"/>
    </w:rPr>
  </w:style>
  <w:style w:type="paragraph" w:customStyle="1" w:styleId="576">
    <w:name w:val="Char Char Char2"/>
    <w:basedOn w:val="1"/>
    <w:qFormat/>
    <w:uiPriority w:val="0"/>
    <w:rPr>
      <w:rFonts w:cs="Times New Roman"/>
      <w:szCs w:val="20"/>
    </w:rPr>
  </w:style>
  <w:style w:type="paragraph" w:customStyle="1" w:styleId="577">
    <w:name w:val="正文sun"/>
    <w:basedOn w:val="1"/>
    <w:semiHidden/>
    <w:qFormat/>
    <w:uiPriority w:val="0"/>
    <w:rPr>
      <w:rFonts w:cs="Times New Roman"/>
      <w:szCs w:val="24"/>
    </w:rPr>
  </w:style>
  <w:style w:type="paragraph" w:customStyle="1" w:styleId="578">
    <w:name w:val="样式 标题 3标题 3 Char CharH3ReHead 3 WSAh3标题 32标题 311Re11Hea..."/>
    <w:basedOn w:val="4"/>
    <w:qFormat/>
    <w:uiPriority w:val="0"/>
    <w:pPr>
      <w:keepNext w:val="0"/>
      <w:keepLines w:val="0"/>
      <w:widowControl w:val="0"/>
      <w:tabs>
        <w:tab w:val="left" w:pos="0"/>
        <w:tab w:val="left" w:pos="2160"/>
      </w:tabs>
      <w:spacing w:before="156"/>
      <w:ind w:firstLine="472" w:firstLineChars="196"/>
      <w:jc w:val="both"/>
    </w:pPr>
    <w:rPr>
      <w:rFonts w:ascii="Arial" w:hAnsi="Arial"/>
      <w:bCs w:val="0"/>
      <w:color w:val="000000"/>
      <w:kern w:val="44"/>
      <w:szCs w:val="20"/>
      <w:lang w:eastAsia="zh-CN"/>
    </w:rPr>
  </w:style>
  <w:style w:type="paragraph" w:customStyle="1" w:styleId="579">
    <w:name w:val="WPSOffice手动目录 1"/>
    <w:qFormat/>
    <w:uiPriority w:val="0"/>
    <w:rPr>
      <w:rFonts w:ascii="Times New Roman" w:hAnsi="Times New Roman" w:eastAsia="宋体" w:cs="Times New Roman"/>
      <w:lang w:val="en-US" w:eastAsia="zh-CN" w:bidi="ar-SA"/>
    </w:rPr>
  </w:style>
  <w:style w:type="paragraph" w:customStyle="1" w:styleId="580">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581">
    <w:name w:val="font11"/>
    <w:basedOn w:val="57"/>
    <w:qFormat/>
    <w:uiPriority w:val="0"/>
    <w:rPr>
      <w:rFonts w:hint="eastAsia" w:ascii="宋体" w:hAnsi="宋体" w:eastAsia="宋体" w:cs="宋体"/>
      <w:color w:val="0000FF"/>
      <w:sz w:val="21"/>
      <w:szCs w:val="21"/>
      <w:u w:val="none"/>
    </w:rPr>
  </w:style>
  <w:style w:type="table" w:customStyle="1" w:styleId="582">
    <w:name w:val="网格型4"/>
    <w:basedOn w:val="5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3">
    <w:name w:val="网格型 51"/>
    <w:basedOn w:val="52"/>
    <w:qFormat/>
    <w:uiPriority w:val="0"/>
    <w:pPr>
      <w:widowControl w:val="0"/>
      <w:adjustRightInd w:val="0"/>
      <w:snapToGrid w:val="0"/>
      <w:spacing w:line="460" w:lineRule="exact"/>
      <w:ind w:firstLine="52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nil"/>
          <w:bottom w:val="single" w:color="000000" w:sz="12" w:space="0"/>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584">
    <w:name w:val="Table Normal24"/>
    <w:unhideWhenUsed/>
    <w:qFormat/>
    <w:uiPriority w:val="0"/>
    <w:tblPr>
      <w:tblCellMar>
        <w:top w:w="0" w:type="dxa"/>
        <w:left w:w="0" w:type="dxa"/>
        <w:bottom w:w="0" w:type="dxa"/>
        <w:right w:w="0" w:type="dxa"/>
      </w:tblCellMar>
    </w:tblPr>
  </w:style>
  <w:style w:type="character" w:customStyle="1" w:styleId="585">
    <w:name w:val="cf01"/>
    <w:basedOn w:val="57"/>
    <w:qFormat/>
    <w:uiPriority w:val="0"/>
    <w:rPr>
      <w:rFonts w:hint="eastAsia" w:ascii="Microsoft YaHei UI" w:hAnsi="Microsoft YaHei UI" w:eastAsia="Microsoft YaHei UI"/>
      <w:sz w:val="18"/>
      <w:szCs w:val="18"/>
    </w:rPr>
  </w:style>
  <w:style w:type="character" w:customStyle="1" w:styleId="586">
    <w:name w:val="cf11"/>
    <w:basedOn w:val="57"/>
    <w:qFormat/>
    <w:uiPriority w:val="0"/>
    <w:rPr>
      <w:rFonts w:hint="eastAsia" w:ascii="Microsoft YaHei UI" w:hAnsi="Microsoft YaHei UI" w:eastAsia="Microsoft YaHei UI"/>
      <w:sz w:val="18"/>
      <w:szCs w:val="18"/>
    </w:rPr>
  </w:style>
  <w:style w:type="paragraph" w:customStyle="1" w:styleId="587">
    <w:name w:val="Revision"/>
    <w:hidden/>
    <w:qFormat/>
    <w:uiPriority w:val="99"/>
    <w:rPr>
      <w:rFonts w:asciiTheme="minorHAnsi" w:hAnsiTheme="minorHAnsi" w:eastAsiaTheme="minorEastAsia" w:cstheme="minorBidi"/>
      <w:kern w:val="2"/>
      <w:sz w:val="21"/>
      <w:szCs w:val="22"/>
      <w:lang w:val="en-US" w:eastAsia="zh-CN" w:bidi="ar-SA"/>
    </w:rPr>
  </w:style>
  <w:style w:type="character" w:customStyle="1" w:styleId="588">
    <w:name w:val="rgroup"/>
    <w:basedOn w:val="57"/>
    <w:qFormat/>
    <w:uiPriority w:val="0"/>
  </w:style>
  <w:style w:type="character" w:customStyle="1" w:styleId="589">
    <w:name w:val="WJ正文 Char"/>
    <w:link w:val="590"/>
    <w:qFormat/>
    <w:uiPriority w:val="0"/>
    <w:rPr>
      <w:rFonts w:ascii="宋体" w:hAnsi="宋体"/>
      <w:color w:val="000000"/>
      <w:kern w:val="2"/>
      <w:sz w:val="24"/>
      <w:szCs w:val="24"/>
    </w:rPr>
  </w:style>
  <w:style w:type="paragraph" w:customStyle="1" w:styleId="590">
    <w:name w:val="WJ正文"/>
    <w:basedOn w:val="1"/>
    <w:next w:val="1"/>
    <w:link w:val="589"/>
    <w:qFormat/>
    <w:uiPriority w:val="0"/>
    <w:pPr>
      <w:tabs>
        <w:tab w:val="left" w:pos="600"/>
      </w:tabs>
      <w:spacing w:line="480" w:lineRule="exact"/>
      <w:ind w:firstLine="480"/>
    </w:pPr>
    <w:rPr>
      <w:rFonts w:ascii="宋体" w:hAnsi="宋体" w:cs="Times New Roman"/>
      <w:color w:val="000000"/>
      <w:szCs w:val="24"/>
    </w:rPr>
  </w:style>
  <w:style w:type="table" w:customStyle="1" w:styleId="591">
    <w:name w:val="双线表"/>
    <w:basedOn w:val="52"/>
    <w:qFormat/>
    <w:uiPriority w:val="99"/>
    <w:pPr>
      <w:spacing w:line="360" w:lineRule="auto"/>
      <w:ind w:firstLine="200"/>
      <w:jc w:val="center"/>
    </w:pPr>
    <w:rPr>
      <w:rFonts w:eastAsia="Times New Roman"/>
      <w:kern w:val="2"/>
      <w:sz w:val="24"/>
      <w14:ligatures w14:val="standardContextual"/>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592">
    <w:name w:val="Char1 Char Char1 Char Char Char Char Char Char Char Char Char2 Char"/>
    <w:basedOn w:val="1"/>
    <w:qFormat/>
    <w:uiPriority w:val="0"/>
    <w:pPr>
      <w:adjustRightInd/>
      <w:snapToGrid/>
      <w:spacing w:line="240" w:lineRule="auto"/>
      <w:ind w:firstLine="0" w:firstLineChars="0"/>
    </w:pPr>
    <w:rPr>
      <w:rFonts w:cs="Times New Roman"/>
      <w:sz w:val="21"/>
      <w:szCs w:val="24"/>
    </w:rPr>
  </w:style>
  <w:style w:type="character" w:customStyle="1" w:styleId="593">
    <w:name w:val="普通(网站) Char"/>
    <w:qFormat/>
    <w:locked/>
    <w:uiPriority w:val="99"/>
    <w:rPr>
      <w:rFonts w:ascii="宋体" w:hAnsi="宋体" w:eastAsia="宋体" w:cs="宋体"/>
      <w:kern w:val="0"/>
      <w:sz w:val="18"/>
      <w:szCs w:val="18"/>
      <w14:ligatures w14:val="none"/>
    </w:rPr>
  </w:style>
  <w:style w:type="paragraph" w:customStyle="1" w:styleId="594">
    <w:name w:val="表格内容"/>
    <w:link w:val="595"/>
    <w:qFormat/>
    <w:uiPriority w:val="0"/>
    <w:pPr>
      <w:widowControl w:val="0"/>
      <w:adjustRightInd w:val="0"/>
      <w:snapToGrid w:val="0"/>
      <w:jc w:val="center"/>
    </w:pPr>
    <w:rPr>
      <w:rFonts w:ascii="Times New Roman" w:hAnsi="Times New Roman" w:eastAsia="宋体" w:cstheme="majorBidi"/>
      <w:sz w:val="21"/>
      <w:szCs w:val="21"/>
      <w:lang w:val="en-US" w:eastAsia="zh-CN" w:bidi="ar-SA"/>
    </w:rPr>
  </w:style>
  <w:style w:type="character" w:customStyle="1" w:styleId="595">
    <w:name w:val="表格内容 字符"/>
    <w:basedOn w:val="57"/>
    <w:link w:val="594"/>
    <w:qFormat/>
    <w:uiPriority w:val="0"/>
    <w:rPr>
      <w:rFonts w:cstheme="majorBidi"/>
      <w:sz w:val="21"/>
      <w:szCs w:val="21"/>
    </w:rPr>
  </w:style>
  <w:style w:type="character" w:customStyle="1" w:styleId="596">
    <w:name w:val="表标题 字符"/>
    <w:basedOn w:val="57"/>
    <w:link w:val="525"/>
    <w:qFormat/>
    <w:uiPriority w:val="0"/>
    <w:rPr>
      <w:rFonts w:eastAsia="黑体"/>
      <w:b/>
      <w:bCs/>
      <w:kern w:val="2"/>
      <w:sz w:val="24"/>
      <w:szCs w:val="28"/>
    </w:rPr>
  </w:style>
  <w:style w:type="paragraph" w:customStyle="1" w:styleId="597">
    <w:name w:val="正文（粗）"/>
    <w:basedOn w:val="1"/>
    <w:link w:val="598"/>
    <w:qFormat/>
    <w:uiPriority w:val="0"/>
    <w:pPr>
      <w:keepNext/>
      <w:jc w:val="left"/>
    </w:pPr>
    <w:rPr>
      <w:rFonts w:cs="宋体"/>
      <w:b/>
      <w:snapToGrid w:val="0"/>
      <w:color w:val="000000" w:themeColor="text1"/>
      <w:kern w:val="0"/>
      <w:szCs w:val="24"/>
      <w:lang w:val="zh-CN"/>
      <w14:textFill>
        <w14:solidFill>
          <w14:schemeClr w14:val="tx1"/>
        </w14:solidFill>
      </w14:textFill>
    </w:rPr>
  </w:style>
  <w:style w:type="character" w:customStyle="1" w:styleId="598">
    <w:name w:val="正文（粗） 字符"/>
    <w:basedOn w:val="57"/>
    <w:link w:val="597"/>
    <w:qFormat/>
    <w:uiPriority w:val="0"/>
    <w:rPr>
      <w:rFonts w:cs="宋体"/>
      <w:b/>
      <w:snapToGrid w:val="0"/>
      <w:color w:val="000000" w:themeColor="text1"/>
      <w:sz w:val="24"/>
      <w:szCs w:val="24"/>
      <w:lang w:val="zh-CN"/>
      <w14:textFill>
        <w14:solidFill>
          <w14:schemeClr w14:val="tx1"/>
        </w14:solidFill>
      </w14:textFill>
    </w:rPr>
  </w:style>
  <w:style w:type="paragraph" w:customStyle="1" w:styleId="599">
    <w:name w:val="图标题"/>
    <w:basedOn w:val="14"/>
    <w:link w:val="600"/>
    <w:qFormat/>
    <w:uiPriority w:val="0"/>
    <w:pPr>
      <w:ind w:firstLine="482" w:firstLineChars="0"/>
      <w:outlineLvl w:val="4"/>
    </w:pPr>
    <w:rPr>
      <w:rFonts w:ascii="Times New Roman" w:hAnsi="Times New Roman" w:eastAsia="黑体"/>
      <w:sz w:val="22"/>
    </w:rPr>
  </w:style>
  <w:style w:type="character" w:customStyle="1" w:styleId="600">
    <w:name w:val="图标题 字符"/>
    <w:basedOn w:val="73"/>
    <w:link w:val="599"/>
    <w:qFormat/>
    <w:uiPriority w:val="0"/>
    <w:rPr>
      <w:rFonts w:eastAsia="黑体"/>
      <w:kern w:val="2"/>
      <w:sz w:val="22"/>
      <w:szCs w:val="24"/>
    </w:rPr>
  </w:style>
  <w:style w:type="table" w:customStyle="1" w:styleId="601">
    <w:name w:val="双线框"/>
    <w:basedOn w:val="52"/>
    <w:qFormat/>
    <w:uiPriority w:val="99"/>
    <w:pPr>
      <w:jc w:val="center"/>
    </w:pPr>
    <w:rPr>
      <w:rFonts w:eastAsia="Times New Roman" w:asciiTheme="minorHAnsi" w:hAnsiTheme="minorHAnsi" w:cstheme="minorBidi"/>
      <w:kern w:val="2"/>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character" w:customStyle="1" w:styleId="602">
    <w:name w:val="图片居中 字符"/>
    <w:basedOn w:val="57"/>
    <w:link w:val="93"/>
    <w:qFormat/>
    <w:uiPriority w:val="0"/>
    <w:rPr>
      <w:rFonts w:eastAsia="Times New Roman"/>
      <w:sz w:val="29"/>
      <w:szCs w:val="29"/>
      <w:lang w:eastAsia="en-US"/>
    </w:rPr>
  </w:style>
  <w:style w:type="paragraph" w:customStyle="1" w:styleId="603">
    <w:name w:val="目录"/>
    <w:next w:val="1"/>
    <w:link w:val="604"/>
    <w:qFormat/>
    <w:uiPriority w:val="0"/>
    <w:pPr>
      <w:tabs>
        <w:tab w:val="right" w:leader="dot" w:pos="8300"/>
      </w:tabs>
      <w:ind w:left="480" w:firstLine="440"/>
    </w:pPr>
    <w:rPr>
      <w:rFonts w:ascii="Times New Roman" w:hAnsi="Times New Roman" w:eastAsia="宋体" w:cs="Times New Roman"/>
      <w:sz w:val="22"/>
      <w:szCs w:val="22"/>
      <w:lang w:val="en-US" w:eastAsia="en-US" w:bidi="ar-SA"/>
    </w:rPr>
  </w:style>
  <w:style w:type="character" w:customStyle="1" w:styleId="604">
    <w:name w:val="目录 字符"/>
    <w:basedOn w:val="57"/>
    <w:link w:val="603"/>
    <w:qFormat/>
    <w:uiPriority w:val="0"/>
    <w:rPr>
      <w:sz w:val="22"/>
      <w:szCs w:val="22"/>
      <w:lang w:eastAsia="en-US"/>
    </w:rPr>
  </w:style>
  <w:style w:type="table" w:customStyle="1" w:styleId="605">
    <w:name w:val="shuangxianbiao"/>
    <w:basedOn w:val="52"/>
    <w:qFormat/>
    <w:uiPriority w:val="99"/>
    <w:pPr>
      <w:jc w:val="center"/>
    </w:pPr>
    <w:rPr>
      <w:kern w:val="2"/>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606">
    <w:name w:val="正法律法规0"/>
    <w:basedOn w:val="1"/>
    <w:qFormat/>
    <w:uiPriority w:val="0"/>
    <w:pPr>
      <w:numPr>
        <w:ilvl w:val="0"/>
        <w:numId w:val="3"/>
      </w:numPr>
      <w:ind w:firstLine="0" w:firstLineChars="0"/>
    </w:pPr>
    <w:rPr>
      <w:rFonts w:cs="Times New Roman"/>
      <w:color w:val="000000" w:themeColor="text1"/>
      <w:kern w:val="0"/>
      <w:szCs w:val="24"/>
      <w14:textFill>
        <w14:solidFill>
          <w14:schemeClr w14:val="tx1"/>
        </w14:solidFill>
      </w14:textFill>
    </w:rPr>
  </w:style>
  <w:style w:type="paragraph" w:customStyle="1" w:styleId="607">
    <w:name w:val="表格内容 核工业"/>
    <w:link w:val="608"/>
    <w:qFormat/>
    <w:uiPriority w:val="0"/>
    <w:pPr>
      <w:adjustRightInd w:val="0"/>
      <w:snapToGrid w:val="0"/>
      <w:jc w:val="center"/>
      <w:textAlignment w:val="center"/>
    </w:pPr>
    <w:rPr>
      <w:rFonts w:ascii="Times New Roman" w:hAnsi="Times New Roman" w:eastAsia="宋体" w:cs="Times New Roman"/>
      <w:iCs/>
      <w:kern w:val="2"/>
      <w:sz w:val="21"/>
      <w:szCs w:val="24"/>
      <w:lang w:val="en-US" w:eastAsia="zh-CN" w:bidi="ar-SA"/>
    </w:rPr>
  </w:style>
  <w:style w:type="character" w:customStyle="1" w:styleId="608">
    <w:name w:val="表格内容 核工业 字符"/>
    <w:basedOn w:val="57"/>
    <w:link w:val="607"/>
    <w:qFormat/>
    <w:uiPriority w:val="0"/>
    <w:rPr>
      <w:iCs/>
      <w:kern w:val="2"/>
      <w:sz w:val="21"/>
      <w:szCs w:val="24"/>
    </w:rPr>
  </w:style>
  <w:style w:type="paragraph" w:customStyle="1" w:styleId="609">
    <w:name w:val="环评报告表正文"/>
    <w:basedOn w:val="21"/>
    <w:link w:val="610"/>
    <w:qFormat/>
    <w:uiPriority w:val="0"/>
    <w:pPr>
      <w:adjustRightInd/>
      <w:snapToGrid/>
      <w:spacing w:before="0"/>
      <w:ind w:left="0" w:firstLine="480"/>
      <w:jc w:val="both"/>
    </w:pPr>
    <w:rPr>
      <w:rFonts w:ascii="Times New Roman" w:hAnsi="Times New Roman"/>
      <w:kern w:val="2"/>
      <w:lang w:eastAsia="zh-CN"/>
    </w:rPr>
  </w:style>
  <w:style w:type="character" w:customStyle="1" w:styleId="610">
    <w:name w:val="环评报告表正文 字符"/>
    <w:link w:val="609"/>
    <w:qFormat/>
    <w:uiPriority w:val="0"/>
    <w:rPr>
      <w:kern w:val="2"/>
      <w:sz w:val="24"/>
      <w:szCs w:val="24"/>
    </w:rPr>
  </w:style>
  <w:style w:type="paragraph" w:customStyle="1" w:styleId="611">
    <w:name w:val="标题 11"/>
    <w:basedOn w:val="1"/>
    <w:qFormat/>
    <w:uiPriority w:val="1"/>
    <w:pPr>
      <w:widowControl/>
      <w:adjustRightInd/>
      <w:snapToGrid/>
      <w:spacing w:line="240" w:lineRule="auto"/>
      <w:ind w:firstLine="0" w:firstLineChars="0"/>
      <w:jc w:val="left"/>
      <w:outlineLvl w:val="1"/>
    </w:pPr>
    <w:rPr>
      <w:rFonts w:eastAsia="Times New Roman" w:cs="Times New Roman"/>
      <w:kern w:val="0"/>
      <w:sz w:val="29"/>
      <w:szCs w:val="29"/>
      <w:lang w:eastAsia="en-US"/>
    </w:rPr>
  </w:style>
  <w:style w:type="paragraph" w:customStyle="1" w:styleId="612">
    <w:name w:val="图表名称"/>
    <w:basedOn w:val="1"/>
    <w:next w:val="1"/>
    <w:link w:val="613"/>
    <w:qFormat/>
    <w:uiPriority w:val="0"/>
    <w:pPr>
      <w:adjustRightInd/>
      <w:snapToGrid/>
      <w:spacing w:beforeLines="50" w:line="240" w:lineRule="auto"/>
      <w:ind w:firstLine="0" w:firstLineChars="0"/>
      <w:jc w:val="center"/>
    </w:pPr>
    <w:rPr>
      <w:rFonts w:eastAsia="仿宋_GB2312" w:cs="Times New Roman"/>
      <w:b/>
      <w:szCs w:val="28"/>
    </w:rPr>
  </w:style>
  <w:style w:type="character" w:customStyle="1" w:styleId="613">
    <w:name w:val="图表名称 字符"/>
    <w:basedOn w:val="57"/>
    <w:link w:val="612"/>
    <w:qFormat/>
    <w:uiPriority w:val="0"/>
    <w:rPr>
      <w:rFonts w:eastAsia="仿宋_GB2312"/>
      <w:b/>
      <w:kern w:val="2"/>
      <w:sz w:val="24"/>
      <w:szCs w:val="28"/>
    </w:rPr>
  </w:style>
  <w:style w:type="paragraph" w:customStyle="1" w:styleId="614">
    <w:name w:val="图表标题"/>
    <w:basedOn w:val="1"/>
    <w:next w:val="202"/>
    <w:qFormat/>
    <w:uiPriority w:val="0"/>
    <w:pPr>
      <w:spacing w:line="560" w:lineRule="exact"/>
      <w:ind w:firstLine="0" w:firstLineChars="0"/>
      <w:jc w:val="center"/>
      <w:textAlignment w:val="baseline"/>
    </w:pPr>
    <w:rPr>
      <w:rFonts w:ascii="黑体" w:eastAsia="黑体" w:cs="Times New Roman"/>
      <w:sz w:val="21"/>
      <w:szCs w:val="21"/>
    </w:rPr>
  </w:style>
  <w:style w:type="character" w:customStyle="1" w:styleId="615">
    <w:name w:val="未处理的提及3"/>
    <w:basedOn w:val="57"/>
    <w:semiHidden/>
    <w:unhideWhenUsed/>
    <w:qFormat/>
    <w:uiPriority w:val="99"/>
    <w:rPr>
      <w:color w:val="605E5C"/>
      <w:shd w:val="clear" w:color="auto" w:fill="E1DFDD"/>
    </w:rPr>
  </w:style>
  <w:style w:type="paragraph" w:customStyle="1" w:styleId="616">
    <w:name w:val="TOC 标题2"/>
    <w:basedOn w:val="2"/>
    <w:next w:val="1"/>
    <w:unhideWhenUsed/>
    <w:qFormat/>
    <w:uiPriority w:val="39"/>
    <w:pPr>
      <w:numPr>
        <w:numId w:val="0"/>
      </w:numPr>
      <w:adjustRightInd/>
      <w:snapToGrid/>
      <w:spacing w:before="240" w:beforeLines="100" w:after="0" w:line="259" w:lineRule="auto"/>
      <w:jc w:val="left"/>
      <w:outlineLvl w:val="9"/>
    </w:pPr>
    <w:rPr>
      <w:rFonts w:asciiTheme="majorHAnsi" w:hAnsiTheme="majorHAnsi" w:eastAsiaTheme="majorEastAsia" w:cstheme="majorBidi"/>
      <w:bCs w:val="0"/>
      <w:color w:val="2F5597" w:themeColor="accent1" w:themeShade="BF"/>
      <w:kern w:val="0"/>
      <w:szCs w:val="32"/>
      <w:lang w:eastAsia="zh-CN"/>
    </w:rPr>
  </w:style>
  <w:style w:type="paragraph" w:customStyle="1" w:styleId="617">
    <w:name w:val="图表内容"/>
    <w:basedOn w:val="1"/>
    <w:next w:val="21"/>
    <w:qFormat/>
    <w:uiPriority w:val="0"/>
    <w:pPr>
      <w:snapToGrid/>
      <w:spacing w:line="240" w:lineRule="auto"/>
      <w:ind w:firstLine="0" w:firstLineChars="0"/>
      <w:jc w:val="center"/>
      <w:textAlignment w:val="baseline"/>
    </w:pPr>
    <w:rPr>
      <w:rFonts w:ascii="宋体" w:cs="Times New Roman" w:hAnsiTheme="minorHAnsi" w:eastAsiaTheme="minorEastAsia"/>
      <w:sz w:val="21"/>
      <w:szCs w:val="20"/>
    </w:rPr>
  </w:style>
  <w:style w:type="character" w:customStyle="1" w:styleId="618">
    <w:name w:val="0-7表外文字 字符"/>
    <w:link w:val="619"/>
    <w:qFormat/>
    <w:uiPriority w:val="0"/>
    <w:rPr>
      <w:b/>
      <w:sz w:val="24"/>
    </w:rPr>
  </w:style>
  <w:style w:type="paragraph" w:customStyle="1" w:styleId="619">
    <w:name w:val="0-7表外文字"/>
    <w:basedOn w:val="1"/>
    <w:link w:val="618"/>
    <w:qFormat/>
    <w:uiPriority w:val="0"/>
    <w:pPr>
      <w:wordWrap w:val="0"/>
      <w:adjustRightInd/>
      <w:snapToGrid/>
      <w:spacing w:beforeLines="20" w:line="240" w:lineRule="auto"/>
      <w:ind w:firstLine="0" w:firstLineChars="0"/>
      <w:jc w:val="center"/>
    </w:pPr>
    <w:rPr>
      <w:rFonts w:cs="Times New Roman"/>
      <w:b/>
      <w:kern w:val="0"/>
      <w:szCs w:val="20"/>
    </w:rPr>
  </w:style>
  <w:style w:type="paragraph" w:customStyle="1" w:styleId="620">
    <w:name w:val="表格内容谢谢"/>
    <w:basedOn w:val="1"/>
    <w:qFormat/>
    <w:uiPriority w:val="0"/>
    <w:pPr>
      <w:widowControl/>
      <w:spacing w:line="240" w:lineRule="auto"/>
      <w:ind w:firstLine="0" w:firstLineChars="0"/>
      <w:jc w:val="center"/>
    </w:pPr>
    <w:rPr>
      <w:rFonts w:cs="Times New Roman"/>
      <w:color w:val="000000"/>
      <w:kern w:val="0"/>
      <w:sz w:val="21"/>
      <w:szCs w:val="21"/>
    </w:rPr>
  </w:style>
  <w:style w:type="paragraph" w:customStyle="1" w:styleId="621">
    <w:name w:val="表格内居中文字"/>
    <w:basedOn w:val="1"/>
    <w:qFormat/>
    <w:uiPriority w:val="0"/>
    <w:pPr>
      <w:adjustRightInd/>
      <w:snapToGrid/>
      <w:spacing w:line="320" w:lineRule="atLeast"/>
      <w:ind w:firstLine="0" w:firstLineChars="0"/>
      <w:jc w:val="center"/>
    </w:pPr>
    <w:rPr>
      <w:rFonts w:cs="Times New Roman"/>
      <w:sz w:val="22"/>
      <w:szCs w:val="24"/>
    </w:rPr>
  </w:style>
  <w:style w:type="paragraph" w:customStyle="1" w:styleId="622">
    <w:name w:val="正文首行缩进:  2 字符"/>
    <w:basedOn w:val="1"/>
    <w:qFormat/>
    <w:uiPriority w:val="0"/>
    <w:pPr>
      <w:adjustRightInd/>
      <w:snapToGrid/>
      <w:spacing w:line="500" w:lineRule="exact"/>
      <w:ind w:firstLine="480"/>
    </w:pPr>
    <w:rPr>
      <w:rFonts w:cs="Times New Roman"/>
      <w:szCs w:val="20"/>
    </w:rPr>
  </w:style>
  <w:style w:type="paragraph" w:customStyle="1" w:styleId="623">
    <w:name w:val="1正文"/>
    <w:basedOn w:val="1"/>
    <w:link w:val="624"/>
    <w:qFormat/>
    <w:uiPriority w:val="0"/>
    <w:pPr>
      <w:spacing w:line="460" w:lineRule="exact"/>
    </w:pPr>
    <w:rPr>
      <w:rFonts w:cs="Times New Roman"/>
      <w:szCs w:val="24"/>
      <w:lang w:val="zh-CN" w:eastAsia="zh-CN"/>
    </w:rPr>
  </w:style>
  <w:style w:type="character" w:customStyle="1" w:styleId="624">
    <w:name w:val="1正文 Char"/>
    <w:link w:val="623"/>
    <w:qFormat/>
    <w:uiPriority w:val="0"/>
    <w:rPr>
      <w:kern w:val="2"/>
      <w:sz w:val="24"/>
      <w:szCs w:val="24"/>
      <w:lang w:val="zh-CN" w:eastAsia="zh-CN"/>
    </w:rPr>
  </w:style>
  <w:style w:type="paragraph" w:customStyle="1" w:styleId="625">
    <w:name w:val="t表格文字居中"/>
    <w:basedOn w:val="1"/>
    <w:link w:val="626"/>
    <w:qFormat/>
    <w:uiPriority w:val="0"/>
    <w:pPr>
      <w:adjustRightInd/>
      <w:snapToGrid/>
      <w:spacing w:line="240" w:lineRule="auto"/>
      <w:ind w:firstLine="0" w:firstLineChars="0"/>
      <w:jc w:val="center"/>
      <w:textAlignment w:val="center"/>
    </w:pPr>
    <w:rPr>
      <w:rFonts w:ascii="Calibri" w:hAnsi="Calibri" w:cs="Times New Roman"/>
      <w:szCs w:val="21"/>
      <w:lang w:val="zh-CN" w:eastAsia="zh-CN"/>
    </w:rPr>
  </w:style>
  <w:style w:type="character" w:customStyle="1" w:styleId="626">
    <w:name w:val="t表格文字居中 Char"/>
    <w:link w:val="625"/>
    <w:qFormat/>
    <w:locked/>
    <w:uiPriority w:val="0"/>
    <w:rPr>
      <w:rFonts w:ascii="Calibri" w:hAnsi="Calibri"/>
      <w:kern w:val="2"/>
      <w:sz w:val="24"/>
      <w:szCs w:val="21"/>
      <w:lang w:val="zh-CN" w:eastAsia="zh-CN"/>
    </w:rPr>
  </w:style>
  <w:style w:type="paragraph" w:customStyle="1" w:styleId="627">
    <w:name w:val="Char Char"/>
    <w:basedOn w:val="1"/>
    <w:qFormat/>
    <w:uiPriority w:val="0"/>
    <w:pPr>
      <w:adjustRightInd/>
      <w:snapToGrid/>
      <w:spacing w:line="240" w:lineRule="auto"/>
      <w:ind w:firstLine="0" w:firstLineChars="0"/>
    </w:pPr>
    <w:rPr>
      <w:rFonts w:ascii="Tahoma" w:hAnsi="Tahoma" w:cs="Times New Roman"/>
      <w:szCs w:val="20"/>
    </w:rPr>
  </w:style>
  <w:style w:type="paragraph" w:customStyle="1" w:styleId="628">
    <w:name w:val="Char Char1 Char"/>
    <w:basedOn w:val="1"/>
    <w:qFormat/>
    <w:uiPriority w:val="0"/>
    <w:pPr>
      <w:adjustRightInd/>
      <w:snapToGrid/>
      <w:spacing w:line="240" w:lineRule="auto"/>
      <w:ind w:firstLine="0" w:firstLineChars="0"/>
    </w:pPr>
    <w:rPr>
      <w:rFonts w:cs="Times New Roman"/>
      <w:sz w:val="21"/>
      <w:szCs w:val="21"/>
    </w:rPr>
  </w:style>
  <w:style w:type="paragraph" w:customStyle="1" w:styleId="629">
    <w:name w:val="Q"/>
    <w:basedOn w:val="1"/>
    <w:qFormat/>
    <w:uiPriority w:val="0"/>
    <w:pPr>
      <w:adjustRightInd/>
      <w:snapToGrid/>
      <w:spacing w:line="440" w:lineRule="exact"/>
      <w:ind w:firstLine="522"/>
    </w:pPr>
    <w:rPr>
      <w:rFonts w:hAnsi="宋体" w:cs="Times New Roman"/>
      <w:b/>
      <w:bCs/>
      <w:spacing w:val="10"/>
      <w:sz w:val="21"/>
      <w:szCs w:val="24"/>
    </w:rPr>
  </w:style>
  <w:style w:type="paragraph" w:customStyle="1" w:styleId="630">
    <w:name w:val="hb1"/>
    <w:basedOn w:val="21"/>
    <w:qFormat/>
    <w:uiPriority w:val="0"/>
    <w:pPr>
      <w:widowControl w:val="0"/>
      <w:autoSpaceDE w:val="0"/>
      <w:autoSpaceDN w:val="0"/>
      <w:snapToGrid/>
      <w:spacing w:before="0" w:line="460" w:lineRule="exact"/>
      <w:ind w:left="0" w:firstLine="482" w:firstLineChars="0"/>
      <w:textAlignment w:val="baseline"/>
    </w:pPr>
    <w:rPr>
      <w:color w:val="000000"/>
      <w:kern w:val="2"/>
      <w:szCs w:val="22"/>
      <w:lang w:eastAsia="zh-CN"/>
    </w:rPr>
  </w:style>
  <w:style w:type="paragraph" w:customStyle="1" w:styleId="631">
    <w:name w:val="正文01"/>
    <w:basedOn w:val="1"/>
    <w:qFormat/>
    <w:uiPriority w:val="0"/>
    <w:pPr>
      <w:adjustRightInd/>
      <w:snapToGrid/>
      <w:spacing w:before="60" w:line="460" w:lineRule="exact"/>
    </w:pPr>
    <w:rPr>
      <w:rFonts w:eastAsia="Calibri" w:cs="Times New Roman"/>
      <w:bCs/>
      <w:szCs w:val="24"/>
    </w:rPr>
  </w:style>
  <w:style w:type="character" w:customStyle="1" w:styleId="632">
    <w:name w:val="智汇元-宜昌-正文 Char"/>
    <w:link w:val="633"/>
    <w:qFormat/>
    <w:uiPriority w:val="0"/>
    <w:rPr>
      <w:snapToGrid w:val="0"/>
      <w:color w:val="000000"/>
      <w:sz w:val="24"/>
      <w:szCs w:val="24"/>
    </w:rPr>
  </w:style>
  <w:style w:type="paragraph" w:customStyle="1" w:styleId="633">
    <w:name w:val="智汇元-宜昌-正文"/>
    <w:basedOn w:val="1"/>
    <w:link w:val="632"/>
    <w:qFormat/>
    <w:uiPriority w:val="0"/>
    <w:pPr>
      <w:adjustRightInd/>
      <w:snapToGrid/>
      <w:ind w:firstLine="480"/>
    </w:pPr>
    <w:rPr>
      <w:rFonts w:cs="Times New Roman"/>
      <w:snapToGrid w:val="0"/>
      <w:color w:val="000000"/>
      <w:kern w:val="0"/>
      <w:szCs w:val="24"/>
    </w:rPr>
  </w:style>
  <w:style w:type="paragraph" w:customStyle="1" w:styleId="634">
    <w:name w:val="题注-表"/>
    <w:basedOn w:val="1"/>
    <w:next w:val="1"/>
    <w:qFormat/>
    <w:uiPriority w:val="0"/>
    <w:pPr>
      <w:adjustRightInd/>
      <w:snapToGrid/>
      <w:spacing w:beforeLines="25" w:afterLines="25"/>
      <w:ind w:firstLine="0" w:firstLineChars="0"/>
      <w:jc w:val="center"/>
    </w:pPr>
    <w:rPr>
      <w:rFonts w:ascii="宋体" w:hAnsi="宋体" w:cs="宋体"/>
      <w:b/>
      <w:szCs w:val="24"/>
    </w:rPr>
  </w:style>
  <w:style w:type="paragraph" w:customStyle="1" w:styleId="635">
    <w:name w:val="表头1"/>
    <w:basedOn w:val="1"/>
    <w:qFormat/>
    <w:uiPriority w:val="0"/>
    <w:pPr>
      <w:adjustRightInd/>
      <w:snapToGrid/>
      <w:spacing w:line="240" w:lineRule="auto"/>
      <w:ind w:firstLine="0" w:firstLineChars="0"/>
      <w:jc w:val="center"/>
    </w:pPr>
    <w:rPr>
      <w:rFonts w:cs="Times New Roman"/>
      <w:kern w:val="0"/>
      <w:sz w:val="21"/>
      <w:szCs w:val="24"/>
    </w:rPr>
  </w:style>
  <w:style w:type="paragraph" w:customStyle="1" w:styleId="636">
    <w:name w:val="pf0"/>
    <w:basedOn w:val="1"/>
    <w:qFormat/>
    <w:uiPriority w:val="0"/>
    <w:pPr>
      <w:widowControl/>
      <w:adjustRightInd/>
      <w:snapToGrid/>
      <w:spacing w:before="100" w:beforeAutospacing="1" w:after="100" w:afterAutospacing="1" w:line="240" w:lineRule="auto"/>
      <w:ind w:firstLine="0" w:firstLineChars="0"/>
      <w:jc w:val="left"/>
    </w:pPr>
    <w:rPr>
      <w:rFonts w:ascii="宋体" w:hAnsi="宋体" w:cs="宋体"/>
      <w:kern w:val="0"/>
      <w:szCs w:val="24"/>
    </w:rPr>
  </w:style>
  <w:style w:type="paragraph" w:customStyle="1" w:styleId="637">
    <w:name w:val="文本文字"/>
    <w:basedOn w:val="1"/>
    <w:qFormat/>
    <w:uiPriority w:val="0"/>
    <w:pPr>
      <w:adjustRightInd/>
      <w:snapToGrid/>
    </w:pPr>
    <w:rPr>
      <w:rFonts w:eastAsia="仿宋_GB2312" w:cs="Times New Roman"/>
    </w:rPr>
  </w:style>
  <w:style w:type="paragraph" w:customStyle="1" w:styleId="638">
    <w:name w:val="Char Char Char Char Char Char Char3"/>
    <w:basedOn w:val="1"/>
    <w:qFormat/>
    <w:uiPriority w:val="0"/>
    <w:pPr>
      <w:adjustRightInd/>
      <w:snapToGrid/>
      <w:spacing w:line="240" w:lineRule="auto"/>
      <w:ind w:firstLine="0" w:firstLineChars="0"/>
    </w:pPr>
    <w:rPr>
      <w:rFonts w:cs="Times New Roman"/>
      <w:sz w:val="21"/>
      <w:szCs w:val="24"/>
    </w:rPr>
  </w:style>
  <w:style w:type="paragraph" w:customStyle="1" w:styleId="639">
    <w:name w:val="表格(张曦)"/>
    <w:basedOn w:val="1"/>
    <w:qFormat/>
    <w:uiPriority w:val="0"/>
    <w:pPr>
      <w:adjustRightInd/>
      <w:spacing w:line="240" w:lineRule="auto"/>
      <w:ind w:firstLine="0" w:firstLineChars="0"/>
      <w:jc w:val="center"/>
    </w:pPr>
    <w:rPr>
      <w:rFonts w:asciiTheme="minorHAnsi" w:hAnsiTheme="minorHAnsi" w:eastAsiaTheme="minorEastAsia"/>
      <w:sz w:val="21"/>
    </w:rPr>
  </w:style>
  <w:style w:type="paragraph" w:customStyle="1" w:styleId="640">
    <w:name w:val="Char Char Char Char Char Char1 Char Char Char Char Char Char Char Char Char Char Char Char Char"/>
    <w:basedOn w:val="1"/>
    <w:qFormat/>
    <w:uiPriority w:val="0"/>
    <w:pPr>
      <w:adjustRightInd/>
      <w:snapToGrid/>
      <w:ind w:firstLine="420"/>
    </w:pPr>
    <w:rPr>
      <w:rFonts w:cs="Times New Roman"/>
      <w:szCs w:val="24"/>
    </w:rPr>
  </w:style>
  <w:style w:type="character" w:customStyle="1" w:styleId="641">
    <w:name w:val="普通(网站) Char1"/>
    <w:qFormat/>
    <w:locked/>
    <w:uiPriority w:val="99"/>
    <w:rPr>
      <w:rFonts w:ascii="宋体" w:hAnsi="宋体" w:cs="宋体"/>
      <w:sz w:val="18"/>
      <w:szCs w:val="18"/>
    </w:rPr>
  </w:style>
  <w:style w:type="character" w:customStyle="1" w:styleId="642">
    <w:name w:val="图名 字符"/>
    <w:link w:val="643"/>
    <w:qFormat/>
    <w:locked/>
    <w:uiPriority w:val="0"/>
    <w:rPr>
      <w:rFonts w:eastAsia="黑体"/>
      <w:sz w:val="21"/>
    </w:rPr>
  </w:style>
  <w:style w:type="paragraph" w:customStyle="1" w:styleId="643">
    <w:name w:val="图名"/>
    <w:basedOn w:val="1"/>
    <w:link w:val="642"/>
    <w:qFormat/>
    <w:uiPriority w:val="0"/>
    <w:pPr>
      <w:adjustRightInd/>
      <w:snapToGrid/>
      <w:spacing w:line="240" w:lineRule="auto"/>
      <w:ind w:firstLine="0" w:firstLineChars="0"/>
      <w:jc w:val="center"/>
    </w:pPr>
    <w:rPr>
      <w:rFonts w:eastAsia="黑体" w:cs="Times New Roman"/>
      <w:kern w:val="0"/>
      <w:sz w:val="21"/>
      <w:szCs w:val="20"/>
    </w:rPr>
  </w:style>
  <w:style w:type="table" w:customStyle="1" w:styleId="644">
    <w:name w:val="样式6"/>
    <w:basedOn w:val="52"/>
    <w:qFormat/>
    <w:uiPriority w:val="99"/>
    <w:pPr>
      <w:jc w:val="center"/>
    </w:pPr>
    <w:rPr>
      <w:rFonts w:eastAsia="Times New Roman"/>
      <w:snapToGrid w:val="0"/>
      <w:color w:val="000000"/>
      <w:sz w:val="21"/>
      <w:szCs w:val="21"/>
    </w:rPr>
    <w:tblPr>
      <w:tblBorders>
        <w:top w:val="single" w:color="auto" w:sz="12" w:space="0"/>
        <w:bottom w:val="single" w:color="auto" w:sz="12" w:space="0"/>
        <w:insideH w:val="single" w:color="auto" w:sz="2" w:space="0"/>
        <w:insideV w:val="single" w:color="auto" w:sz="2" w:space="0"/>
      </w:tblBorders>
    </w:tblPr>
    <w:tcPr>
      <w:vAlign w:val="center"/>
    </w:tcPr>
  </w:style>
  <w:style w:type="paragraph" w:customStyle="1" w:styleId="645">
    <w:name w:val="表头头"/>
    <w:basedOn w:val="1"/>
    <w:next w:val="1"/>
    <w:qFormat/>
    <w:uiPriority w:val="0"/>
    <w:pPr>
      <w:spacing w:line="240" w:lineRule="auto"/>
      <w:ind w:firstLine="0" w:firstLineChars="0"/>
      <w:jc w:val="center"/>
    </w:pPr>
    <w:rPr>
      <w:rFonts w:eastAsia="仿宋_GB2312"/>
      <w:b/>
      <w:sz w:val="21"/>
    </w:rPr>
  </w:style>
  <w:style w:type="table" w:customStyle="1" w:styleId="646">
    <w:name w:val="Table Grid_0"/>
    <w:basedOn w:val="52"/>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9" Type="http://schemas.openxmlformats.org/officeDocument/2006/relationships/image" Target="media/image78.png"/><Relationship Id="rId98" Type="http://schemas.openxmlformats.org/officeDocument/2006/relationships/image" Target="media/image77.png"/><Relationship Id="rId97" Type="http://schemas.openxmlformats.org/officeDocument/2006/relationships/image" Target="media/image76.png"/><Relationship Id="rId96" Type="http://schemas.openxmlformats.org/officeDocument/2006/relationships/image" Target="media/image75.png"/><Relationship Id="rId95" Type="http://schemas.openxmlformats.org/officeDocument/2006/relationships/image" Target="media/image74.png"/><Relationship Id="rId94" Type="http://schemas.openxmlformats.org/officeDocument/2006/relationships/image" Target="media/image73.png"/><Relationship Id="rId93" Type="http://schemas.openxmlformats.org/officeDocument/2006/relationships/image" Target="media/image72.png"/><Relationship Id="rId92" Type="http://schemas.openxmlformats.org/officeDocument/2006/relationships/image" Target="media/image71.png"/><Relationship Id="rId91" Type="http://schemas.openxmlformats.org/officeDocument/2006/relationships/image" Target="media/image70.png"/><Relationship Id="rId90" Type="http://schemas.openxmlformats.org/officeDocument/2006/relationships/image" Target="media/image69.png"/><Relationship Id="rId9" Type="http://schemas.openxmlformats.org/officeDocument/2006/relationships/header" Target="header4.xml"/><Relationship Id="rId89" Type="http://schemas.openxmlformats.org/officeDocument/2006/relationships/image" Target="media/image68.png"/><Relationship Id="rId88" Type="http://schemas.openxmlformats.org/officeDocument/2006/relationships/image" Target="media/image67.png"/><Relationship Id="rId87" Type="http://schemas.openxmlformats.org/officeDocument/2006/relationships/image" Target="media/image66.png"/><Relationship Id="rId86" Type="http://schemas.openxmlformats.org/officeDocument/2006/relationships/image" Target="media/image65.png"/><Relationship Id="rId85" Type="http://schemas.openxmlformats.org/officeDocument/2006/relationships/image" Target="media/image64.png"/><Relationship Id="rId84" Type="http://schemas.openxmlformats.org/officeDocument/2006/relationships/image" Target="media/image63.png"/><Relationship Id="rId83" Type="http://schemas.openxmlformats.org/officeDocument/2006/relationships/image" Target="media/image62.png"/><Relationship Id="rId82" Type="http://schemas.openxmlformats.org/officeDocument/2006/relationships/image" Target="media/image61.png"/><Relationship Id="rId81" Type="http://schemas.openxmlformats.org/officeDocument/2006/relationships/image" Target="media/image60.png"/><Relationship Id="rId80" Type="http://schemas.openxmlformats.org/officeDocument/2006/relationships/image" Target="media/image59.png"/><Relationship Id="rId8" Type="http://schemas.openxmlformats.org/officeDocument/2006/relationships/footer" Target="footer1.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wmf"/><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header" Target="header3.xml"/><Relationship Id="rId69" Type="http://schemas.openxmlformats.org/officeDocument/2006/relationships/image" Target="media/image48.png"/><Relationship Id="rId68" Type="http://schemas.openxmlformats.org/officeDocument/2006/relationships/image" Target="media/image47.wmf"/><Relationship Id="rId67" Type="http://schemas.openxmlformats.org/officeDocument/2006/relationships/image" Target="media/image46.wmf"/><Relationship Id="rId66" Type="http://schemas.openxmlformats.org/officeDocument/2006/relationships/oleObject" Target="embeddings/oleObject6.bin"/><Relationship Id="rId65" Type="http://schemas.openxmlformats.org/officeDocument/2006/relationships/image" Target="media/image45.wmf"/><Relationship Id="rId64" Type="http://schemas.openxmlformats.org/officeDocument/2006/relationships/oleObject" Target="embeddings/oleObject5.bin"/><Relationship Id="rId63" Type="http://schemas.openxmlformats.org/officeDocument/2006/relationships/image" Target="media/image44.wmf"/><Relationship Id="rId62" Type="http://schemas.openxmlformats.org/officeDocument/2006/relationships/image" Target="media/image43.wmf"/><Relationship Id="rId61" Type="http://schemas.openxmlformats.org/officeDocument/2006/relationships/image" Target="media/image42.png"/><Relationship Id="rId60" Type="http://schemas.openxmlformats.org/officeDocument/2006/relationships/image" Target="media/image41.wmf"/><Relationship Id="rId6" Type="http://schemas.openxmlformats.org/officeDocument/2006/relationships/header" Target="header2.xml"/><Relationship Id="rId59" Type="http://schemas.openxmlformats.org/officeDocument/2006/relationships/oleObject" Target="embeddings/oleObject4.bin"/><Relationship Id="rId58" Type="http://schemas.openxmlformats.org/officeDocument/2006/relationships/image" Target="media/image40.wmf"/><Relationship Id="rId57" Type="http://schemas.openxmlformats.org/officeDocument/2006/relationships/oleObject" Target="embeddings/oleObject3.bin"/><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oleObject" Target="embeddings/oleObject2.bin"/><Relationship Id="rId38" Type="http://schemas.openxmlformats.org/officeDocument/2006/relationships/image" Target="media/image22.wmf"/><Relationship Id="rId37" Type="http://schemas.openxmlformats.org/officeDocument/2006/relationships/image" Target="media/image21.png"/><Relationship Id="rId36" Type="http://schemas.openxmlformats.org/officeDocument/2006/relationships/image" Target="media/image20.wmf"/><Relationship Id="rId35" Type="http://schemas.openxmlformats.org/officeDocument/2006/relationships/image" Target="media/image19.wmf"/><Relationship Id="rId34" Type="http://schemas.openxmlformats.org/officeDocument/2006/relationships/oleObject" Target="embeddings/oleObject1.bin"/><Relationship Id="rId33" Type="http://schemas.openxmlformats.org/officeDocument/2006/relationships/image" Target="media/image18.jpe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png"/><Relationship Id="rId24" Type="http://schemas.openxmlformats.org/officeDocument/2006/relationships/image" Target="media/image9.jpeg"/><Relationship Id="rId23" Type="http://schemas.openxmlformats.org/officeDocument/2006/relationships/image" Target="media/image8.png"/><Relationship Id="rId22" Type="http://schemas.openxmlformats.org/officeDocument/2006/relationships/image" Target="media/image7.jpe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7" Type="http://schemas.openxmlformats.org/officeDocument/2006/relationships/fontTable" Target="fontTable.xml"/><Relationship Id="rId116" Type="http://schemas.openxmlformats.org/officeDocument/2006/relationships/customXml" Target="../customXml/item2.xml"/><Relationship Id="rId115" Type="http://schemas.openxmlformats.org/officeDocument/2006/relationships/numbering" Target="numbering.xml"/><Relationship Id="rId114" Type="http://schemas.openxmlformats.org/officeDocument/2006/relationships/customXml" Target="../customXml/item1.xml"/><Relationship Id="rId113" Type="http://schemas.openxmlformats.org/officeDocument/2006/relationships/image" Target="media/image92.png"/><Relationship Id="rId112" Type="http://schemas.openxmlformats.org/officeDocument/2006/relationships/image" Target="media/image91.png"/><Relationship Id="rId111" Type="http://schemas.openxmlformats.org/officeDocument/2006/relationships/image" Target="media/image90.emf"/><Relationship Id="rId110" Type="http://schemas.openxmlformats.org/officeDocument/2006/relationships/image" Target="media/image89.png"/><Relationship Id="rId11" Type="http://schemas.openxmlformats.org/officeDocument/2006/relationships/footer" Target="footer3.xml"/><Relationship Id="rId109" Type="http://schemas.openxmlformats.org/officeDocument/2006/relationships/image" Target="media/image88.jpeg"/><Relationship Id="rId108" Type="http://schemas.openxmlformats.org/officeDocument/2006/relationships/image" Target="media/image87.png"/><Relationship Id="rId107" Type="http://schemas.openxmlformats.org/officeDocument/2006/relationships/image" Target="media/image86.png"/><Relationship Id="rId106" Type="http://schemas.openxmlformats.org/officeDocument/2006/relationships/image" Target="media/image85.png"/><Relationship Id="rId105" Type="http://schemas.openxmlformats.org/officeDocument/2006/relationships/image" Target="media/image84.png"/><Relationship Id="rId104" Type="http://schemas.openxmlformats.org/officeDocument/2006/relationships/image" Target="media/image83.png"/><Relationship Id="rId103" Type="http://schemas.openxmlformats.org/officeDocument/2006/relationships/image" Target="media/image82.png"/><Relationship Id="rId102" Type="http://schemas.openxmlformats.org/officeDocument/2006/relationships/image" Target="media/image81.png"/><Relationship Id="rId101" Type="http://schemas.openxmlformats.org/officeDocument/2006/relationships/image" Target="media/image80.png"/><Relationship Id="rId100" Type="http://schemas.openxmlformats.org/officeDocument/2006/relationships/image" Target="media/image79.png"/><Relationship Id="rId10" Type="http://schemas.openxmlformats.org/officeDocument/2006/relationships/footer" Target="footer2.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ln>
      </a:spPr>
      <a:bodyPr rot="0" vert="horz" wrap="square" lIns="91440" tIns="45720" rIns="91440" bIns="45720" anchor="t" anchorCtr="0" upright="1">
        <a:noAutofit/>
      </a:bodyPr>
      <a:lst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9CED85-7A6C-42AB-BFA1-BC594753F95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380</Pages>
  <Words>41388</Words>
  <Characters>235915</Characters>
  <Lines>1965</Lines>
  <Paragraphs>553</Paragraphs>
  <TotalTime>36</TotalTime>
  <ScaleCrop>false</ScaleCrop>
  <LinksUpToDate>false</LinksUpToDate>
  <CharactersWithSpaces>276750</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2021-11-12T04:08:00Z</dcterms:created>
  <dc:creator>Microsoft</dc:creator>
  <cp:lastModifiedBy>Administrator</cp:lastModifiedBy>
  <cp:lastPrinted>2024-01-19T08:20:00Z</cp:lastPrinted>
  <dcterms:modified xsi:type="dcterms:W3CDTF">2024-04-24T07:03:20Z</dcterms:modified>
  <cp:revision>490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2019-04-18T00:00:00Z</vt:filetime>
  </property>
  <property fmtid="{D5CDD505-2E9C-101B-9397-08002B2CF9AE}" pid="3" name="Creator">
    <vt:lpwstr>Microsoft® Word 2013</vt:lpwstr>
  </property>
  <property fmtid="{D5CDD505-2E9C-101B-9397-08002B2CF9AE}" pid="4" name="LastSaved">
    <vt:filetime>2020-05-20T00:00:00Z</vt:filetime>
  </property>
  <property fmtid="{D5CDD505-2E9C-101B-9397-08002B2CF9AE}" pid="5" name="KSOProductBuildVer">
    <vt:lpwstr>2052-12.1.0.15990</vt:lpwstr>
  </property>
  <property fmtid="{D5CDD505-2E9C-101B-9397-08002B2CF9AE}" pid="6" name="ICV">
    <vt:lpwstr>18C79C862FDC4ED3B2790577B4443E9B_13</vt:lpwstr>
  </property>
</Properties>
</file>